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Ove jedinice odgovaraju jardima (standardni fudbalski teren je 120 x 80 jardi, odnosno približno 110 x 73 metra). Gol se nalazi na poziciji x=120, y=40, a širina gola iznosi 8 jardi (7,32 metra), što u ovom koordinatnom sistemu odgovara rastojanju od y=36,34 do y=43,66. Svi geometrijski proračuni (udaljenost, ugao, radijus pritiska od 10 jardi) sprovedeni su dosledno unutar ovog sistema, bez potrebe za konverzijom. Defanzivni pritisak koristi radijus od 10 jardi, što u istom sistemu odgovara 10 koordinatnih jedinica.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5m i 10m, najbliža udaljenost branioca od linije šuta, broj branilaca unutar 1m i 2m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66,43, sa 11 stepeni slobode, što odgovara p-vrednosti od približno 5,79×10⁻¹⁰, odlučno odbacujući nultu hipotezu da StatsBomb 360 atributi ne doprinose modelu. Ovaj nalaz je dodatno potkrepljen i Akaikeovim informacionim kriterijumom: AIC iznosi 2.141,44 za Model A i 2.097,01 za Model B (favorizuje B). Bajesov informacioni kriterijum (BIC) iznosi 2.204,30 naspram 2.229,01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modela van parametarskog okvira logističke regresije, sprovedena je bootstrap analiza razlike ROC AUC na kompletnim out-of-fold (OOF) predikcijama iz svih LOTO foldova. Pooled OOF ROC AUC iznosi 0,680 za Model A i 0,703 za Model B. Opažena razlika (Model B minus Model A) iznosi 0,024, a 95% bootstrap interval poverenja (2.000 iteracija) iznosi [0,013, 0,034]. Pošto interval ne sadrži nulu, razlika se smatra statistički značajnom na nivou alfa = 0,05. Napomena: ova pooled OOF razlika (0,024) se razlikuje od razlike u Tabeli 3 (0,011) jer Tabela 3 prikazuje neponderisani prosek AUC-ova izračunatih odvojeno po turniru, dok pooled pristup računa jedan AUC na svim šutevima zajedno.</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+0,012</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(+0,008),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(0,772) blago se razlikuje od vrednosti u Tabeli 3 (0,771)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tretiram se kao jarde na osnovu standardnih dimenzija fudbalskog terena (120x80 jardi). StatsBomb ne objavljuje zvanično mapiranje na fizičke dimenzije, ali konzistentnost između širine gola (8 jardi = 7,32m) i pozicija stubova u koordinatnom sistemu (razmak od 7,32 jedinica) potvrđuje da je interpretacija u jardima ispravna. Svi geometrijski proračuni su dosledno unutar istog sistema.</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2026-08-16T22:45:04.075Z</dcterms:created>
  <dcterms:modified xsi:type="dcterms:W3CDTF">2026-08-16T22:45:04.076Z</dcterms:modified>
</cp:coreProperties>
</file>

<file path=docProps/custom.xml><?xml version="1.0" encoding="utf-8"?>
<Properties xmlns="http://schemas.openxmlformats.org/officeDocument/2006/custom-properties" xmlns:vt="http://schemas.openxmlformats.org/officeDocument/2006/docPropsVTypes"/>
</file>