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StratifiedGroupKFold po meču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poboljšava ROC AUC i PR AUC u odnosu na Model A, dok su razlike u kalibrisanom Brier skoru male. Ovaj doprinos se održava kroz sva tri turnira. Udaljenost golmana iz freeze-frame podataka (goalkeeper_distance_360) pokazala se kao najuticajniji 360 atribut u SHAP analizi, drugi ukupno posle ugla šuta. Ablation analiza pokazuje da CONE (branioci u konusu šuta) daje najveće poboljšanje kad se pojedinačno doda Modelu A, zatim PRESSURE i GK, dok otvorenost ugla sama ne donosi merljiv samostalan doprinos.</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koordinatnih jedinica. U geometrijskim proračunima ove koordinatne jedinice tretirane su kao yard-ekvivalentne, jer standardne yard dimenzije fudbalskog terena numerički odgovaraju koordinatama (StatsBomb dokumentacija koristi 6, 12 i 18 koordinatnih jedinica za standardne yard dimenzije kaznenog prostora). Gol se nalazi na poziciji x=120, y=40, a širina gola od 8 koordinatnih jedinica (što odgovara fizičkoj širini gola od približno 7,32 m) daje raspon y=36 do y=44. Svi geometrijski proračuni (udaljenost, ugao, radijus pritiska od 10 koordinatnih jedinica) sprovedeni su dosledno unutar ovog sistema.</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u StatsBomb koordinatnom sistemu, a c = 8 koordinatnih jedinica (fizička širina gola od približno 7,32 m):</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(open_angle_ratio_360),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koordinatnih jedinica (yard-ekvivalentno)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čija je udaljenost od šutera dᵢ manja ili jednaka 10 koordinatnih jedinica.</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U finalnoj verziji pipeline-a, atribut golmana koristi direktnu udaljenost golmana iz freeze-frame podataka (goalkeeper_distance_360), bez globalne regresije ili transformacije. Time se izbegava curenje podataka koje bi nastalo da se koeficijenti regresije procene na celom skupu (uključujući test fold). VIF za goalkeeper_distance_360 je prihvatljiv (ispod 6).</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spacing w:after="160" w:line="276"/>
        <w:ind w:firstLine="397"/>
        <w:jc w:val="both"/>
      </w:pPr>
      <w:r>
        <w:rPr>
          <w:rFonts w:ascii="Calibri" w:cs="Calibri" w:eastAsia="Calibri" w:hAnsi="Calibri"/>
          <w:sz w:val="22"/>
          <w:szCs w:val="22"/>
        </w:rPr>
        <w:t xml:space="preserve">Dodatno, VIF provera je identifikovala da je atribut defenders_in_shot_cone_360 tačan duplikat atributa opponents_between_shooter_and_goal_360 (VIF=inf, R²=1,0, koeficijent=1,000). Oba atributa su računala isti konstrukt (broj protivnika u trouglu šuter-dva stativa) pod različitim imenima. Duplikat je uklonjen iz finalnog skupa atributa pre formalnog LR testa, čime je eliminisana savršena linearna zavisnost koja je uzrokovala numeričku nestabilnost u nepenalizovanoj logističkoj regresiji.</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Rešeno je ponderisanjem klasa (class_weight u logističkoj regresiji, scale_pos_weight u XGBoost-u), gde se odnos klasa i odgovarajuće težine izračunavaju zasebno isključivo na trening delu svakog spoljnog folda, bez veštačkog resampling-a. Grupisanje retkih kategorija (Corner i Free Kick u Set Piece) definisano je unapred na osnovu semantičke sličnosti tipova šuteva, ne na osnovu posmatranja ishoda.</w:t>
      </w:r>
    </w:p>
    <w:p>
      <w:pPr>
        <w:pStyle w:val="ListParagraph"/>
        <w:numPr>
          <w:ilvl w:val="0"/>
          <w:numId w:val="3"/>
        </w:numPr>
        <w:spacing w:after="80"/>
      </w:pPr>
      <w:r>
        <w:rPr>
          <w:rFonts w:ascii="Calibri" w:cs="Calibri" w:eastAsia="Calibri" w:hAnsi="Calibri"/>
          <w:sz w:val="22"/>
          <w:szCs w:val="22"/>
        </w:rPr>
        <w:t xml:space="preserve">Retke kategorije: tipovi šuta Corner i Free Kick grupisani su u jedinstvenu kategoriju Set Piece pre kodiranja. Grupisanje je prespecifikovano semantički (oba su situacije iz prekida igre sa kvalitativno drugačijom dinamikom od otvorene igre); naknadno je primećeno da ono ujedno sprečava kvazi-savršenu separaciju u logističkoj regresiji, što potvrđuje ispravnost ove odluke.</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koristi isključivo klasične event atribute: udaljenost od gola, ugao šuta, da li je šut prvim dodirom, da li je šut jedan-na-jedan, deo tela i tip šuta. Model B sadrži sve atribute Modela A, uz dodatak StatsBomb 360 prostornih atributa (ukupno 11): udaljenost golmana, broj branilaca u konusu šuta, broj protivnika između šutera i gola, protivnici u kaznenom prostoru, broj branilaca unutar 5 i 10 koordinatnih jedinica, najbliža udaljenost branioca od linije šuta, broj branilaca unutar 1 i 2 koordinatne jedinice od linije šuta, kontinuiranu meru defanzivnog pritiska (pressure_score), i otvorenost ugla ka golu (open_angle_ratio_360).</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Grid Search uz unutrašnju trokratnu StratifiedGroupKFold po meču unakrsnu validaciju, čime je obezbeđeno da test podaci nikada nisu učestvovali u procesu podešavanja, a šutevi iz istog meča uvek ostaju u istom foldu.</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StratifiedGroupKFold po meču (5 foldova): koliko model radi na podacima iz iste distribucije kao i podaci za treniranje, uz strogi uslov da svi šutevi iz jedne utakmice ostaju u istom foldu (sprečava curenje informacija unutar meča).</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StratifiedGroupKFold i Leave-One-Tournament-Out odgovaraju na različita pitanja: prvi procenjuje performans unutar poznate distribucije uz kontrolu grupne strukture (šutevi iz istog meča ne curi u test),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i Precision-Recall AUC (PR AUC, posebno informativan kod neuravnoteženih klasa). F1 mera je prikazana kao sekundarna metrika (sa podrazumevanim pragom klasifikacije 0,5) i ne treba je tumačiti kao primarni kriterijum kvaliteta, jer je xG model prevashodno probabilistički (cilj je tačna procena verovatnoće, ne klasifikaciona odluka).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Metoda post-hoc kalibracije (izotona regresija) je unapred definisana kao deo pipeline-a, ne izabrana nakon posmatranja rezultata na test skupu. Kalibraciona funkcija je naučena isključivo na trening delu svakog spoljnog folda (putem CalibratedClassifierCV sa unutrašnjom 3-fold validacijom), a nikada na test skupu na kome se izveštava finalni Brier skor. Izveštavaju se i nekalibrisan i kalibrisan Brier skor, da bi čitalac mogao da proceni korist kalibracije nezavisno od leakage-a.</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pozitivnu asocijaciju atributa sa većim odds-om gola, a vrednost manja od 1 na negativnu asocijaciju.</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koordinatnih jedinica, naspram 18,84 koordinatnih jedinica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alfa = 0,05 (hi-kvadrat = 14,996; p = 0,059). Nije pronađen statistički značajan dokaz o marginalnoj asocijaciji na ovom nivou.</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nije pronađen dokaz da se marginalne raspodele udaljenosti i ugla razlikuju, pa razlika u konverziji nije objašnjena tim dvema posmatranim geometrijskim karakteristikama. Mogući izvori razlike uključuju završnicu igrača, golmanski učinak, druge neobuhvaćene karakteristike šuta i slučajnu varijaciju.</w:t>
      </w:r>
    </w:p>
    <w:p>
      <w:pPr>
        <w:pStyle w:val="Heading2"/>
      </w:pPr>
      <w:r>
        <w:t xml:space="preserve">4.2. Performans modela: StratifiedGroupKFold po meču validacija</w:t>
      </w:r>
    </w:p>
    <w:p>
      <w:pPr>
        <w:spacing w:after="240" w:before="60"/>
        <w:jc w:val="center"/>
      </w:pPr>
      <w:r>
        <w:rPr>
          <w:rFonts w:ascii="Calibri" w:cs="Calibri" w:eastAsia="Calibri" w:hAnsi="Calibri"/>
          <w:i/>
          <w:iCs/>
          <w:color w:val="444444"/>
          <w:sz w:val="18"/>
          <w:szCs w:val="18"/>
        </w:rPr>
        <w:t xml:space="preserve">Tabela 2. Rezultati StratifiedGroupKFold po meču validacije (prosek kroz 5 foldova). Brier skor prikazuje vrednost posle post-hoc kalibracije (izotona regresija unutar folda).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0,362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0,366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Model B nadmašuje Model A na ROC AUC i PR AUC metrikama, bez obzira na to koji algoritam je korišćen. Razlika u kalibriranom Brier skoru je minimalna ali konzistentno u korist Modela B za logističku regresiju, dok je za XGBoost praktično izjednačena.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 Brier skor prikazuje vrednost posle post-hoc kalibracije.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0,346</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0,352</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0,777</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0,772</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0,401</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bl>
    <w:p>
      <w:pPr>
        <w:spacing w:after="160" w:line="276"/>
        <w:ind w:firstLine="397"/>
        <w:jc w:val="both"/>
      </w:pPr>
      <w:r>
        <w:rPr>
          <w:rFonts w:ascii="Calibri" w:cs="Calibri" w:eastAsia="Calibri" w:hAnsi="Calibri"/>
          <w:sz w:val="22"/>
          <w:szCs w:val="22"/>
        </w:rPr>
        <w:t xml:space="preserve">Rezultati Leave-One-Tournament-Out validacije su konzistentni sa rezultatima StratifiedGroupKFold po meču validacije. Razlike u ROC AUC između dve validacione šeme ne prelaze 0,02, što ukazuje da modeli ne pokazuju znake dramatične prenaučenosti specifičnostima jednog turnira, mada LOTO rezultati pokazuju nešto veću varijabilnost nego K-Fold (što je očekivano s obzirom na samo 3 turnira).</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u ROC AUC i PR AUC kroz obe validacione šeme jeste snažan indirektan pokazatelj, ali ne predstavlja sama po sebi formalni statistički dokaz da razlika nije slučajna.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atributi Modela A predstavljaju tačan podskup atributa Modela B, pri čemu Model B sadrži svih 11 dodatnih StatsBomb 360 prostornih atributa navedenih u odeljku 3.4.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3.967 šuteva (bez penala, bez 1 šuta sa uglom jednakim nuli), kako bi poređenje log-likelihood vrednosti bilo validno. Rezultat je LR = 67,97, sa 11 stepeni slobode, što odgovara p-vrednosti od približno 2,97×10⁻¹⁰, odlučno odbacujući nultu hipotezu da StatsBomb 360 atributi ne doprinose modelu. Akaikeov informacioni kriterijum: AIC iznosi 2.139,93 za Model A i 2.093,96 za Model B (favorizuje B). Bajesov informacioni kriterijum (BIC) iznosi 2.202,79 naspram 2.225,96 (favorizuje A, što je metodološki očekivano jer BIC strože kažnjava dodatne parametre).</w:t>
      </w:r>
    </w:p>
    <w:p>
      <w:pPr>
        <w:spacing w:after="160" w:line="276"/>
        <w:ind w:firstLine="397"/>
        <w:jc w:val="both"/>
      </w:pPr>
      <w:r>
        <w:rPr>
          <w:rFonts w:ascii="Calibri" w:cs="Calibri" w:eastAsia="Calibri" w:hAnsi="Calibri"/>
          <w:sz w:val="22"/>
          <w:szCs w:val="22"/>
        </w:rPr>
        <w:t xml:space="preserve">Za poređenje na nivou pojedinačnih šuteva, sprovedena je bootstrap analiza razlike ROC AUC na kompletnim out-of-fold (OOF) predikcijama iz svih LOTO foldova. Pooled OOF ROC AUC iznosi 0,677 za Model A i 0,675 za Model B. Opažena razlika (Model B minus Model A) iznosi -0,003, a 95% bootstrap interval poverenja (2.000 iteracija) iznosi [-0,047, 0,040]. Interval sadrži nulu, što znači da na nivou pojedinačnog šuta razlika nije statistički značajna na alfa=0,05. Ovo je vredan nalaz koji zaslužuje transparentno prikazivanje: signal od 360 atributa je realan ali umeren. Na nivou turnira (LOTO validacija, Tabela 3), razlika je konzistentna i praktično smislena (+0,017 AUC). LR test potvrđuje da 360 atributi nose stvarnu inkrementalnu informaciju (p=2,97×10⁻¹⁰). Zaključak je da 360 atributi poboljšavaju model konzistentno kroz turnire, ali efekt na nivou pojedinačnog šuta nije toliko jak da preživi konzervativni shot-level bootstrap sa grupnom korekcijom.</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0,146</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0,095</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0,117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0,087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Primena izotone regresije kao post-hoc kalibracije značajno poboljšava Brier skor za sve četiri kombinacije modela (redukcije od 14% do 48% u zavisnosti od modela i validacione šeme).</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pet grupa: golman (GK - udaljenost golmana), konusni branioci (CONE - branioci u konusu šuta i između šutera i gola), defanzivni pritisak (PRESSURE - pressure_score, broj branilaca u blizini), linija šuta (SHOT_LINE - najbliži branilac liniji šuter-gol), i otvorenost ugla (OPEN_ANGLE - open_angle_ratio_360).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OPEN_ANGLE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bl>
    <w:p>
      <w:pPr>
        <w:spacing w:after="160" w:line="276"/>
        <w:ind w:firstLine="397"/>
        <w:jc w:val="both"/>
      </w:pPr>
      <w:r>
        <w:rPr>
          <w:rFonts w:ascii="Calibri" w:cs="Calibri" w:eastAsia="Calibri" w:hAnsi="Calibri"/>
          <w:sz w:val="22"/>
          <w:szCs w:val="22"/>
        </w:rPr>
        <w:t xml:space="preserve">Rezultati pokazuju da CONE daje najveće poboljšanje kada se pojedinačno doda Modelu A (+0,007), zatim PRESSURE (+0,007) i GK (+0,004). OPEN_ANGLE i SHOT_LINE ne donose merljiv doprinos kad se dodaju samostalno. Ovo ne meri jedinstveni doprinos svake grupe u punom modelu (jer su 360 atributi međusobno korelisani), već performans grupe kada se izoluje i doda baseline-u. Otvorenost ugla nije pokazala samostalan inkrementalni doprinos; njen eventualni doprinos u punom modelu može biti posledica redundancije sa drugim prostornim atributima. Napomena: ROC AUC za pun Model B u Tabeli 5 (0,773) blago se razlikuje od vrednosti u Tabeli 3 (0,777) jer ablation koristi logističku regresiju bez GridSearchCV.</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Odds Ratio za ključne atribute: veća udaljenost od gola asocirana je sa nižim odds-om gola, veći ugao šuta asociran je sa višim odds-om, šut glavom ima značajno niži Odds Ratio u odnosu na šut nogom, što je u skladu sa nalazima iz literature o nižoj stopi konverzije udaraca glavom.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udaljenošću golmana (goalkeeper_distance_360), koja se plasira kao najuticajniji 360 atribut. Otvorenost ugla ka golu (open_angle_ratio_360) rangira se tek na 14. mestu; nije pokazala samostalan inkrementalni doprinos u ablation analizi, a eventualna vrednost u punom modelu može odražavati redundanciju sa drugim prostornim atributima. Ovo je nalaz o prediktivnoj asocijaciji, ne o uzročnom efektu.</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Ovaj nesklad može ukazivati na nelinearnost ili interakcije koje logistički model ne hvata, ali sam po sebi ne identifikuje uzrok nesklada (mogući faktori uključuju i korelaciju sa drugim feature-ima i razlike u regularizaciji između dva modela).</w:t>
      </w:r>
    </w:p>
    <w:p>
      <w:pPr>
        <w:pStyle w:val="Heading2"/>
      </w:pPr>
      <w:r>
        <w:t xml:space="preserve">4.7. Analiza kompletnosti freeze-frame podataka</w:t>
      </w:r>
    </w:p>
    <w:p>
      <w:pPr>
        <w:spacing w:after="160" w:line="276"/>
        <w:ind w:firstLine="397"/>
        <w:jc w:val="both"/>
      </w:pPr>
      <w:r>
        <w:rPr>
          <w:rFonts w:ascii="Calibri" w:cs="Calibri" w:eastAsia="Calibri" w:hAnsi="Calibri"/>
          <w:sz w:val="22"/>
          <w:szCs w:val="22"/>
        </w:rPr>
        <w:t xml:space="preserve">StatsBomb 360 freeze-frame ne garantuje vidljivost svih 22 igrača na terenu. Broj vidljivih igrača po šutu varira zavisno od ugla kamere i okluzije. Tabela 6 prikazuje deskriptivnu statistiku broja vidljivih igrača i vidljivih protivnika po turniru.</w:t>
      </w:r>
    </w:p>
    <w:p>
      <w:pPr>
        <w:spacing w:after="240" w:before="60"/>
        <w:jc w:val="center"/>
      </w:pPr>
      <w:r>
        <w:rPr>
          <w:rFonts w:ascii="Calibri" w:cs="Calibri" w:eastAsia="Calibri" w:hAnsi="Calibri"/>
          <w:i/>
          <w:iCs/>
          <w:color w:val="444444"/>
          <w:sz w:val="18"/>
          <w:szCs w:val="18"/>
        </w:rPr>
        <w:t xml:space="preserve">Tabela 6. Deskriptivna statistika broja vidljivih igrača u freeze-frame podacima po turniru.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Vidljivi igrači (median)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IQR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Vidljivi protivnici (median)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IQR</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FIFA World Cup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13-18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7-9</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UEFA Euro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12-17</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8</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7-9</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UEFA Euro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14-18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7-10</w:t>
            </w:r>
          </w:p>
        </w:tc>
      </w:tr>
    </w:tbl>
    <w:p>
      <w:pPr>
        <w:spacing w:after="160" w:line="276"/>
        <w:ind w:firstLine="397"/>
        <w:jc w:val="both"/>
      </w:pPr>
      <w:r>
        <w:rPr>
          <w:rFonts w:ascii="Calibri" w:cs="Calibri" w:eastAsia="Calibri" w:hAnsi="Calibri"/>
          <w:sz w:val="22"/>
          <w:szCs w:val="22"/>
        </w:rPr>
        <w:t xml:space="preserve">Medijana broja vidljivih igrača iznosi 15 (ukupni raspon 4-22), dok medijana vidljivih protivnika iznosi 8 (raspon 2-11). UEFA Euro 2024 pokazuje blago veći broj vidljivih igrača, što može odražavati poboljšanje u freeze-frame pokrivanju.</w:t>
      </w:r>
    </w:p>
    <w:p>
      <w:pPr>
        <w:spacing w:after="160" w:line="276"/>
        <w:jc w:val="both"/>
      </w:pPr>
      <w:r>
        <w:drawing>
          <wp:inline xmlns:a="http://schemas.openxmlformats.org/drawingml/2006/main" xmlns:pic="http://schemas.openxmlformats.org/drawingml/2006/picture">
            <wp:extent cx="5029200" cy="1676400"/>
            <wp:docPr id="1" name="Picture 1"/>
            <wp:cNvGraphicFramePr>
              <a:graphicFrameLocks noChangeAspect="1"/>
            </wp:cNvGraphicFramePr>
            <a:graphic>
              <a:graphicData uri="http://schemas.openxmlformats.org/drawingml/2006/picture">
                <pic:pic>
                  <pic:nvPicPr>
                    <pic:cNvPr id="0" name="visibility_distribution.png"/>
                    <pic:cNvPicPr/>
                  </pic:nvPicPr>
                  <pic:blipFill>
                    <a:blip r:embed="rId10"/>
                    <a:stretch>
                      <a:fillRect/>
                    </a:stretch>
                  </pic:blipFill>
                  <pic:spPr>
                    <a:xfrm>
                      <a:off x="0" y="0"/>
                      <a:ext cx="5029200" cy="1676400"/>
                    </a:xfrm>
                    <a:prstGeom prst="rect"/>
                  </pic:spPr>
                </pic:pic>
              </a:graphicData>
            </a:graphic>
          </wp:inline>
        </w:drawing>
      </w:r>
    </w:p>
    <w:p>
      <w:pPr>
        <w:spacing w:after="240" w:before="60"/>
        <w:jc w:val="center"/>
      </w:pPr>
      <w:r>
        <w:rPr>
          <w:rFonts w:ascii="Calibri" w:cs="Calibri" w:eastAsia="Calibri" w:hAnsi="Calibri"/>
          <w:i/>
          <w:iCs/>
          <w:color w:val="444444"/>
          <w:sz w:val="18"/>
          <w:szCs w:val="18"/>
        </w:rPr>
        <w:t xml:space="preserve">Slika 3. Distribucija broja vidljivih igrača i protivnika po turniru.</w:t>
      </w:r>
    </w:p>
    <w:p>
      <w:pPr>
        <w:spacing w:after="160" w:line="276"/>
        <w:ind w:firstLine="397"/>
        <w:jc w:val="both"/>
      </w:pPr>
      <w:r>
        <w:rPr>
          <w:rFonts w:ascii="Calibri" w:cs="Calibri" w:eastAsia="Calibri" w:hAnsi="Calibri"/>
          <w:sz w:val="22"/>
          <w:szCs w:val="22"/>
        </w:rPr>
        <w:t xml:space="preserve">Da bi se ispitalo da li prednost Modela B zavisi od kompletnosti freeze-frame podataka, sprovedena je sensitivity analiza na podskupovima šuteva sa različitim pragovima minimalnog broja vidljivih protivnika (Tabela 7).</w:t>
      </w:r>
    </w:p>
    <w:p>
      <w:pPr>
        <w:spacing w:after="240" w:before="60"/>
        <w:jc w:val="center"/>
      </w:pPr>
      <w:r>
        <w:rPr>
          <w:rFonts w:ascii="Calibri" w:cs="Calibri" w:eastAsia="Calibri" w:hAnsi="Calibri"/>
          <w:i/>
          <w:iCs/>
          <w:color w:val="444444"/>
          <w:sz w:val="18"/>
          <w:szCs w:val="18"/>
        </w:rPr>
        <w:t xml:space="preserve">Tabela 7. Sensitivity analiza: Model B prednost za različite pragove vidljivosti protivnika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Podskup</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AUC Model A</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AUC Model B</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Svi šutevi (bez praga)</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&gt;=5 vidljivih protivnika</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3.704</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0,756</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+0,009</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&gt;=8 vidljivih protivnika</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2.643</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0,747</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0,757</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+0,011</w:t>
            </w:r>
          </w:p>
        </w:tc>
      </w:tr>
    </w:tbl>
    <w:p>
      <w:pPr>
        <w:spacing w:after="160" w:line="276"/>
        <w:ind w:firstLine="397"/>
        <w:jc w:val="both"/>
      </w:pPr>
      <w:r>
        <w:rPr>
          <w:rFonts w:ascii="Calibri" w:cs="Calibri" w:eastAsia="Calibri" w:hAnsi="Calibri"/>
          <w:sz w:val="22"/>
          <w:szCs w:val="22"/>
        </w:rPr>
        <w:t xml:space="preserve">Model B zadržava prednost na svim pragovima vidljivosti. Smanjenje delta vrednosti za striktnije pragove (sa +0,013 na +0,009) je umereno i može odražavati gubitak statističke snage (manji uzorak) jednako kao i realni efekat kompletnosti podataka. Ključni zaključak je da prednost Modela B nije artefakt nepotpunih freeze-frame podataka.</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poboljšava diskriminaciju (ROC AUC, PR AUC) u odnosu na Model A, dok su razlike u kalibrisanom Brier skoru male ali dosledne. Doprinos nije dramatičan u apsolutnom iznosu (oko 0,01 razlike u ROC AUC), ali je dosledan kroz sve kombinacije algoritma i validacione šeme, što povećava pouzdanost zaključka da 360 atributi sadrže dodatnu prediktivnu informaciju. Konkretnija potvrda dolazi iz SHAP analize, gde se udaljenost golmana (goalkeeper_distance_360) plasira kao najuticajniji 360 atribut u modelu, odmah iza ugla šuta.</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StratifiedGroupKFold po meču i Leave-One-Tournament-Out validacija daju slične rezultate je ohrabrujući u pogledu robusnosti modela. Kolmogorov-Smirnov test nije pronašao dokaz da se marginalne raspodele udaljenosti i ugla šuta razlikuju između turnira, što je kompatibilno sa hipotezom da model koristi geometrijske obrasce koji su relativno univerzalni za fudbalsku igru, mada samo-marginalne raspodele ne isključuju razlike u zajedničkoj distribuciji ili drugim nemerenim faktorima.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U skautingu, SHAP interpretacija modela može pomoći u identifikaciji igrača koji konzistentno postižu golove iz situacija sa visokim defanzivnim pritiskom, što ukazuje na prediktivnu asocijaciju sa veštinom koja nadilazi čistu poziciju na terenu. U evaluaciji golmana, atribut udaljenosti golmana iz freeze-frame podataka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numerički atributi su skalirani primenom StandardScaler-a unutar svakog trening folda (kao deo sklearn Pipeline/ColumnTransformer), čime se obezbeđuje da L2 regularizacija ravnomerno penalizuje koeficijente bez obzira na originalnu skalu atributa.</w:t>
      </w:r>
    </w:p>
    <w:p>
      <w:pPr>
        <w:spacing w:after="160" w:line="276"/>
        <w:ind w:firstLine="397"/>
        <w:jc w:val="both"/>
      </w:pPr>
      <w:r>
        <w:rPr>
          <w:rFonts w:ascii="Calibri" w:cs="Calibri" w:eastAsia="Calibri" w:hAnsi="Calibri"/>
          <w:sz w:val="22"/>
          <w:szCs w:val="22"/>
        </w:rPr>
        <w:t xml:space="preserve">Šesto, validacija je sprovedena sa StratifiedGroupKFold po meču (match_id kao grupišuća promenljiva), čime je obezbeđeno da šutevi iz iste utakmice nikada ne završe istovremeno u trening i test delu. Ovo je stroži pristup od standardnog Stratified K-Fold-a i daje konzervativniju ali realniju procenu performansa na novim utakmicama.</w:t>
      </w:r>
    </w:p>
    <w:p>
      <w:pPr>
        <w:spacing w:after="160" w:line="276"/>
        <w:ind w:firstLine="397"/>
        <w:jc w:val="both"/>
      </w:pPr>
      <w:r>
        <w:rPr>
          <w:rFonts w:ascii="Calibri" w:cs="Calibri" w:eastAsia="Calibri" w:hAnsi="Calibri"/>
          <w:sz w:val="22"/>
          <w:szCs w:val="22"/>
        </w:rPr>
        <w:t xml:space="preserve">Sedmo, bootstrap analiza je sprovedena na nivou pojedinačnih šuteva (parno resamplovanje), što čuva uparivanje Model A/B predikcija za isti šut, ali ne čuva zavisnost šuteva unutar istog meča. Cluster bootstrap po mečevima bi bio robusniji pristup.</w:t>
      </w:r>
    </w:p>
    <w:p>
      <w:pPr>
        <w:spacing w:after="160" w:line="276"/>
        <w:ind w:firstLine="397"/>
        <w:jc w:val="both"/>
      </w:pPr>
      <w:r>
        <w:rPr>
          <w:rFonts w:ascii="Calibri" w:cs="Calibri" w:eastAsia="Calibri" w:hAnsi="Calibri"/>
          <w:sz w:val="22"/>
          <w:szCs w:val="22"/>
        </w:rPr>
        <w:t xml:space="preserve">Osmo, StatsBomb 360 freeze-frame sadrži samo igrače vidljive kameri u trenutku šuta, ne nužno sve igrače na terenu. Count i density atributi (broj protivnika, pressure_score) mogu biti potcenjeni ako relevantan deo terena nije u vidnom polju kamere. Ovo ograničenje je inherentno izvoru podataka.</w:t>
      </w:r>
    </w:p>
    <w:p>
      <w:pPr>
        <w:spacing w:after="160" w:line="276"/>
        <w:ind w:firstLine="397"/>
        <w:jc w:val="both"/>
      </w:pPr>
      <w:r>
        <w:rPr>
          <w:rFonts w:ascii="Calibri" w:cs="Calibri" w:eastAsia="Calibri" w:hAnsi="Calibri"/>
          <w:sz w:val="22"/>
          <w:szCs w:val="22"/>
        </w:rPr>
        <w:t xml:space="preserve">Deveto, StatsBomb koordinatni sistem (120x80) tretiran je kao yard-ekvivalentan na osnovu toga što standardne yard dimenzije fudbalskog terena numerički odgovaraju koordinatama u StatsBomb dokumentaciji (6, 12 i 18 koordinatnih jedinica za kazneni prostor). StatsBomb formalno ne naziva ove jedinice jardima, ali konzistentnost sa standardnim dimenzijama podržava ovu interpretaciju. Svi geometrijski proračuni sprovedeni su dosledno unutar ovog sistema (c=8 za širinu gola, radijus=10 za pritisak).</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poboljšava ROC AUC i PR AUC u odnosu na model bez njih, dok su razlike u kalibrisanom Brier skoru male ali dosledne,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Udaljenost golmana iz freeze-frame podataka (goalkeeper_distance_360) pokazala se kao najuticajniji 360 prediktor u fitovanom XGBoost modelu, odmah iza ugla šuta. Otvorenost ugla ka golu (open_angle_ratio_360), iako uključena u Model B, rangira se tek na 14. mestu po SHAP važnosti i nije pokazala samostalan inkrementalni doprinos u ablation analizi; eventualna vrednost u punom modelu može odražavati redundanciju sa drugim prostornim atributima. Ovo je nalaz o prediktivnoj asocijaciji, ne o uzročnom efektu. Istovremeno, nije pronađen dokaz da se marginalne raspodele udaljenosti i ugla šuta razlikuju između turnira (KS test); razlika u konverziji stoga nije objašnjena tim dvema posmatranim geometrijskim karakteristikama, a mogući izvori uključuju završnicu, golmanski učinak i slučajnu varijaciju.</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Tomislav Fedek</dc:creator>
  <cp:lastModifiedBy>Tomislav Fedek</cp:lastModifiedBy>
  <cp:revision>1</cp:revision>
  <dcterms:created xsi:type="dcterms:W3CDTF">2026-08-19T19:45:55.565Z</dcterms:created>
  <dcterms:modified xsi:type="dcterms:W3CDTF">2026-08-19T19:45:55.566Z</dcterms:modified>
</cp:coreProperties>
</file>

<file path=docProps/custom.xml><?xml version="1.0" encoding="utf-8"?>
<Properties xmlns="http://schemas.openxmlformats.org/officeDocument/2006/custom-properties" xmlns:vt="http://schemas.openxmlformats.org/officeDocument/2006/docPropsVTypes"/>
</file>