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StratifiedGroupKFold po meču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67,98, sa 11 stepeni slobode, što odgovara p-vrednosti od približno 2,95×10⁻¹⁰, odlučno odbacujući nultu hipotezu da StatsBomb 360 atributi ne doprinose modelu. Akaikeov informacioni kriterijum: AIC iznosi 2.139,93 za Model A i 2.093,95 za Model B (favorizuje B). Bajesov informacioni kriterijum (BIC) iznosi 2.202,79 naspram 2.225,95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bootstrap analiza razlike ROC AUC na kompletnim out-of-fold (OOF) predikcijama iz svih LOTO foldova. Pooled OOF ROC AUC iznosi 0,677 za Model A i 0,688 za Model B. Opažena razlika (Model B minus Model A) iznosi 0,010, a 95% bootstrap interval poverenja (2.000 iteracija) iznosi [-0,015, 0,037].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(+0,018 AUC). LR test potvrđuje da 360 atributi nose stvarnu inkrementalnu informaciju (p=2,95×10⁻¹⁰). Zaključak je da 360 atributi poboljšavaju model konzistentno kroz turnire, ali efekt na nivou pojedinačnog šuta nije toliko jak da preživi konzervativni shot-level bootstrap.</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+0,012</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(+0,008),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(0,772) blago se razlikuje od vrednosti u Tabeli 3 (0,771)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validacija je sprovedena sa StratifiedGroupKFold po meču (match_id kao grupišuća promenljiva), čime je obezbeđeno da šutevi iz iste utakmice nikada ne završe istovremeno u trening i test delu. Ovo je stroži pristup od standardnog Stratified K-Fold-a i daje konzervativniju ali realniju procenu performansa na novim utakmicama.</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2026-08-19T11:17:02.560Z</dcterms:created>
  <dcterms:modified xsi:type="dcterms:W3CDTF">2026-08-19T11:17:02.565Z</dcterms:modified>
</cp:coreProperties>
</file>

<file path=docProps/custom.xml><?xml version="1.0" encoding="utf-8"?>
<Properties xmlns="http://schemas.openxmlformats.org/officeDocument/2006/custom-properties" xmlns:vt="http://schemas.openxmlformats.org/officeDocument/2006/docPropsVTypes"/>
</file>