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nadmašuje Model A na svim metrikama diskriminacije i kalibracije, i u Stratified K-Fold i u Leave-One-Tournament-Out validaciji, te da se taj doprinos održava kroz sva tri turnira. Otvorenost ugla ka golu, izvedena iz StatsBomb 360 podataka, pokazala se kao drugi najuticajniji atribut u SHAP analizi, odmah iza ugla šuta. Rad takođe pokazuje da je geometrija šuta (udaljenost, ugao) statistički slična kroz sva tri turnira, dok se stopa konverzije šuteva u gol značajno razlikuje po turniru, što ukazuje da razlike u performansu modela između turnira potiču pre iz varijacija u finalizaciji nego iz razlika u kvalitetu stvorenih šansi.</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(open_goal_angle_ratio),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i nema isti takmičarski i psihološki kontekst kao penal dosuđen tokom igre.</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Problem je rešen zamenom apsolutne udaljenosti golmana sa rezidualom (anomalijom) u odnosu na očekivanu poziciju golmana za datu udaljenost šuta:</w:t>
      </w:r>
    </w:p>
    <w:p>
      <w:pPr>
        <w:tabs>
          <w:tab w:val="right" w:pos="9000"/>
        </w:tabs>
        <w:spacing w:after="200" w:before="160"/>
        <w:jc w:val="center"/>
      </w:pPr>
      <m:oMath>
        <m:r>
          <m:t>anomaly = </m:t>
        </m:r>
        <m:sSub>
          <m:sSubPr/>
          <m:e>
            <m:r>
              <m:t>d</m:t>
            </m:r>
          </m:e>
          <m:sub>
            <m:r>
              <m:t>gk</m:t>
            </m:r>
          </m:sub>
        </m:sSub>
        <m:r>
          <m:t> − (a·</m:t>
        </m:r>
        <m:sSub>
          <m:sSubPr/>
          <m:e>
            <m:r>
              <m:t>d</m:t>
            </m:r>
          </m:e>
          <m:sub>
            <m:r>
              <m:t>shot</m:t>
            </m:r>
          </m:sub>
        </m:sSub>
        <m:r>
          <m:t> + b)</m:t>
        </m:r>
      </m:oMath>
      <w:r>
        <w:rPr>
          <w:sz w:val="20"/>
          <w:szCs w:val="20"/>
        </w:rPr>
        <w:t xml:space="preserve">	(16)</w:t>
      </w:r>
    </w:p>
    <w:p>
      <w:pPr>
        <w:spacing w:after="160" w:line="276"/>
        <w:ind w:firstLine="397"/>
        <w:jc w:val="both"/>
      </w:pPr>
      <w:r>
        <w:rPr>
          <w:rFonts w:ascii="Calibri" w:cs="Calibri" w:eastAsia="Calibri" w:hAnsi="Calibri"/>
          <w:sz w:val="22"/>
          <w:szCs w:val="22"/>
        </w:rPr>
        <w:t xml:space="preserve">gde su a i b koeficijenti proste linearne regresije udaljenosti golmana (d_gk) na udaljenost šuta (d_shot), procenjeni na celom skupu podataka. Ovom transformacijom VIF je spušten ispod 2.</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što je ocenjeno kao umerena, ne ekstremna neuravnoteženost. Rešeno je ponderisanjem klasa (class_weight u logističkoj regresiji, scale_pos_weight u XGBoost-u) izvedenim direktno iz stvarnog odnosa klasa u podacima, bez veštačkog resampling-a.</w:t>
      </w:r>
    </w:p>
    <w:p>
      <w:pPr>
        <w:pStyle w:val="ListParagraph"/>
        <w:numPr>
          <w:ilvl w:val="0"/>
          <w:numId w:val="3"/>
        </w:numPr>
        <w:spacing w:after="80"/>
      </w:pPr>
      <w:r>
        <w:rPr>
          <w:rFonts w:ascii="Calibri" w:cs="Calibri" w:eastAsia="Calibri" w:hAnsi="Calibri"/>
          <w:sz w:val="22"/>
          <w:szCs w:val="22"/>
        </w:rPr>
        <w:t xml:space="preserve">Retke kategorije: tipovi šuta Corner (6 opservacija, 0 golova) i Free Kick (130 opservacija, 3 gola) uzrokovali su kvazi-savršenu separaciju u logističkoj regresiji. Rešeno je agregacijom u jedinstvenu kategoriju Set Piece pre kodiranja.</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minut meča, deo tela, tehniku, tip akcije, tip šuta, stanje rezultata, da li je šut izveden pod pritiskom i da li je prvim dodirom. Model B sadrži sve atribute Modela A, uz dodatak StatsBomb 360 prostornih atributa: broj branilaca u liniji šuta, broj saigrača u istoj zoni, broj protivnika u krugu od 5 metara, otvorenost ugla ka golu (udeo gol-okvira koji nije zaklonjen), anomaliju pozicije golmana, najbližu udaljenost branioca od linije šuta i kontinuiranu meru defanzivnog pritiska.</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Precision-Recall AUC (PR AUC, posebno informativan kod neuravnoteženih klasa), preciznosti, odziva, F1 mere i matrice konfuzije.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Ključno: kalibraciona funkcija je naučena isključivo na trening delu svakog spoljnog folda (putem CalibratedClassifierCV sa unutrašnjom 3-fold validacijom), a nikada na test skupu na kome se izveštava finalni Brier skor. Ovim se izbegava optimistička pristrasnost koja bi nastala ako bi kalibrator video test labele tokom treniranja.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pozitivan efekat atributa na šansu gola, a vrednost manja od 1 na negativan efekat.</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α = 0,05 (hi-kvadrat = 14,996; p = 0,059), mada je rezultat granično blizu praga, što sugeriše mogući slab efekat koji bi veći uzorak mogao razjasniti.</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ako geometrija šuta, odnosno gde se šutira, nije različita na Evropskom prvenstvu 2024, a stopa konverzije jeste niža, razlika potiče iz finalizacije šanse (kvalitet izvedbe, slučajnost, golmani), a ne iz kvaliteta ili lokacije stvorenih šansi.</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0,783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0,159</w:t>
            </w:r>
          </w:p>
        </w:tc>
      </w:tr>
    </w:tbl>
    <w:p>
      <w:pPr>
        <w:spacing w:after="160" w:line="276"/>
        <w:ind w:firstLine="397"/>
        <w:jc w:val="both"/>
      </w:pPr>
      <w:r>
        <w:rPr>
          <w:rFonts w:ascii="Calibri" w:cs="Calibri" w:eastAsia="Calibri" w:hAnsi="Calibri"/>
          <w:sz w:val="22"/>
          <w:szCs w:val="22"/>
        </w:rPr>
        <w:t xml:space="preserve">Model B nadmašuje Model A na svim metrikama, bez obzira na to koji algoritam je korišćen. Logistička regresija ostvaruje viši ROC AUC i PR AUC od XGBoost-a u oba slučaja, dok XGBoost ostvaruje niži, odnosno bolji Brier skor, što ukazuje da XGBoost ima blago slabiju diskriminaciju ali bolju kalibraciju u odnosu na logističku regresiju na ovom skupu podataka.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0,780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0,149</w:t>
            </w:r>
          </w:p>
        </w:tc>
      </w:tr>
    </w:tbl>
    <w:p>
      <w:pPr>
        <w:spacing w:after="160" w:line="276"/>
        <w:ind w:firstLine="397"/>
        <w:jc w:val="both"/>
      </w:pPr>
      <w:r>
        <w:rPr>
          <w:rFonts w:ascii="Calibri" w:cs="Calibri" w:eastAsia="Calibri" w:hAnsi="Calibri"/>
          <w:sz w:val="22"/>
          <w:szCs w:val="22"/>
        </w:rPr>
        <w:t xml:space="preserve">Rezultati Leave-One-Tournament-Out validacije su gotovo identični rezultatima Stratified K-Fold validacije za sve četiri kombinacije modela i algoritma. Razlika u ROC AUC između dve validacione šeme ne prelazi 0,002 za bilo koju kombinaciju. Ovo je značajan nalaz: model ne pokazuje znake prenaučenosti specifičnostima jednog turnira, već generalizuje na turnir koji nikada nije vidio tokom treninga skoro identično dobro kao na podacima iz iste distribucije.</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kroz sve metrike i obe validacione šeme jeste snažan indirektan pokazatelj, ali ne predstavlja sama po sebi formalni statistički dokaz da razlika nije slučajna, odnosno posledica varijanse uzorka.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svih 24 atributa Modela A predstavljaju tačan podskup 31 atributa Modela B, pri čemu su preostala 7 atributa StatsBomb 360 prostorni atributi (broj branilaca u liniji šuta, broj saigrača u istoj zoni, broj protivnika u krugu od 5 metara, otvorenost ugla ka golu, najbliža udaljenost branioca od linije šuta, defanzivni pritisak i anomalija pozicije golmana).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64,80, sa 10 stepeni slobode, što odgovara p-vrednosti od približno 4,42×10⁻¹⁰, odlučno odbacujući nultu hipotezu da StatsBomb 360 atributi ne doprinose modelu. Ovaj nalaz je dodatno potkrepljen i informacionim kriterijumima: Akaikeov informacioni kriterijum (AIC) iznosi 2.141,44 za Model A i 2.096,63 za Model B (favorizuje B), a Bajesov informacioni kriterijum (BIC) 2.204,30 naspram 2.222,35 (favorizuje A, što je metodološki očekivano jer BIC strože kažnjava dodatne parametre na uzorcima ove veličine).</w:t>
      </w:r>
    </w:p>
    <w:p>
      <w:pPr>
        <w:spacing w:after="160" w:line="276"/>
        <w:ind w:firstLine="397"/>
        <w:jc w:val="both"/>
      </w:pPr>
      <w:r>
        <w:rPr>
          <w:rFonts w:ascii="Calibri" w:cs="Calibri" w:eastAsia="Calibri" w:hAnsi="Calibri"/>
          <w:sz w:val="22"/>
          <w:szCs w:val="22"/>
        </w:rPr>
        <w:t xml:space="preserve">Za XGBoost, modeli nisu ugnježdeni na isti parametarski način, pa Likelihood Ratio test nije primenjiv. Umesto toga, sprovedena je bootstrap analiza razlike ROC AUC na kompletnim out-of-fold (OOF) predikcijama iz svih LOTO foldova. Za svaki šut u datasetu postoji tačno jedna predikcija dobijena iz modela koji ga nikada nije video tokom treninga. Na ovim parnim (shot-level) predikcijama sprovedeno je 2.000 bootstrap iteracija. Opažena razlika ROC AUC (Model B minus Model A) iznosi 0,061, a 95% interval poverenja dobijen iz bootstrap raspodele iznosi [0,043, 0,079]. Pošto interval ne sadrži nulu, razlika se smatra statistički značajnom (p &lt; 0,001). Ovaj pristup je metodološki jači od bootstrap-a na jednom train-test splitu jer koristi sve podatke kao genuino out-of-sample predikcije i čuva shot-level korelacionu strukturu.</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spacing w:after="160" w:line="276"/>
        <w:ind w:firstLine="397"/>
        <w:jc w:val="both"/>
      </w:pPr>
      <w:r>
        <w:rPr>
          <w:rFonts w:ascii="Calibri" w:cs="Calibri" w:eastAsia="Calibri" w:hAnsi="Calibri"/>
          <w:sz w:val="22"/>
          <w:szCs w:val="22"/>
        </w:rPr>
        <w:t xml:space="preserve">U pripremi ovih testova, iz analize su izbačena dva šuta (0,05% od 3.968) zbog rezidualne nedostajuće vrednosti u atributu otvorenosti ugla, nastale u ekstremnom geometrijskom slučaju gde je ugao šuta jednak nuli. Ovo je odvojeno i znatno manje od izdvajanja penala (135 šuteva) opisanog u poglavlju 2, i odnosi se isključivo na Model B varijante.</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model predviđa visoke verovatnoće gola (na primer, preko 0,6) za situacije koje se u stvarnosti dešavaju znatno reže. Ovo je direktna posledica ponderisanja klasa primenjenog radi poboljšanja diskriminacije manjinske klase. Primena izotone regresije kao post-hoc kalibracije drastično poboljšava Brier skor za sve četiri kombinacije modela, sa redukcijom od preko 50%.</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četiri grupe: golman (GK - udaljenost golmana), konusni branioci (CONE - branioci u konusu šuta i između šutera i gola), defanzivni pritisak (PRESSURE - pressure_score, broj branilaca u blizini), i linija šuta (SHOT_LINE - najbliži branilac liniji šuter-gol).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najveći deo inkrementalne vrednosti dolazi iz informacije o broju i rasporedu protivnika u konusu šuta (CONE, +0,007), zatim iz defanzivnog pritiska (PRESSURE, +0,006), dok pozicija golmana donosi manji, ali merljiv doprinos (+0,003). Udaljenost branioca od linije šuta (SHOT_LINE) ne donosi praktično nikakav inkrementalni doprinos (+0,000) kad se doda sama, bez ostalih 360 atributa. Zaključak je da nije ceo 360 sloj podjednako vredan: najveći deo poboljšanja dolazi iz geometrijske informacije o zagušenosti prostora između šutera i gola.</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otvorenošću ugla ka golu, izvedenom iz StatsBomb 360 podataka. Ovo je konkretan i merljiv nalaz o prediktivnoj asocijaciji prostornih atributa u modelu, ne o uzročnom efektu promene tih atributa na ishod.</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odmah iza anomalije pozicije golmana. Ovaj nesklad sugeriše da efekat ovog atributa na verovatnoću gola nije linearan, odnosno da ga logistička regresija, koja pretpostavlja linearan odnos sa logitom, ne uspeva u potpunosti da uhvati, dok XGBoost, kroz stabla odluke, prirodno modeluje takav nelinearni ili interakcijski efekat, na primer da udaljenost branioca od linije šuta ima značajan utisak samo u kombinaciji sa malom udaljenošću od gola ili velikim otvorenim uglom. Ovo je dodatni argument u prilog korišćenju oba modela paralelno, jer se njihove interpretacije međusobno nadopunjuju, ne samo potvrđuju.</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i u svim primenjenim validacionim šemama nadmašuje Model A, i u pogledu diskriminacije i u pogledu kalibracije. Doprinos nije dramatičan u apsolutnom iznosu (na primer, oko 0,02 razlike u ROC AUC), ali je dosledan kroz sve kombinacije algoritma i validacione šeme, što povećava pouzdanost zaključka da je reč o stvarnom, ne slučajnom efektu. Konkretnija i možda informativnija potvrda dolazi iz SHAP analize, gde se otvorenost ugla ka golu, atribut koji ne postoji bez StatsBomb 360 podataka, plasira kao drugi najuticajniji atribut u celom modelu.</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praktično identične rezultate je ohrabrujući u pogledu robusnosti modela, ali zahteva oprez u tumačenju. Formalni Kolmogorov-Smirnov test je potvrdio da je geometrija šuta (udaljenost, ugao) statistički slična kroz sva tri turnira, što je verovatno glavni razlog zašto model generalizuje tako dobro: model se u najvećoj meri oslanja na geometrijske obrasce koji su univerzalni za fudbalsku igru, a ne na specifičnosti pojedinačnog turnira.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što je korisno za retrospektivnu analizu kvaliteta stvorenih šansi (na primer, da li je tim sistematski stvarao šanse iz situacija sa malo defanzivnog pritiska, ili obrnuto). U skautingu, SHAP interpretacija modela može pomoći u identifikaciji igrača koji konzistentno postižu golove iz situacija sa visokim defanzivnim pritiskom, što ukazuje na veštinu koja nadilazi čistu poziciju na terenu. U evaluaciji golmana, atribut anomalije pozicije golmana, koji meri odstupanje od očekivane pozicije za datu udaljenost šuta,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na primer minut utakmice u opsegu od 0 do 120 naspram binarnog indikatora 0 ili 1. S obzirom na to da je optimalni C približno 0,85, što predstavlja relativno slabu regularizaciju, i da se interpretacija koeficijenata kroz Odds Ratio temelji na zasebnom fitovanju metodom maksimalne verodostojnosti bez penalizacije, efekat ovog propusta na konačne zaključke procenjuje se kao zanemarljiv, ali se navodi kao metodološka nepreciznost.</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nadmašuje model bez njih, na svim metrikama diskriminacije i kalibracije,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Otvorenost ugla ka golu, atribut izveden direktno iz StatsBomb 360 podataka, pokazala se kao drugi najuticajniji prediktor u fitovanom XGBoost modelu, odmah iza ugla šuta. Ovo je nalaz o prediktivnoj asocijaciji, ne o uzročnom efektu: SHAP objašnjava ponašanje konkretnog modela, ali ne dokazuje da promena otvorenosti gola uzrokuje promenu ishoda. Istovremeno, formalna provera distribucijskog pomaka (KS test) pokazala je da su marginalne raspodele udaljenosti i ugla šuta statistički slične kroz sva tri turnira, dok se stopa konverzije značajno razlikuje. Ovo ne dokazuje jednakost ukupnog kvaliteta šansi (mogu se razlikovati zajednička raspodela, tip asistencije, brzina lopte i drugi faktori), ali sugeriše da razlike u performansu modela između turnira ne potiču iz grubih razlika u geometrijskoj distribuciji šuteva.</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2026-08-16T21:56:51.846Z</dcterms:created>
  <dcterms:modified xsi:type="dcterms:W3CDTF">2026-08-16T21:56:51.846Z</dcterms:modified>
</cp:coreProperties>
</file>

<file path=docProps/custom.xml><?xml version="1.0" encoding="utf-8"?>
<Properties xmlns="http://schemas.openxmlformats.org/officeDocument/2006/custom-properties" xmlns:vt="http://schemas.openxmlformats.org/officeDocument/2006/docPropsVTypes"/>
</file>