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pPr>
        <w:tabs>
          <w:tab w:val="right" w:pos="9000"/>
        </w:tabs>
        <w:spacing w:after="200" w:before="160"/>
        <w:jc w:val="center"/>
      </w:pPr>
      <m:oMath>
        <m:r>
          <m:t>anomaly = </m:t>
        </m:r>
        <m:sSub>
          <m:sSubPr/>
          <m:e>
            <m:r>
              <m:t>d</m:t>
            </m:r>
          </m:e>
          <m:sub>
            <m:r>
              <m:t>gk</m:t>
            </m:r>
          </m:sub>
        </m:sSub>
        <m:r>
          <m:t> − (a·</m:t>
        </m:r>
        <m:sSub>
          <m:sSubPr/>
          <m:e>
            <m:r>
              <m:t>d</m:t>
            </m:r>
          </m:e>
          <m:sub>
            <m:r>
              <m:t>shot</m:t>
            </m:r>
          </m:sub>
        </m:sSub>
        <m:r>
          <m:t> + b)</m:t>
        </m:r>
      </m:oMath>
      <w:r>
        <w:rPr>
          <w:sz w:val="20"/>
          <w:szCs w:val="20"/>
        </w:rPr>
        <w:t xml:space="preserve">	(16)</w:t>
      </w:r>
    </w:p>
    <w:p>
      <w:pPr>
        <w:spacing w:after="160" w:line="276"/>
        <w:ind w:firstLine="397"/>
        <w:jc w:val="both"/>
      </w:pPr>
      <w:r>
        <w:rPr>
          <w:rFonts w:ascii="Calibri" w:cs="Calibri" w:eastAsia="Calibri" w:hAnsi="Calibri"/>
          <w:sz w:val="22"/>
          <w:szCs w:val="22"/>
        </w:rPr>
        <w:t xml:space="preserve">gde su a i b koeficijenti proste linearne regresije udaljenosti golmana (d_gk) na udaljenost šuta (d_shot), procenjeni na celom skupu podataka. Ovom transformacijom VIF je spušten ispod 2.</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64,80, sa 10 stepeni slobode, što odgovara p-vrednosti od približno 4,42×10⁻¹⁰, odlučno odbacujući nultu hipotezu da StatsBomb 360 atributi ne doprinose modelu. Ovaj nalaz je dodatno potkrepljen i informacionim kriterijumima: Akaikeov informacioni kriterijum (AIC) iznosi 2.141,44 za Model A i 2.096,63 za Model B (favorizuje B), a Bajesov informacioni kriterijum (BIC) 2.204,30 naspram 2.222,35 (favorizuje A, što je metodološki očekivano jer BIC strože kažnjava dodatne parametre na uzorcima ove veličine).</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kompletnim out-of-fold (OOF) predikcijama iz svih LOTO foldova. Za svaki šut u datasetu postoji tačno jedna predikcija dobijena iz modela koji ga nikada nije video tokom treninga. Na ovim parnim (shot-level) predikcijama sprovedeno je 2.000 bootstrap iteracija. Opažena razlika ROC AUC (Model B minus Model A) iznosi 0,061, a 95% interval poverenja dobijen iz bootstrap raspodele iznosi [0,043, 0,079]. Pošto interval ne sadrži nulu, razlika se smatra statistički značajnom (p &lt; 0,001). Ovaj pristup je metodološki jači od bootstrap-a na jednom train-test splitu jer koristi sve podatke kao genuino out-of-sample predikcije i čuva shot-level korelacionu strukturu.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+0,008), zatim iz defanzivnog pritiska (PRESSURE, +0,007), dok pozicija golmana donosi manji, ali merljiv doprinos (+0,004). Udaljenost branioca od linije šuta (SHOT_LINE) ne donosi praktično nikakav inkrementalni doprinos kad se doda sama, bez ostalih 360 atributa. Zaključak je da nije ceo 360 sloj podjednako vredan: najveći deo poboljšanja dolazi iz geometrijske informacije o zagušenosti prostora između šutera i gola. Napomena: ROC AUC za pun Model B u Tabeli 5 (0,773) blago se razlikuje od vrednosti u Tabeli 3 (0,769) jer ablation analiza koristi logističku regresiju bez hiperparametarskog podešavanja (GridSearchCV), za razliku od Tabele 3 gde je model optimizovan unutar svakog folda.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fitovanom XGBoost modelu, odmah iza ugla šuta. Ovo je nalaz o prediktivnoj asocijaciji, ne o uzročnom efektu: SHAP objašnjava ponašanje konkretnog modela, ali ne dokazuje da promena otvorenosti gola uzrokuje promenu ishoda. Istovremeno, formalna provera distribucijskog pomaka (KS test) pokazala je da su marginalne raspodele udaljenosti i ugla šuta statistički slične kroz sva tri turnira, dok se stopa konverzije značajno razlikuje. Ovo ne dokazuje jednakost ukupnog kvaliteta šansi (mogu se razlikovati zajednička raspodela, tip asistencije, brzina lopte i drugi faktori), ali sugeriše da razlike u performansu modela između turnira ne potiču iz grubih razlika u geometrijskoj distribuciji šuteva.</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2026-08-16T22:00:24.484Z</dcterms:created>
  <dcterms:modified xsi:type="dcterms:W3CDTF">2026-08-16T22:00:24.485Z</dcterms:modified>
</cp:coreProperties>
</file>

<file path=docProps/custom.xml><?xml version="1.0" encoding="utf-8"?>
<Properties xmlns="http://schemas.openxmlformats.org/officeDocument/2006/custom-properties" xmlns:vt="http://schemas.openxmlformats.org/officeDocument/2006/docPropsVTypes"/>
</file>