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i nema isti takmičarski i psihološki kontekst kao penal dosuđen tokom igre.</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pPr>
        <w:tabs>
          <w:tab w:val="right" w:pos="9000"/>
        </w:tabs>
        <w:spacing w:after="200" w:before="160"/>
        <w:jc w:val="center"/>
      </w:pPr>
      <m:oMath>
        <m:r>
          <m:t>anomaly = </m:t>
        </m:r>
        <m:sSub>
          <m:sSubPr/>
          <m:e>
            <m:r>
              <m:t>d</m:t>
            </m:r>
          </m:e>
          <m:sub>
            <m:r>
              <m:t>gk</m:t>
            </m:r>
          </m:sub>
        </m:sSub>
        <m:r>
          <m:t> − (a·</m:t>
        </m:r>
        <m:sSub>
          <m:sSubPr/>
          <m:e>
            <m:r>
              <m:t>d</m:t>
            </m:r>
          </m:e>
          <m:sub>
            <m:r>
              <m:t>shot</m:t>
            </m:r>
          </m:sub>
        </m:sSub>
        <m:r>
          <m:t> + b)</m:t>
        </m:r>
      </m:oMath>
      <w:r>
        <w:rPr>
          <w:sz w:val="20"/>
          <w:szCs w:val="20"/>
        </w:rPr>
        <w:t xml:space="preserve">	(16)</w:t>
      </w:r>
    </w:p>
    <w:p>
      <w:pPr>
        <w:spacing w:after="160" w:line="276"/>
        <w:ind w:firstLine="397"/>
        <w:jc w:val="both"/>
      </w:pPr>
      <w:r>
        <w:rPr>
          <w:rFonts w:ascii="Calibri" w:cs="Calibri" w:eastAsia="Calibri" w:hAnsi="Calibri"/>
          <w:sz w:val="22"/>
          <w:szCs w:val="22"/>
        </w:rPr>
        <w:t xml:space="preserve">gde su a i b koeficijenti proste linearne regresije udaljenosti golmana (d_gk) na udaljenost šuta (d_shot), procenjeni na celom skupu podataka. Ovom transformacijom VIF je spušten ispod 2.</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pPr>
        <w:pStyle w:val="ListParagraph"/>
        <w:numPr>
          <w:ilvl w:val="0"/>
          <w:numId w:val="3"/>
        </w:numPr>
        <w:spacing w:after="80"/>
      </w:pPr>
      <w:r>
        <w:rPr>
          <w:rFonts w:ascii="Calibri" w:cs="Calibri" w:eastAsia="Calibri" w:hAnsi="Calibri"/>
          <w:sz w:val="22"/>
          <w:szCs w:val="22"/>
        </w:rPr>
        <w:t xml:space="preserve">Retke kategorije: tipovi šuta Corner (6 opservacija, 0 golova) i Free Kick (130 opservacija, 3 gola) uzrokovali su kvazi-savršenu separaciju u logističkoj regresiji. Rešeno je agregacijom u jedinstvenu kategoriju Set Piece pre kodiranja.</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Ključno: kalibraciona funkcija je naučena isključivo na trening delu svakog spoljnog folda (putem CalibratedClassifierCV sa unutrašnjom 3-fold validacijom), a nikada na test skupu na kome se izveštava finalni Brier skor. Ovim se izbegava optimistička pristrasnost koja bi nastala ako bi kalibrator video test labele tokom treniranja.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0,418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0,463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0,082</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0,439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0,451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0,081</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0,436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0,496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0,081</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0,159</w:t>
            </w:r>
          </w:p>
        </w:tc>
      </w:tr>
    </w:tbl>
    <w:p>
      <w:pPr>
        <w:spacing w:after="160" w:line="276"/>
        <w:ind w:firstLine="397"/>
        <w:jc w:val="both"/>
      </w:pPr>
      <w:r>
        <w:rPr>
          <w:rFonts w:ascii="Calibri" w:cs="Calibri" w:eastAsia="Calibri" w:hAnsi="Calibri"/>
          <w:sz w:val="22"/>
          <w:szCs w:val="22"/>
        </w:rPr>
        <w:t xml:space="preserve">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0,081</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0,797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0,437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0,452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0,081</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0,812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0,448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0,500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0,080</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0,780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0,347</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0,149</w:t>
            </w:r>
          </w:p>
        </w:tc>
      </w:tr>
    </w:tbl>
    <w:p>
      <w:pPr>
        <w:spacing w:after="160" w:line="276"/>
        <w:ind w:firstLine="397"/>
        <w:jc w:val="both"/>
      </w:pPr>
      <w:r>
        <w:rPr>
          <w:rFonts w:ascii="Calibri" w:cs="Calibri" w:eastAsia="Calibri" w:hAnsi="Calibri"/>
          <w:sz w:val="22"/>
          <w:szCs w:val="22"/>
        </w:rPr>
        <w:t xml:space="preserve">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70,03, sa 7 stepeni slobode, što odgovara p-vrednosti od približno 1,46×10⁻¹², odlučno odbacujući nultu hipotezu da StatsBomb 360 atributi ne doprinose modelu. Ovaj nalaz je dodatno potkrepljen i informacionim kriterijumima: Akaikeov informacioni kriterijum (AIC) iznosi 2.088,75 za Model A i 2.032,72 za Model B, a Bajesov informacioni kriterijum (BIC) 2.245,89 naspram 2.233,86, oba favorizujući Model B uprkos kazni za veći broj parametara.</w:t>
      </w:r>
    </w:p>
    <w:p>
      <w:pPr>
        <w:spacing w:after="160" w:line="276"/>
        <w:ind w:firstLine="397"/>
        <w:jc w:val="both"/>
      </w:pPr>
      <w:r>
        <w:rPr>
          <w:rFonts w:ascii="Calibri" w:cs="Calibri" w:eastAsia="Calibri" w:hAnsi="Calibri"/>
          <w:sz w:val="22"/>
          <w:szCs w:val="22"/>
        </w:rPr>
        <w:t xml:space="preserve">Za XGBoost, modeli nisu ugnježdeni na isti parametarski način, pa Likelihood Ratio test nije primenjiv. Umesto toga, sprovedena je bootstrap analiza razlike ROC AUC na kompletnim out-of-fold (OOF) predikcijama iz svih LOTO foldova. Za svaki šut u datasetu postoji tačno jedna predikcija dobijena iz modela koji ga nikada nije video tokom treninga. Na ovim parnim (shot-level) predikcijama sprovedeno je 2.000 bootstrap iteracija. Opažena razlika ROC AUC (Model B minus Model A) iznosi 0,061, a 95% interval poverenja dobijen iz bootstrap raspodele iznosi [0,043, 0,079]. Pošto interval ne sadrži nulu, razlika se smatra statistički značajnom (p &lt; 0,001). Ovaj pristup je metodološki jači od bootstrap-a na jednom train-test splitu jer koristi sve podatke kao genuino out-of-sample predikcije i čuva shot-level korelacionu strukturu.</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spacing w:after="160" w:line="276"/>
        <w:ind w:firstLine="397"/>
        <w:jc w:val="both"/>
      </w:pPr>
      <w:r>
        <w:rPr>
          <w:rFonts w:ascii="Calibri" w:cs="Calibri" w:eastAsia="Calibri" w:hAnsi="Calibri"/>
          <w:sz w:val="22"/>
          <w:szCs w:val="22"/>
        </w:rPr>
        <w:t xml:space="preserve">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0,134</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0,082</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0,124</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0,081</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0,099</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0,081</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0,099</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0,080</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četiri grupe: golman (GK - udaljenost golmana), konusni branioci (CONE - branioci u konusu šuta i između šutera i gola), defanzivni pritisak (PRESSURE - pressure_score, broj branilaca u blizini), i linija šuta (SHOT_LINE - najbliži branilac liniji šuter-gol).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0,802</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0,805</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+0,003</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0,807</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+0,006</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0,809</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0,812</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+0,010</w:t>
            </w:r>
          </w:p>
        </w:tc>
      </w:tr>
    </w:tbl>
    <w:p>
      <w:pPr>
        <w:spacing w:after="160" w:line="276"/>
        <w:ind w:firstLine="397"/>
        <w:jc w:val="both"/>
      </w:pPr>
      <w:r>
        <w:rPr>
          <w:rFonts w:ascii="Calibri" w:cs="Calibri" w:eastAsia="Calibri" w:hAnsi="Calibri"/>
          <w:sz w:val="22"/>
          <w:szCs w:val="22"/>
        </w:rPr>
        <w:t xml:space="preserve">Rezultati pokazuju da najveći deo inkrementalne vrednosti dolazi iz informacije o broju i rasporedu protivnika u konusu šuta (CONE, +0,007), zatim iz defanzivnog pritiska (PRESSURE, +0,006), dok pozicija golmana donosi manji, ali merljiv doprinos (+0,003). Udaljenost branioca od linije šuta (SHOT_LINE) ne donosi praktično nikakav inkrementalni doprinos (+0,000) kad se doda sama, bez ostalih 360 atributa. Zaključak je da nije ceo 360 sloj podjednako vredan: najveći deo poboljšanja dolazi iz geometrijske informacije o zagušenosti prostora između šutera i gola.</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otvorenošću ugla ka golu, izvedenom iz StatsBomb 360 podataka. Ovo je konkretan i merljiv nalaz o prediktivnoj asocijaciji prostornih atributa u modelu, ne o uzročnom efektu promene tih atributa na ishod.</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Otvorenost ugla ka golu, atribut izveden direktno iz StatsBomb 360 podataka, pokazala se kao drugi najuticajniji prediktor u fitovanom XGBoost modelu, odmah iza ugla šuta. Ovo je nalaz o prediktivnoj asocijaciji, ne o uzročnom efektu: SHAP objašnjava ponašanje konkretnog modela, ali ne dokazuje da promena otvorenosti gola uzrokuje promenu ishoda. Istovremeno, formalna provera distribucijskog pomaka (KS test) pokazala je da su marginalne raspodele udaljenosti i ugla šuta statistički slične kroz sva tri turnira, dok se stopa konverzije značajno razlikuje. Ovo ne dokazuje jednakost ukupnog kvaliteta šansi (mogu se razlikovati zajednička raspodela, tip asistencije, brzina lopte i drugi faktori), ali sugeriše da razlike u performansu modela između turnira ne potiču iz grubih razlika u geometrijskoj distribuciji šuteva.</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2026-08-16T20:46:53.730Z</dcterms:created>
  <dcterms:modified xsi:type="dcterms:W3CDTF">2026-08-16T20:46:53.730Z</dcterms:modified>
</cp:coreProperties>
</file>

<file path=docProps/custom.xml><?xml version="1.0" encoding="utf-8"?>
<Properties xmlns="http://schemas.openxmlformats.org/officeDocument/2006/custom-properties" xmlns:vt="http://schemas.openxmlformats.org/officeDocument/2006/docPropsVTypes"/>
</file>