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StratifiedGroupKFold po meču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koordinatnih jedinica (yard-ekvivalentno)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čija je udaljenost od šutera dᵢ manja ili jednaka 10 koordinatnih jedinica.</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spacing w:after="160" w:line="276"/>
        <w:ind w:firstLine="397"/>
        <w:jc w:val="both"/>
      </w:pPr>
      <w:r>
        <w:rPr>
          <w:rFonts w:ascii="Calibri" w:cs="Calibri" w:eastAsia="Calibri" w:hAnsi="Calibri"/>
          <w:sz w:val="22"/>
          <w:szCs w:val="22"/>
        </w:rPr>
        <w:t xml:space="preserve">Dodatno, VIF provera je identifikovala da je atribut defenders_in_shot_cone_360 tačan duplikat atributa opponents_between_shooter_and_goal_360 (VIF=inf, R²=1,0, koeficijent=1,000). Oba atributa su računala isti konstrukt (broj protivnika u trouglu šuter-dva stativa) pod različitim imenima. Duplikat je uklonjen iz finalnog skupa atributa pre formalnog LR testa, čime je eliminisana savršena linearna zavisnost koja je uzrokovala numeričku nestabilnost u nepenalizovanoj logističkoj regresiji.</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služi kao jednostavan referentni xG model za poređenje i koristi isključivo klasične event atribute: udaljenost od gola, ugao šuta, da li je šut prvim dodirom, da li je šut jedan-na-jedan, deo tela i tip šuta. Model B sadrži sve atribute Modela A, uz dodatak StatsBomb 360 prostornih atributa (ukupno 11): udaljenost golmana, broj protivnika između šutera i gola, protivnici u kaznenom prostoru, broj branilaca unutar 5 i 10 koordinatnih jedinica, najbliža udaljenost branioca od linije šuta, broj branilaca unutar 1 i 2 koordinatne jedinice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Grid Search uz unutrašnju trokratnu StratifiedGroupKFold po meču unakrsnu validaciju, čime je obezbeđeno da test podaci nikada nisu učestvovali u procesu podešavanja, a šutevi iz istog meča uvek ostaju u istom foldu.</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StratifiedGroupKFold po meču (5 foldova): koliko model radi na podacima iz iste distribucije kao i podaci za treniranje, uz strogi uslov da svi šutevi iz jedne utakmice ostaju u istom foldu (sprečava curenje informacija unutar meča).</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StratifiedGroupKFold i Leave-One-Tournament-Out odgovaraju na različita pitanja: prvi procenjuje performans unutar poznate distribucije uz kontrolu grupne strukture (šutevi iz istog meča ne curi u test),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3-fold validacijom), a nikada na test skupu na kome se izveštava finalni Brier skor.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koordinatnih jedinica, naspram 18,84 koordinatnih jedinica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StratifiedGroupKFold po meču validacija</w:t>
      </w:r>
    </w:p>
    <w:p>
      <w:pPr>
        <w:spacing w:after="240" w:before="60"/>
        <w:jc w:val="center"/>
      </w:pPr>
      <w:r>
        <w:rPr>
          <w:rFonts w:ascii="Calibri" w:cs="Calibri" w:eastAsia="Calibri" w:hAnsi="Calibri"/>
          <w:i/>
          <w:iCs/>
          <w:color w:val="444444"/>
          <w:sz w:val="18"/>
          <w:szCs w:val="18"/>
        </w:rPr>
        <w:t xml:space="preserve">Tabela 2. Rezultati StratifiedGroupKFold po meču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0,362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0,366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0,346</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0,352</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0,777</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0,401</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StratifiedGroupKFold po meču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3.967 šuteva (bez penala, bez 1 šuta sa uglom jednakim nuli), kako bi poređenje log-likelihood vrednosti bilo validno. Rezultat je LR = 67,97, sa 11 stepeni slobode, što odgovara p-vrednosti od približno 2,97×10⁻¹⁰, odlučno odbacujući nultu hipotezu da StatsBomb 360 atributi ne doprinose modelu. Akaikeov informacioni kriterijum: AIC iznosi 2.139,93 za Model A i 2.093,96 za Model B (favorizuje B). Bajesov informacioni kriterijum (BIC) iznosi 2.202,79 naspram 2.225,96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na nivou pojedinačnih šuteva, sprovedena je bootstrap analiza razlike ROC AUC na kompletnim out-of-fold (OOF) predikcijama iz svih LOTO foldova. Pooled OOF ROC AUC iznosi 0,677 za Model A i 0,675 za Model B. Opažena razlika (Model B minus Model A) iznosi -0,003, a 95% bootstrap interval poverenja (2.000 iteracija) iznosi [-0,047, 0,040]. Interval sadrži nulu, što znači da na nivou pojedinačnog šuta razlika nije statistički značajna na alfa=0,05. Ovo je vredan nalaz koji zaslužuje transparentno prikazivanje: signal od 360 atributa je realan ali umeren. Na nivou turnira (LOTO validacija, Tabela 3), razlika je konzistentna i praktično smislena (+0,017 AUC). LR test potvrđuje da 360 atributi nose stvarnu inkrementalnu informaciju (p=2,97×10⁻¹⁰). Zaključak je da 360 atributi poboljšavaju model konzistentno kroz turnire, ali efekt na nivou pojedinačnog šuta nije toliko jak da preživi konzervativni shot-level bootstrap sa grupnom korekcijom.</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0,146</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0,095</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0,117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14% do 48%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(+0,007),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(0,773) blago se razlikuje od vrednosti u Tabeli 3 (0,777)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2"/>
      </w:pPr>
      <w:r>
        <w:t xml:space="preserve">4.7. Analiza kompletnosti freeze-frame podataka</w:t>
      </w:r>
    </w:p>
    <w:p>
      <w:pPr>
        <w:spacing w:after="160" w:line="276"/>
        <w:ind w:firstLine="397"/>
        <w:jc w:val="both"/>
      </w:pPr>
      <w:r>
        <w:rPr>
          <w:rFonts w:ascii="Calibri" w:cs="Calibri" w:eastAsia="Calibri" w:hAnsi="Calibri"/>
          <w:sz w:val="22"/>
          <w:szCs w:val="22"/>
        </w:rPr>
        <w:t xml:space="preserve">StatsBomb 360 freeze-frame ne garantuje vidljivost svih 22 igrača na terenu. Broj vidljivih igrača po šutu varira zavisno od ugla kamere i okluzije. Tabela 6 prikazuje deskriptivnu statistiku broja vidljivih igrača i vidljivih protivnika po turniru.</w:t>
      </w:r>
    </w:p>
    <w:p>
      <w:pPr>
        <w:spacing w:after="240" w:before="60"/>
        <w:jc w:val="center"/>
      </w:pPr>
      <w:r>
        <w:rPr>
          <w:rFonts w:ascii="Calibri" w:cs="Calibri" w:eastAsia="Calibri" w:hAnsi="Calibri"/>
          <w:i/>
          <w:iCs/>
          <w:color w:val="444444"/>
          <w:sz w:val="18"/>
          <w:szCs w:val="18"/>
        </w:rPr>
        <w:t xml:space="preserve">Tabela 6. Deskriptivna statistika broja vidljivih igrača u freeze-frame podacima po turniru.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igrači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protivnici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FIFA World Cup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12-17</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7-10</w:t>
            </w:r>
          </w:p>
        </w:tc>
      </w:tr>
    </w:tbl>
    <w:p>
      <w:pPr>
        <w:spacing w:after="160" w:line="276"/>
        <w:ind w:firstLine="397"/>
        <w:jc w:val="both"/>
      </w:pPr>
      <w:r>
        <w:rPr>
          <w:rFonts w:ascii="Calibri" w:cs="Calibri" w:eastAsia="Calibri" w:hAnsi="Calibri"/>
          <w:sz w:val="22"/>
          <w:szCs w:val="22"/>
        </w:rPr>
        <w:t xml:space="preserve">Medijana broja vidljivih igrača iznosi 15 (ukupni raspon 4-22), dok medijana vidljivih protivnika iznosi 8 (raspon 2-11). UEFA Euro 2024 pokazuje blago veći broj vidljivih igrača, što može odražavati poboljšanje u freeze-frame pokrivanju.</w:t>
      </w:r>
    </w:p>
    <w:p>
      <w:pPr>
        <w:spacing w:after="160" w:line="276"/>
        <w:jc w:val="both"/>
      </w:pPr>
      <w:r>
        <w:drawing>
          <wp:inline xmlns:a="http://schemas.openxmlformats.org/drawingml/2006/main" xmlns:pic="http://schemas.openxmlformats.org/drawingml/2006/picture">
            <wp:extent cx="5029200" cy="1676400"/>
            <wp:docPr id="1" name="Picture 1"/>
            <wp:cNvGraphicFramePr>
              <a:graphicFrameLocks noChangeAspect="1"/>
            </wp:cNvGraphicFramePr>
            <a:graphic>
              <a:graphicData uri="http://schemas.openxmlformats.org/drawingml/2006/picture">
                <pic:pic>
                  <pic:nvPicPr>
                    <pic:cNvPr id="0" name="visibility_distribution.png"/>
                    <pic:cNvPicPr/>
                  </pic:nvPicPr>
                  <pic:blipFill>
                    <a:blip r:embed="rId10"/>
                    <a:stretch>
                      <a:fillRect/>
                    </a:stretch>
                  </pic:blipFill>
                  <pic:spPr>
                    <a:xfrm>
                      <a:off x="0" y="0"/>
                      <a:ext cx="5029200" cy="1676400"/>
                    </a:xfrm>
                    <a:prstGeom prst="rect"/>
                  </pic:spPr>
                </pic:pic>
              </a:graphicData>
            </a:graphic>
          </wp:inline>
        </w:drawing>
      </w:r>
    </w:p>
    <w:p>
      <w:pPr>
        <w:spacing w:after="240" w:before="60"/>
        <w:jc w:val="center"/>
      </w:pPr>
      <w:r>
        <w:rPr>
          <w:rFonts w:ascii="Calibri" w:cs="Calibri" w:eastAsia="Calibri" w:hAnsi="Calibri"/>
          <w:i/>
          <w:iCs/>
          <w:color w:val="444444"/>
          <w:sz w:val="18"/>
          <w:szCs w:val="18"/>
        </w:rPr>
        <w:t xml:space="preserve">Slika 3. Distribucija broja vidljivih igrača i protivnika po turniru.</w:t>
      </w:r>
    </w:p>
    <w:p>
      <w:pPr>
        <w:spacing w:after="160" w:line="276"/>
        <w:ind w:firstLine="397"/>
        <w:jc w:val="both"/>
      </w:pPr>
      <w:r>
        <w:rPr>
          <w:rFonts w:ascii="Calibri" w:cs="Calibri" w:eastAsia="Calibri" w:hAnsi="Calibri"/>
          <w:sz w:val="22"/>
          <w:szCs w:val="22"/>
        </w:rPr>
        <w:t xml:space="preserve">Da bi se ispitalo da li prednost Modela B zavisi od kompletnosti freeze-frame podataka, sprovedena je sensitivity analiza na podskupovima šuteva sa različitim pragovima minimalnog broja vidljivih protivnika (Tabela 7).</w:t>
      </w:r>
    </w:p>
    <w:p>
      <w:pPr>
        <w:spacing w:after="240" w:before="60"/>
        <w:jc w:val="center"/>
      </w:pPr>
      <w:r>
        <w:rPr>
          <w:rFonts w:ascii="Calibri" w:cs="Calibri" w:eastAsia="Calibri" w:hAnsi="Calibri"/>
          <w:i/>
          <w:iCs/>
          <w:color w:val="444444"/>
          <w:sz w:val="18"/>
          <w:szCs w:val="18"/>
        </w:rPr>
        <w:t xml:space="preserve">Tabela 7. Sensitivity analiza: Model B prednost za različite pragove vidljivosti protivnika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Podskup</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Model A</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Model B</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Svi šutevi (bez praga)</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&gt;=5 vidljivih protivnika</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3.704</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0,756</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&gt;=8 vidljivih protivnika</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2.643</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0,747</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0,757</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+0,011</w:t>
            </w:r>
          </w:p>
        </w:tc>
      </w:tr>
    </w:tbl>
    <w:p>
      <w:pPr>
        <w:spacing w:after="160" w:line="276"/>
        <w:ind w:firstLine="397"/>
        <w:jc w:val="both"/>
      </w:pPr>
      <w:r>
        <w:rPr>
          <w:rFonts w:ascii="Calibri" w:cs="Calibri" w:eastAsia="Calibri" w:hAnsi="Calibri"/>
          <w:sz w:val="22"/>
          <w:szCs w:val="22"/>
        </w:rPr>
        <w:t xml:space="preserve">Model B zadržava prednost na svim pragovima vidljivosti. Smanjenje delta vrednosti za striktnije pragove (sa +0,013 na +0,009) je umereno i može odražavati gubitak statističke snage (manji uzorak) jednako kao i realni efekat kompletnosti podataka. Ključni zaključak je da prednost Modela B nije artefakt nepotpunih freeze-frame podataka.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StratifiedGroupKFold po meču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validacija je sprovedena sa StratifiedGroupKFold po meču (match_id kao grupišuća promenljiva), čime je obezbeđeno da šutevi iz iste utakmice nikada ne završe istovremeno u trening i test delu. Ovo je stroži pristup od standardnog Stratified K-Fold-a i daje konzervativniju ali realniju procenu performansa na novim utakmicama.</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2026-08-19T19:47:48.945Z</dcterms:created>
  <dcterms:modified xsi:type="dcterms:W3CDTF">2026-08-19T19:47:48.946Z</dcterms:modified>
</cp:coreProperties>
</file>

<file path=docProps/custom.xml><?xml version="1.0" encoding="utf-8"?>
<Properties xmlns="http://schemas.openxmlformats.org/officeDocument/2006/custom-properties" xmlns:vt="http://schemas.openxmlformats.org/officeDocument/2006/docPropsVTypes"/>
</file>