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2"/>
      </w:pPr>
      <w:r>
        <w:t xml:space="preserve">3.9. Dostupnost podataka i koda</w:t>
      </w:r>
    </w:p>
    <w:p>
      <w:pPr>
        <w:spacing w:after="160" w:line="276"/>
        <w:ind w:firstLine="397"/>
        <w:jc w:val="both"/>
      </w:pPr>
      <w:r>
        <w:rPr>
          <w:rFonts w:ascii="Calibri" w:cs="Calibri" w:eastAsia="Calibri" w:hAnsi="Calibri"/>
          <w:sz w:val="22"/>
          <w:szCs w:val="22"/>
        </w:rPr>
        <w:t xml:space="preserve">Kompletan kod za reprodukciju svih rezultata (priprema podataka, treniranje modela, validacija, evaluacija, vizualizacija) javno je dostupan na GitHub repozitorijumu: https://github.com/tfedek/xG360. Podaci korišćeni u istraživanju dolaze iz javno dostupnog StatsBomb Open Data repozitorijuma (https://github.com/statsbomb/open-data) i mogu se slobodno preuzeti za akademska istraživanja.</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korišćenjem nezavisnog, nekalibrisanog LOTO pipeline-a. Rezultat pokazuje da zaključak zavisi od izabranog kriterijuma: kada se hiperparametri biraju prema average_precision (metrika rangiranja), Model B blago zaostaje za Modelom A na AUC (0,709 naspram 0,713, delta=-0,004), iako zadržava bolji sirovi Brier skor (0,110 naspram 0,152). Kada se hiperparametri biraju prema neg_log_loss ili neg_brier_score (metrike koje direktno optimizuju kvalitet verovatnoća), Model B nadmašuje Model A na oba pokazatelja (AUC: 0,775 naspram 0,761, delta=+0,014; Brier: 0,074 naspram 0,076). Ovaj nalaz sugeriše da prednost dodatnih 360 atributa zavisi od toga da li se selekcija hiperparametara eksplicitno fokusira na kvalitet probabilističkih predikcija - što je i primaran cilj xG modelovanja - a ne isključivo na rangiranje. Napominjemo da apsolutne vrednosti AUC u ovoj proveri nisu direktno uporedive sa kalibrisanim rezultatima u Tabeli 3, budući da ova analiza koristi nekalibrisane predikcije radi izolovanja efekta scoring kriterijuma od efekta post-hoc kalibracije.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formalna statistička neizvesnost razlike Model A/B procenjena je cluster bootstrap metodom po utakmicama (166 klastera, 2.000 iteracija), čime je poštovana zavisnost šuteva unutar iste utakmice. Dobijeni 95% interval poverenja za razliku ROC AUC [-0,033, 0,025] obuhvata nulu, što ukazuje da efekat na nivou pojedinačnog šuta, iako konzistentan po smeru kroz validacione šeme i turnire, nije statistički značajan na alfa=0,05 uz konzervativnu korekciju za klastersku zavisnost.</w:t>
      </w:r>
    </w:p>
    <w:p>
      <w:pPr>
        <w:spacing w:after="160" w:line="276"/>
        <w:ind w:firstLine="397"/>
        <w:jc w:val="both"/>
      </w:pPr>
      <w:r>
        <w:rPr>
          <w:rFonts w:ascii="Calibri" w:cs="Calibri" w:eastAsia="Calibri" w:hAnsi="Calibri"/>
          <w:sz w:val="22"/>
          <w:szCs w:val="22"/>
        </w:rPr>
        <w:t xml:space="preserve">Sedmo,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 Sensitivity analiza (odeljak 4.7) pokazuje da prednost Modela B ostaje konzistentna pri strožim pragovima minimalne vidljivosti (&gt;=5, &gt;=8 vidljivih protivnika), što delimično ublažava ovaj rizik, iako ne može potpuno isključiti efekat nepotpunog kadra na apsolutnu vrednost pojedinačnih atributa.</w:t>
      </w:r>
    </w:p>
    <w:p>
      <w:pPr>
        <w:spacing w:after="160" w:line="276"/>
        <w:ind w:firstLine="397"/>
        <w:jc w:val="both"/>
      </w:pPr>
      <w:r>
        <w:rPr>
          <w:rFonts w:ascii="Calibri" w:cs="Calibri" w:eastAsia="Calibri" w:hAnsi="Calibri"/>
          <w:sz w:val="22"/>
          <w:szCs w:val="22"/>
        </w:rPr>
        <w:t xml:space="preserve">Osmo,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Fedek, T. (2026). xG360: Doprinos StatsBomb 360 prostornih podataka u proceni verovatnoce gola [izvorni kod]. GitHub. https://github.com/tfedek/xG360</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2026-08-19T23:15:59.202Z</dcterms:created>
  <dcterms:modified xsi:type="dcterms:W3CDTF">2026-08-19T23:15:59.202Z</dcterms:modified>
</cp:coreProperties>
</file>

<file path=docProps/custom.xml><?xml version="1.0" encoding="utf-8"?>
<Properties xmlns="http://schemas.openxmlformats.org/officeDocument/2006/custom-properties" xmlns:vt="http://schemas.openxmlformats.org/officeDocument/2006/docPropsVTypes"/>
</file>