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80" w:before="0"/>
        <w:jc w:val="center"/>
      </w:pPr>
      <w:r>
        <w:rPr>
          <w:rFonts w:ascii="Calibri" w:cs="Calibri" w:eastAsia="Calibri" w:hAnsi="Calibri"/>
          <w:b/>
          <w:bCs/>
          <w:color w:val="1F3864"/>
          <w:sz w:val="24"/>
          <w:szCs w:val="24"/>
        </w:rPr>
        <w:t xml:space="preserve">STATISTIKA I MAŠINSKO UČENJE U ANALIZI SPORTSKIH PODATAKA</w:t>
      </w:r>
    </w:p>
    <w:p>
      <w:pPr>
        <w:spacing w:after="800" w:before="0"/>
        <w:jc w:val="center"/>
      </w:pPr>
      <w:r>
        <w:rPr>
          <w:rFonts w:ascii="Calibri" w:cs="Calibri" w:eastAsia="Calibri" w:hAnsi="Calibri"/>
          <w:sz w:val="22"/>
          <w:szCs w:val="22"/>
        </w:rPr>
        <w:t xml:space="preserve">Samostalni istraživački projekat</w:t>
      </w:r>
    </w:p>
    <w:p>
      <w:r>
        <w:t xml:space="preserve"/>
      </w:r>
    </w:p>
    <w:p>
      <w:r>
        <w:t xml:space="preserve"/>
      </w:r>
    </w:p>
    <w:p>
      <w:pPr>
        <w:spacing w:after="120" w:before="0"/>
        <w:jc w:val="center"/>
      </w:pPr>
      <w:r>
        <w:rPr>
          <w:rFonts w:ascii="Cambria" w:cs="Cambria" w:eastAsia="Cambria" w:hAnsi="Cambria"/>
          <w:b/>
          <w:bCs/>
          <w:color w:val="2E75B6"/>
          <w:sz w:val="32"/>
          <w:szCs w:val="32"/>
        </w:rPr>
        <w:t xml:space="preserve">Doprinos StatsBomb 360 prostornih podataka u proceni verovatnoće gola (xG)</w:t>
      </w:r>
    </w:p>
    <w:p>
      <w:pPr>
        <w:spacing w:after="800" w:before="0"/>
        <w:jc w:val="center"/>
      </w:pPr>
      <w:r>
        <w:rPr>
          <w:rFonts w:ascii="Calibri" w:cs="Calibri" w:eastAsia="Calibri" w:hAnsi="Calibri"/>
          <w:i/>
          <w:iCs/>
          <w:color w:val="666666"/>
          <w:sz w:val="24"/>
          <w:szCs w:val="24"/>
        </w:rPr>
        <w:t xml:space="preserve">Komparativna analiza klasičnih i prostorno-svesnih xG modela</w:t>
      </w:r>
    </w:p>
    <w:p>
      <w:r>
        <w:t xml:space="preserve"/>
      </w:r>
    </w:p>
    <w:p>
      <w:r>
        <w:t xml:space="preserve"/>
      </w:r>
    </w:p>
    <w:p>
      <w:r>
        <w:t xml:space="preserve"/>
      </w:r>
    </w:p>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9360"/>
            <w:tcBorders>
              <w:top w:val="none" w:color="FFFFFF" w:sz="0"/>
              <w:left w:val="none" w:color="FFFFFF" w:sz="0"/>
              <w:bottom w:val="none" w:color="FFFFFF" w:sz="0"/>
              <w:right w:val="none" w:color="FFFFFF" w:sz="0"/>
            </w:tcBorders>
          </w:tcPr>
          <w:p>
            <w:r>
              <w:rPr>
                <w:rFonts w:ascii="Calibri" w:cs="Calibri" w:eastAsia="Calibri" w:hAnsi="Calibri"/>
                <w:b/>
                <w:bCs/>
                <w:sz w:val="22"/>
                <w:szCs w:val="22"/>
              </w:rPr>
              <w:t xml:space="preserve">Autor:</w:t>
            </w:r>
          </w:p>
          <w:p>
            <w:r>
              <w:rPr>
                <w:rFonts w:ascii="Calibri" w:cs="Calibri" w:eastAsia="Calibri" w:hAnsi="Calibri"/>
                <w:sz w:val="22"/>
                <w:szCs w:val="22"/>
              </w:rPr>
              <w:t xml:space="preserve">Tomislav Fedek</w:t>
            </w:r>
          </w:p>
        </w:tc>
      </w:tr>
    </w:tbl>
    <w:p>
      <w:r>
        <w:t xml:space="preserve"/>
      </w:r>
    </w:p>
    <w:p>
      <w:r>
        <w:t xml:space="preserve"/>
      </w:r>
    </w:p>
    <w:p>
      <w:r>
        <w:t xml:space="preserve"/>
      </w:r>
    </w:p>
    <w:p>
      <w:pPr>
        <w:jc w:val="center"/>
      </w:pPr>
      <w:r>
        <w:rPr>
          <w:rFonts w:ascii="Calibri" w:cs="Calibri" w:eastAsia="Calibri" w:hAnsi="Calibri"/>
          <w:sz w:val="22"/>
          <w:szCs w:val="22"/>
        </w:rPr>
        <w:t xml:space="preserve">Subotica, 2026.</w:t>
      </w:r>
    </w:p>
    <w:p>
      <w:pPr>
        <w:sectPr>
          <w:pgSz w:w="12240" w:h="15840" w:orient="portrait"/>
          <w:pgMar w:top="1440" w:right="1440" w:bottom="1440" w:left="1440" w:header="708" w:footer="708" w:gutter="0"/>
          <w:pgNumType/>
          <w:docGrid w:linePitch="360"/>
        </w:sectPr>
      </w:pPr>
    </w:p>
    <w:p>
      <w:pPr>
        <w:pStyle w:val="Heading1"/>
      </w:pPr>
      <w:r>
        <w:t xml:space="preserve">Sažetak</w:t>
      </w:r>
    </w:p>
    <w:p>
      <w:pPr>
        <w:spacing w:after="160" w:line="276"/>
        <w:ind w:firstLine="397"/>
        <w:jc w:val="both"/>
      </w:pPr>
      <w:r>
        <w:rPr>
          <w:rFonts w:ascii="Calibri" w:cs="Calibri" w:eastAsia="Calibri" w:hAnsi="Calibri"/>
          <w:sz w:val="22"/>
          <w:szCs w:val="22"/>
        </w:rPr>
        <w:t xml:space="preserve">Ovaj rad predstavlja samostalnu statističku i ML analizu fudbalskih podataka sa ciljem da se odgovori na konkretno istraživačko pitanje: da li, i u kojoj meri, podaci o prostornom rasporedu igrača na terenu u trenutku šuta (StatsBomb 360) poboljšavaju procenu verovatnoće gola (Expected Goals, xG) u odnosu na model koji koristi samo klasične podatke o samom događaju šuta (udaljenost, ugao, deo tela, tip akcije).</w:t>
      </w:r>
    </w:p>
    <w:p>
      <w:pPr>
        <w:spacing w:after="160" w:line="276"/>
        <w:ind w:firstLine="397"/>
        <w:jc w:val="both"/>
      </w:pPr>
      <w:r>
        <w:rPr>
          <w:rFonts w:ascii="Calibri" w:cs="Calibri" w:eastAsia="Calibri" w:hAnsi="Calibri"/>
          <w:sz w:val="22"/>
          <w:szCs w:val="22"/>
        </w:rPr>
        <w:t xml:space="preserve">Analiza je sprovedena na javno dostupnim StatsBomb open data podacima za tri velika međunarodna fudbalska turnira sa potpunim StatsBomb 360 pokrićem: Svetsko prvenstvo 2022 (64 meča), Evropsko prvenstvo 2020 (51 meč) i Evropsko prvenstvo 2024 (51 meč), što je dalo ukupno 3.968 šuteva u konačnom skupu za modelovanje, od čega 372 gola (9,4%). Penali su izdvojeni iz modela i analizirani deskriptivno, jer StatsBomb ne pruža 360 podatke za njih.</w:t>
      </w:r>
    </w:p>
    <w:p>
      <w:pPr>
        <w:spacing w:after="160" w:line="276"/>
        <w:ind w:firstLine="397"/>
        <w:jc w:val="both"/>
      </w:pPr>
      <w:r>
        <w:rPr>
          <w:rFonts w:ascii="Calibri" w:cs="Calibri" w:eastAsia="Calibri" w:hAnsi="Calibri"/>
          <w:sz w:val="22"/>
          <w:szCs w:val="22"/>
        </w:rPr>
        <w:t xml:space="preserve">Metodologija obuhvata devet koraka: eksplorativnu analizu podataka, testiranje statističkih hipoteza (hi-kvadrat test, Mann-Whitney U test, Kolmogorov-Smirnov test), pripremu i pretprocesiranje podataka uz formalnu proveru pretpostavki (VIF, linearnost logita), definisanje dva skupa atributa (Model A, klasični atributi; Model B, klasični i StatsBomb 360 atributi), razvoj prediktivnih modela (logistička regresija i XGBoost) uz podešavanje hiperparametara, validaciju modela kroz StratifiedGroupKFold po meču i Leave-One-Tournament-Out šeme, evaluaciju diskriminacije i kalibracije (ROC AUC, PR AUC, Brier skor, kalibracione krive), interpretaciju modela (Odds Ratio, SHAP) i diskusiju nalaza.</w:t>
      </w:r>
    </w:p>
    <w:p>
      <w:pPr>
        <w:spacing w:after="160" w:line="276"/>
        <w:ind w:firstLine="397"/>
        <w:jc w:val="both"/>
      </w:pPr>
      <w:r>
        <w:rPr>
          <w:rFonts w:ascii="Calibri" w:cs="Calibri" w:eastAsia="Calibri" w:hAnsi="Calibri"/>
          <w:sz w:val="22"/>
          <w:szCs w:val="22"/>
        </w:rPr>
        <w:t xml:space="preserve">Glavni nalaz rada je da Model B konzistentno poboljšava ROC AUC i PR AUC u odnosu na Model A, dok su razlike u kalibrisanom Brier skoru male. Ovaj doprinos se održava kroz sva tri turnira. Udaljenost golmana iz freeze-frame podataka (goalkeeper_distance_360) pokazala se kao najuticajniji 360 atribut u SHAP analizi, drugi ukupno posle ugla šuta. Ablation analiza pokazuje da CONE (branioci u konusu šuta) daje najveće poboljšanje kad se pojedinačno doda Modelu A, zatim PRESSURE i GK, dok otvorenost ugla sama ne donosi merljiv samostalan doprinos.</w:t>
      </w:r>
    </w:p>
    <w:p>
      <w:pPr>
        <w:spacing w:after="120"/>
      </w:pPr>
      <w:r>
        <w:rPr>
          <w:rFonts w:ascii="Calibri" w:cs="Calibri" w:eastAsia="Calibri" w:hAnsi="Calibri"/>
          <w:i/>
          <w:iCs/>
          <w:sz w:val="22"/>
          <w:szCs w:val="22"/>
        </w:rPr>
        <w:t xml:space="preserve">Ključne reči: Expected Goals, StatsBomb 360, logistička regresija, XGBoost, SHAP, Leave-One-Tournament-Out validacija, fudbalska analitika</w:t>
      </w:r>
    </w:p>
    <w:p>
      <w:r>
        <w:br w:type="page"/>
      </w:r>
    </w:p>
    <w:p>
      <w:pPr>
        <w:pStyle w:val="Heading1"/>
      </w:pPr>
      <w:r>
        <w:t xml:space="preserve">1. Uvod</w:t>
      </w:r>
    </w:p>
    <w:p>
      <w:pPr>
        <w:spacing w:after="160" w:line="276"/>
        <w:ind w:firstLine="397"/>
        <w:jc w:val="both"/>
      </w:pPr>
      <w:r>
        <w:rPr>
          <w:rFonts w:ascii="Calibri" w:cs="Calibri" w:eastAsia="Calibri" w:hAnsi="Calibri"/>
          <w:sz w:val="22"/>
          <w:szCs w:val="22"/>
        </w:rPr>
        <w:t xml:space="preserve">Statistička analiza fudbalskih podataka u poslednjoj deceniji prešla je put od jednostavnih deskriptivnih pregleda (broj šuteva, posed lopte, pretrčana razdaljina) do sofisticiranih prediktivnih modela koji procenjuju kvalitet svake pojedinačne šanse za gol. Najpoznatiji takav model, Expected Goals (xG), procenjuje verovatnoću da će konkretan šut završiti golom na osnovu karakteristika tog šuta, najčešće udaljenosti od gola, ugla šuta i dela tela kojim je izveden.</w:t>
      </w:r>
    </w:p>
    <w:p>
      <w:pPr>
        <w:spacing w:after="160" w:line="276"/>
        <w:ind w:firstLine="397"/>
        <w:jc w:val="both"/>
      </w:pPr>
      <w:r>
        <w:rPr>
          <w:rFonts w:ascii="Calibri" w:cs="Calibri" w:eastAsia="Calibri" w:hAnsi="Calibri"/>
          <w:sz w:val="22"/>
          <w:szCs w:val="22"/>
        </w:rPr>
        <w:t xml:space="preserve">Komercijalni provajderi sportskih podataka, među kojima je i kompanija StatsBomb, u poslednjih nekoliko godina počeli su da objavljuju i takozvane 360 podatke, koji za određene događaje u meču (najčešće šuteve) pružaju freeze frame, odnosno trenutni raspored svih vidljivih igrača na terenu. Time se otvara mogućnost da se xG model proširi prostornim atributima, kao što su broj branilaca u liniji šuta, udaljenost golmana od uobičajene pozicije ili udeo gol-okvira koji nije zaklonjen protivničkim igračima.</w:t>
      </w:r>
    </w:p>
    <w:p>
      <w:pPr>
        <w:spacing w:after="160" w:line="276"/>
        <w:ind w:firstLine="397"/>
        <w:jc w:val="both"/>
      </w:pPr>
      <w:r>
        <w:rPr>
          <w:rFonts w:ascii="Calibri" w:cs="Calibri" w:eastAsia="Calibri" w:hAnsi="Calibri"/>
          <w:sz w:val="22"/>
          <w:szCs w:val="22"/>
        </w:rPr>
        <w:t xml:space="preserve">Cilj ovog rada nije da stvori bolji ili precizniji xG model od postojećih komercijalnih rešenja, niti da po prvi put dokaže da prostorni podaci uopšte imaju vrednost za xG, jer taj nalaz već postoji u dostupnoj literaturi i u sopstvenoj praksi kompanije StatsBomb. Cilj je uži i metodološki precizniji: da se na transparentan i reproducibilan način izmeri koliko konkretno prostorni atributi doprinose kvalitetu modela, i da se taj doprinos formalno proveri kroz validacionu šemu koja simulira primenu modela na potpuno nov, prethodno neviđen turnir.</w:t>
      </w:r>
    </w:p>
    <w:p>
      <w:pPr>
        <w:spacing w:after="160" w:line="276"/>
        <w:ind w:firstLine="397"/>
        <w:jc w:val="both"/>
      </w:pPr>
      <w:r>
        <w:rPr>
          <w:rFonts w:ascii="Calibri" w:cs="Calibri" w:eastAsia="Calibri" w:hAnsi="Calibri"/>
          <w:sz w:val="22"/>
          <w:szCs w:val="22"/>
        </w:rPr>
        <w:t xml:space="preserve">Rad je strukturiran kao samostalna analiza, nezavisna od ostalih akademskih i profesionalnih aktivnosti autora, ali metodološki se naslanja na iskustvo sa statističkim modelovanjem binarnih ishoda (testiranje hipoteza, logistička regresija, validacija modela) stečeno u ranijem radu na analizi phishing kampanja.</w:t>
      </w:r>
    </w:p>
    <w:p>
      <w:pPr>
        <w:pStyle w:val="Heading1"/>
      </w:pPr>
      <w:r>
        <w:t xml:space="preserve">2. Podaci</w:t>
      </w:r>
    </w:p>
    <w:p>
      <w:pPr>
        <w:pStyle w:val="Heading2"/>
      </w:pPr>
      <w:r>
        <w:t xml:space="preserve">2.1. Izvor podataka</w:t>
      </w:r>
    </w:p>
    <w:p>
      <w:pPr>
        <w:spacing w:after="160" w:line="276"/>
        <w:ind w:firstLine="397"/>
        <w:jc w:val="both"/>
      </w:pPr>
      <w:r>
        <w:rPr>
          <w:rFonts w:ascii="Calibri" w:cs="Calibri" w:eastAsia="Calibri" w:hAnsi="Calibri"/>
          <w:sz w:val="22"/>
          <w:szCs w:val="22"/>
        </w:rPr>
        <w:t xml:space="preserve">Podaci su preuzeti iz StatsBomb open data repozitorijuma (github.com/statsbomb/open-data), javno dostupnog i besplatnog izvora event i 360 podataka za odabrana fudbalska takmičenja. Proverom svih takmičenja u repozitorijumu utvrđeno je da samo tri velika međunarodna turnira imaju potpuno (100%) StatsBomb 360 pokriće na nivou meča: Svetsko prvenstvo 2022 (64 od 64 meča), Evropsko prvenstvo 2020 (51 od 51 meč) i Evropsko prvenstvo 2024 (51 od 51 meč). Afrički kup nacija 2023 je razmatran kao mogući četvrti turnir, ali je odbačen jer ima 360 podatke za samo 1 od 52 meča, što je nedovoljno za uključivanje u validacionu šemu. Svetsko prvenstvo 2018 i Copa America 2024 nemaju 360 podatke u javno dostupnom repozitorijumu.</w:t>
      </w:r>
    </w:p>
    <w:p>
      <w:pPr>
        <w:spacing w:after="160" w:line="276"/>
        <w:ind w:firstLine="397"/>
        <w:jc w:val="both"/>
      </w:pPr>
      <w:r>
        <w:rPr>
          <w:rFonts w:ascii="Calibri" w:cs="Calibri" w:eastAsia="Calibri" w:hAnsi="Calibri"/>
          <w:sz w:val="22"/>
          <w:szCs w:val="22"/>
        </w:rPr>
        <w:t xml:space="preserve">Svesno je odlučeno da se u analizu ne uključuju klupske lige (Bundesliga, La Liga, Ligue 1, MLS) niti žensko Svetsko prvenstvo, iako za njih takođe postoje besplatni 360 podaci. Razlog je metodološki: mešanje turnirskog (kratak, eliminacioni format, nacionalni timovi) i ligaškog (dugačka sezona, klupski timovi) konteksta, ili mešanje različitih kategorija takmičenja, uvelo bi konfundirajući faktor koji bi otežao jasno tumačenje da li model generalizuje kroz turnire ili kroz fundamentalno različite formate fudbala.</w:t>
      </w:r>
    </w:p>
    <w:p>
      <w:pPr>
        <w:pStyle w:val="Heading2"/>
      </w:pPr>
      <w:r>
        <w:t xml:space="preserve">2.2. StatsBomb 360 podaci</w:t>
      </w:r>
    </w:p>
    <w:p>
      <w:pPr>
        <w:spacing w:after="160" w:line="276"/>
        <w:ind w:firstLine="397"/>
        <w:jc w:val="both"/>
      </w:pPr>
      <w:r>
        <w:rPr>
          <w:rFonts w:ascii="Calibri" w:cs="Calibri" w:eastAsia="Calibri" w:hAnsi="Calibri"/>
          <w:sz w:val="22"/>
          <w:szCs w:val="22"/>
        </w:rPr>
        <w:t xml:space="preserve">StatsBomb 360 je naziv za dodatni sloj podataka koji, za određene događaje u meču, pruža takozvani freeze frame, odnosno trenutni položaj svih vidljivih igrača na terenu u momentu tog događaja, sa naznakom da li je igrač saigrač, protivnik ili golman. Ovo se razlikuje od standardnih event podataka, koji bez 360 sloja sadrže samo poziciju lopte i igrača koji izvodi akciju, bez informacije o rasporedu ostalih igrača.</w:t>
      </w:r>
    </w:p>
    <w:p>
      <w:pPr>
        <w:spacing w:after="160" w:line="276"/>
        <w:ind w:firstLine="397"/>
        <w:jc w:val="both"/>
      </w:pPr>
      <w:r>
        <w:rPr>
          <w:rFonts w:ascii="Calibri" w:cs="Calibri" w:eastAsia="Calibri" w:hAnsi="Calibri"/>
          <w:sz w:val="22"/>
          <w:szCs w:val="22"/>
        </w:rPr>
        <w:t xml:space="preserve">StatsBomb koristi sopstveni koordinatni sistem terena dimenzija 120 x 80 koordinatnih jedinica. U geometrijskim proračunima ove koordinatne jedinice tretirane su kao yard-ekvivalentne, jer standardne yard dimenzije fudbalskog terena numerički odgovaraju koordinatama (StatsBomb dokumentacija koristi 6, 12 i 18 koordinatnih jedinica za standardne yard dimenzije kaznenog prostora). Gol se nalazi na poziciji x=120, y=40, a širina gola od 8 koordinatnih jedinica (što odgovara fizičkoj širini gola od približno 7,32 m) daje raspon y=36 do y=44. Svi geometrijski proračuni (udaljenost, ugao, radijus pritiska od 10 koordinatnih jedinica) sprovedeni su dosledno unutar ovog sistema.</w:t>
      </w:r>
    </w:p>
    <w:p>
      <w:pPr>
        <w:pStyle w:val="Heading2"/>
      </w:pPr>
      <w:r>
        <w:t xml:space="preserve">2.3. Geometrijski atributi šuta</w:t>
      </w:r>
    </w:p>
    <w:p>
      <w:pPr>
        <w:spacing w:after="160" w:line="276"/>
        <w:ind w:firstLine="397"/>
        <w:jc w:val="both"/>
      </w:pPr>
      <w:r>
        <w:rPr>
          <w:rFonts w:ascii="Calibri" w:cs="Calibri" w:eastAsia="Calibri" w:hAnsi="Calibri"/>
          <w:sz w:val="22"/>
          <w:szCs w:val="22"/>
        </w:rPr>
        <w:t xml:space="preserve">Za svaki šut, udaljenost od centra gola računa se kao euklidska udaljenost između koordinata šuta (x, y) i koordinata centra gola (120, 40):</w:t>
      </w:r>
    </w:p>
    <w:p>
      <w:pPr>
        <w:tabs>
          <w:tab w:val="right" w:pos="9000"/>
        </w:tabs>
        <w:spacing w:after="200" w:before="160"/>
        <w:jc w:val="center"/>
      </w:pPr>
      <m:oMath>
        <m:r>
          <m:t>d = </m:t>
        </m:r>
        <m:rad>
          <m:radPr>
            <m:degHide m:val="1"/>
          </m:radPr>
          <m:deg/>
          <m:e>
            <m:sSup>
              <m:sSupPr/>
              <m:e>
                <m:d>
                  <m:dPr/>
                  <m:e>
                    <m:r>
                      <m:t>120 - x</m:t>
                    </m:r>
                  </m:e>
                </m:d>
              </m:e>
              <m:sup>
                <m:r>
                  <m:t>2</m:t>
                </m:r>
              </m:sup>
            </m:sSup>
            <m:r>
              <m:t> + </m:t>
            </m:r>
            <m:sSup>
              <m:sSupPr/>
              <m:e>
                <m:d>
                  <m:dPr/>
                  <m:e>
                    <m:r>
                      <m:t>40 - y</m:t>
                    </m:r>
                  </m:e>
                </m:d>
              </m:e>
              <m:sup>
                <m:r>
                  <m:t>2</m:t>
                </m:r>
              </m:sup>
            </m:sSup>
          </m:e>
        </m:rad>
      </m:oMath>
      <w:r>
        <w:rPr>
          <w:sz w:val="20"/>
          <w:szCs w:val="20"/>
        </w:rPr>
        <w:t xml:space="preserve">	(1)</w:t>
      </w:r>
    </w:p>
    <w:p>
      <w:pPr>
        <w:spacing w:after="160" w:line="276"/>
        <w:ind w:firstLine="397"/>
        <w:jc w:val="both"/>
      </w:pPr>
      <w:r>
        <w:rPr>
          <w:rFonts w:ascii="Calibri" w:cs="Calibri" w:eastAsia="Calibri" w:hAnsi="Calibri"/>
          <w:sz w:val="22"/>
          <w:szCs w:val="22"/>
        </w:rPr>
        <w:t xml:space="preserve">Ugao šuta računa se primenom zakona kosinusa na trougao formiran tačkom šuta i dva gol-direka, gde su a i b udaljenosti od tačke šuta do levog i desnog gol-direka u StatsBomb koordinatnom sistemu, a c = 8 koordinatnih jedinica (fizička širina gola od približno 7,32 m):</w:t>
      </w:r>
    </w:p>
    <w:p>
      <w:pPr>
        <w:tabs>
          <w:tab w:val="right" w:pos="9000"/>
        </w:tabs>
        <w:spacing w:after="200" w:before="160"/>
        <w:jc w:val="center"/>
      </w:pPr>
      <m:oMath>
        <m:r>
          <m:t>θ = arccos</m:t>
        </m:r>
        <m:d>
          <m:dPr/>
          <m:e>
            <m:f>
              <m:num>
                <m:r>
                  <m:t>a² + b² - c²</m:t>
                </m:r>
              </m:num>
              <m:den>
                <m:r>
                  <m:t>2ab</m:t>
                </m:r>
              </m:den>
            </m:f>
          </m:e>
        </m:d>
      </m:oMath>
      <w:r>
        <w:rPr>
          <w:sz w:val="20"/>
          <w:szCs w:val="20"/>
        </w:rPr>
        <w:t xml:space="preserve">	(2)</w:t>
      </w:r>
    </w:p>
    <w:p>
      <w:pPr>
        <w:spacing w:after="160" w:line="276"/>
        <w:ind w:firstLine="397"/>
        <w:jc w:val="both"/>
      </w:pPr>
      <w:r>
        <w:rPr>
          <w:rFonts w:ascii="Calibri" w:cs="Calibri" w:eastAsia="Calibri" w:hAnsi="Calibri"/>
          <w:sz w:val="22"/>
          <w:szCs w:val="22"/>
        </w:rPr>
        <w:t xml:space="preserve">Atribut otvorenosti ugla ka golu (open_angle_ratio_360), izveden iz StatsBomb 360 podataka, predstavlja udeo ugla šuta koji nije zaklonjen protivničkim igračima. Za svakog protivnika koji se geometrijski nalazi između šutera i gola, procenjuje se ugaona „senka” koju njegovo telo baca prema šuteru, a zatim se sve preklapajuće senke spajaju da se izbegne dvostruko računanje istog dela gola blokiranog od dva igrača koji stoje jedan iza drugog:</w:t>
      </w:r>
    </w:p>
    <w:p>
      <w:pPr>
        <w:tabs>
          <w:tab w:val="right" w:pos="9000"/>
        </w:tabs>
        <w:spacing w:after="200" w:before="160"/>
        <w:jc w:val="center"/>
      </w:pPr>
      <m:oMath>
        <m:r>
          <m:t>r = 1 - </m:t>
        </m:r>
        <m:f>
          <m:num>
            <m:r>
              <m:t>min(θ_blok, θ)</m:t>
            </m:r>
          </m:num>
          <m:den>
            <m:r>
              <m:t>θ</m:t>
            </m:r>
          </m:den>
        </m:f>
      </m:oMath>
      <w:r>
        <w:rPr>
          <w:sz w:val="20"/>
          <w:szCs w:val="20"/>
        </w:rPr>
        <w:t xml:space="preserve">	(3)</w:t>
      </w:r>
    </w:p>
    <w:p>
      <w:pPr>
        <w:spacing w:after="160" w:line="276"/>
        <w:ind w:firstLine="397"/>
        <w:jc w:val="both"/>
      </w:pPr>
      <w:r>
        <w:rPr>
          <w:rFonts w:ascii="Calibri" w:cs="Calibri" w:eastAsia="Calibri" w:hAnsi="Calibri"/>
          <w:sz w:val="22"/>
          <w:szCs w:val="22"/>
        </w:rPr>
        <w:t xml:space="preserve">gde je θ ukupan ugao šuta, a θ_blok ugao koji je efektivno blokiran (nakon spajanja preklapajućih senki).</w:t>
      </w:r>
    </w:p>
    <w:p>
      <w:pPr>
        <w:spacing w:after="160" w:line="276"/>
        <w:ind w:firstLine="397"/>
        <w:jc w:val="both"/>
      </w:pPr>
      <w:r>
        <w:rPr>
          <w:rFonts w:ascii="Calibri" w:cs="Calibri" w:eastAsia="Calibri" w:hAnsi="Calibri"/>
          <w:sz w:val="22"/>
          <w:szCs w:val="22"/>
        </w:rPr>
        <w:t xml:space="preserve">Atribut najbliže udaljenosti branioca od linije šuta (nearest_defender_to_shot_line) računa se kao minimalna ortogonalna udaljenost od pozicije branioca do duži koja spaja šutera i centar gola, uzimajući u obzir samo branioce koji se nalaze između šutera i gola. Parametar t predstavlja položaj projekcije tačke branioca P na duž AB (od šutera A do centra gola B), ograničen na interval [0, 1] da projekcija ne izađe van same duži:</w:t>
      </w:r>
    </w:p>
    <w:p>
      <w:pPr>
        <w:tabs>
          <w:tab w:val="right" w:pos="9000"/>
        </w:tabs>
        <w:spacing w:after="200" w:before="160"/>
        <w:jc w:val="center"/>
      </w:pPr>
      <m:oMath>
        <m:r>
          <m:t>t = </m:t>
        </m:r>
        <m:f>
          <m:num>
            <m:r>
              <m:t>(P - A) · (B - A)</m:t>
            </m:r>
          </m:num>
          <m:den>
            <m:r>
              <m:t>|B - A|²</m:t>
            </m:r>
          </m:den>
        </m:f>
        <m:r>
          <m:t>,  t ∈ [0, 1]</m:t>
        </m:r>
      </m:oMath>
      <w:r>
        <w:rPr>
          <w:sz w:val="20"/>
          <w:szCs w:val="20"/>
        </w:rPr>
        <w:t xml:space="preserve">	(4)</w:t>
      </w:r>
    </w:p>
    <w:p>
      <w:pPr>
        <w:spacing w:after="160" w:line="276"/>
        <w:ind w:firstLine="397"/>
        <w:jc w:val="both"/>
      </w:pPr>
      <w:r>
        <w:rPr>
          <w:rFonts w:ascii="Calibri" w:cs="Calibri" w:eastAsia="Calibri" w:hAnsi="Calibri"/>
          <w:sz w:val="22"/>
          <w:szCs w:val="22"/>
        </w:rPr>
        <w:t xml:space="preserve">Atribut defanzivnog pritiska (pressure_score) predstavlja kontinuiranu meru ukupnog defanzivnog pritiska, gde svaki protivnik unutar 10 koordinatnih jedinica (yard-ekvivalentno) od šutera doprinosi pritisku obrnuto proporcionalno svojoj udaljenosti, sa malom konstantom (0,5) koja sprečava deljenje nulom za branioce na nultoj udaljenosti:</w:t>
      </w:r>
    </w:p>
    <w:p>
      <w:pPr>
        <w:tabs>
          <w:tab w:val="right" w:pos="9000"/>
        </w:tabs>
        <w:spacing w:after="200" w:before="160"/>
        <w:jc w:val="center"/>
      </w:pPr>
      <m:oMath>
        <m:r>
          <m:t>pressure = </m:t>
        </m:r>
        <m:nary>
          <m:naryPr>
            <m:chr m:val="∑"/>
            <m:limLoc m:val="undOvr"/>
          </m:naryPr>
          <m:sub>
            <m:r>
              <m:t>dᵢ ≤ 10</m:t>
            </m:r>
          </m:sub>
          <m:sup>
            <m:r>
              <m:t> </m:t>
            </m:r>
          </m:sup>
          <m:e>
            <m:r>
              <m:t>1 / (dᵢ + 0,5)</m:t>
            </m:r>
          </m:e>
        </m:nary>
      </m:oMath>
      <w:r>
        <w:rPr>
          <w:sz w:val="20"/>
          <w:szCs w:val="20"/>
        </w:rPr>
        <w:t xml:space="preserve">	(5)</w:t>
      </w:r>
    </w:p>
    <w:p>
      <w:pPr>
        <w:spacing w:after="160" w:line="276"/>
        <w:ind w:firstLine="397"/>
        <w:jc w:val="both"/>
      </w:pPr>
      <w:r>
        <w:rPr>
          <w:rFonts w:ascii="Calibri" w:cs="Calibri" w:eastAsia="Calibri" w:hAnsi="Calibri"/>
          <w:sz w:val="22"/>
          <w:szCs w:val="22"/>
        </w:rPr>
        <w:t xml:space="preserve">gde se sumiranje vrši po svim protivnicima čija je udaljenost od šutera dᵢ manja ili jednaka 10 koordinatnih jedinica.</w:t>
      </w:r>
    </w:p>
    <w:p>
      <w:pPr>
        <w:pStyle w:val="Heading2"/>
      </w:pPr>
      <w:r>
        <w:t xml:space="preserve">2.4. Ekstrakcija šuteva i obrada penala</w:t>
      </w:r>
    </w:p>
    <w:p>
      <w:pPr>
        <w:spacing w:after="160" w:line="276"/>
        <w:ind w:firstLine="397"/>
        <w:jc w:val="both"/>
      </w:pPr>
      <w:r>
        <w:rPr>
          <w:rFonts w:ascii="Calibri" w:cs="Calibri" w:eastAsia="Calibri" w:hAnsi="Calibri"/>
          <w:sz w:val="22"/>
          <w:szCs w:val="22"/>
        </w:rPr>
        <w:t xml:space="preserve">Iz StatsBomb event podataka izdvojeni su svi događaji tipa Shot (šut) za sva tri turnira, ukupno 4.123 šuta. Za svaki šut izračunati su klasični geometrijski atributi (udaljenost od gola, ugao šuta) i, gde su dostupni, StatsBomb 360 prostorni atributi (broj branilaca u liniji šuta, otvorenost ugla ka golu, udaljenost golmana, defanzivni pritisak).</w:t>
      </w:r>
    </w:p>
    <w:p>
      <w:pPr>
        <w:spacing w:after="160" w:line="276"/>
        <w:ind w:firstLine="397"/>
        <w:jc w:val="both"/>
      </w:pPr>
      <w:r>
        <w:rPr>
          <w:rFonts w:ascii="Calibri" w:cs="Calibri" w:eastAsia="Calibri" w:hAnsi="Calibri"/>
          <w:sz w:val="22"/>
          <w:szCs w:val="22"/>
        </w:rPr>
        <w:t xml:space="preserve">Tokom eksplorativne analize utvrđeno je da svi šutevi bez StatsBomb 360 podataka (135 od 4.123, odnosno 3,3%) pripadaju isključivo penalima, sa stopom konverzije od 74,1%, što je u skladu sa literaturom o uspešnosti penala. Penali su, stoga, svesno izdvojeni iz skupa za modelovanje (Model A i Model B), jer predstavljaju kvalitativno drugačiji tip šuta, fiksne udaljenosti od 11 metara, bez konteksta ostalih igrača na terenu, i tretirani su deskriptivno: ukupno 155 penala (uključujući i one sa StatsBomb 360 podacima, koji se odnose na odbijene ili blokirane penale koji su nastavljeni kao otvorena igra), sa 104 postignuta gola, odnosno stopom konverzije od 67,1%.</w:t>
      </w:r>
    </w:p>
    <w:p>
      <w:pPr>
        <w:spacing w:after="160" w:line="276"/>
        <w:ind w:firstLine="397"/>
        <w:jc w:val="both"/>
      </w:pPr>
      <w:r>
        <w:rPr>
          <w:rFonts w:ascii="Calibri" w:cs="Calibri" w:eastAsia="Calibri" w:hAnsi="Calibri"/>
          <w:sz w:val="22"/>
          <w:szCs w:val="22"/>
        </w:rPr>
        <w:t xml:space="preserve">Važno je naglasiti da nedostatak StatsBomb 360 podataka za penale nije nasumičan, već sistematski i unapred određen načinom na koji StatsBomb prikuplja podatke: 360 freeze frame se po pravilu ne generiše za standardne penale, jer je situacija golman-šuter fiksne geometrije i ne zahteva isti tip prostorne analize kao šut iz otvorene igre. Drugim rečima, ovi podaci nedostaju po obrascu koji zavisi od poznate, opažene karakteristike događaja (tip šuta), a ne od neke nepoznate ili slučajne karakteristike, što opravdava njihovo potpuno izdvajanje iz Model A/B analize, a ne, na primer, imputaciju nedostajućih 360 atributa.</w:t>
      </w:r>
    </w:p>
    <w:p>
      <w:pPr>
        <w:spacing w:after="160" w:line="276"/>
        <w:ind w:firstLine="397"/>
        <w:jc w:val="both"/>
      </w:pPr>
      <w:r>
        <w:rPr>
          <w:rFonts w:ascii="Calibri" w:cs="Calibri" w:eastAsia="Calibri" w:hAnsi="Calibri"/>
          <w:sz w:val="22"/>
          <w:szCs w:val="22"/>
        </w:rPr>
        <w:t xml:space="preserve">Posebno je provereno i uklonjeno 103 šuta koji potiču iz penal-shootout faze (jedanaesterci posle produžetaka, StatsBomb oznaka perioda 5), jer ta faza nije deo same utakmice u xG smislu. Ovih 103 šuteva su deo ukupne cifre od 155 penala pomenute gore (ne oduzimaju se dodatno), tako da konačan skup za modelovanje iznosi 4.123 minus 155 = 3.968 šuteva.</w:t>
      </w:r>
    </w:p>
    <w:p>
      <w:pPr>
        <w:spacing w:after="160" w:line="276"/>
        <w:ind w:firstLine="397"/>
        <w:jc w:val="both"/>
      </w:pPr>
      <w:r>
        <w:rPr>
          <w:rFonts w:ascii="Calibri" w:cs="Calibri" w:eastAsia="Calibri" w:hAnsi="Calibri"/>
          <w:sz w:val="22"/>
          <w:szCs w:val="22"/>
        </w:rPr>
        <w:t xml:space="preserve">Konačan skup za modelovanje obuhvata 3.968 šuteva, od čega 372 gola, što odgovara stopi konverzije od 9,4% i odnosu klasa ne-gol prema gol od približno 9,7 prema 1.</w:t>
      </w:r>
    </w:p>
    <w:p>
      <w:pPr>
        <w:spacing w:after="240" w:before="60"/>
        <w:jc w:val="center"/>
      </w:pPr>
      <w:r>
        <w:rPr>
          <w:rFonts w:ascii="Calibri" w:cs="Calibri" w:eastAsia="Calibri" w:hAnsi="Calibri"/>
          <w:i/>
          <w:iCs/>
          <w:color w:val="444444"/>
          <w:sz w:val="18"/>
          <w:szCs w:val="18"/>
        </w:rPr>
        <w:t xml:space="preserve">Tabela 1. Pregled skupa podataka po turniru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1700"/>
        <w:gridCol w:w="12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Turnir</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Broj mečeva</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Broj šuteva (bez penala)</w:t>
            </w:r>
          </w:p>
        </w:tc>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Broj golova</w:t>
            </w:r>
          </w:p>
        </w:tc>
        <w:tc>
          <w:tcPr>
            <w:tcW w:type="dxa" w:w="12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Stopa konverzije</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Svetsko prvenstvo 2022</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64</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1.430</w:t>
            </w:r>
          </w:p>
        </w:tc>
        <w:tc>
          <w:tcPr>
            <w:tcW w:type="dxa" w:w="17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152</w:t>
            </w:r>
          </w:p>
        </w:tc>
        <w:tc>
          <w:tcPr>
            <w:tcW w:type="dxa" w:w="12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10,6%</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Evropsko prvenstvo 2020</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51</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1.234</w:t>
            </w:r>
          </w:p>
        </w:tc>
        <w:tc>
          <w:tcPr>
            <w:tcW w:type="dxa" w:w="17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122</w:t>
            </w:r>
          </w:p>
        </w:tc>
        <w:tc>
          <w:tcPr>
            <w:tcW w:type="dxa" w:w="12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9,9%</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Evropsko prvenstvo 2024</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51</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1.304</w:t>
            </w:r>
          </w:p>
        </w:tc>
        <w:tc>
          <w:tcPr>
            <w:tcW w:type="dxa" w:w="17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98</w:t>
            </w:r>
          </w:p>
        </w:tc>
        <w:tc>
          <w:tcPr>
            <w:tcW w:type="dxa" w:w="12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7,5%</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Ukupno</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166</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3.968</w:t>
            </w:r>
          </w:p>
        </w:tc>
        <w:tc>
          <w:tcPr>
            <w:tcW w:type="dxa" w:w="17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372</w:t>
            </w:r>
          </w:p>
        </w:tc>
        <w:tc>
          <w:tcPr>
            <w:tcW w:type="dxa" w:w="12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9,4%</w:t>
            </w:r>
          </w:p>
        </w:tc>
      </w:tr>
    </w:tbl>
    <w:p>
      <w:pPr>
        <w:pStyle w:val="Heading1"/>
      </w:pPr>
      <w:r>
        <w:t xml:space="preserve">3. Metodologija</w:t>
      </w:r>
    </w:p>
    <w:p>
      <w:pPr>
        <w:spacing w:after="160" w:line="276"/>
        <w:ind w:firstLine="397"/>
        <w:jc w:val="both"/>
      </w:pPr>
      <w:r>
        <w:rPr>
          <w:rFonts w:ascii="Calibri" w:cs="Calibri" w:eastAsia="Calibri" w:hAnsi="Calibri"/>
          <w:sz w:val="22"/>
          <w:szCs w:val="22"/>
        </w:rPr>
        <w:t xml:space="preserve">Metodologija je sprovedena kroz devet uzastopnih koraka, gde svaki korak odgovara na konkretno pitanje vezano za centralnu temu rada, doprinos StatsBomb 360 prostornih podataka proceni verovatnoće gola. Namerno je izbegnuto nagomilavanje statističkih metoda bez jasne svrhe; svaka primenjena tehnika ima eksplicitno objašnjenje zašto je izabrana baš ona, a ne neka srodna alternativa.</w:t>
      </w:r>
    </w:p>
    <w:p>
      <w:pPr>
        <w:pStyle w:val="Heading2"/>
      </w:pPr>
      <w:r>
        <w:t xml:space="preserve">3.1. Eksplorativna analiza podataka</w:t>
      </w:r>
    </w:p>
    <w:p>
      <w:pPr>
        <w:spacing w:after="160" w:line="276"/>
        <w:ind w:firstLine="397"/>
        <w:jc w:val="both"/>
      </w:pPr>
      <w:r>
        <w:rPr>
          <w:rFonts w:ascii="Calibri" w:cs="Calibri" w:eastAsia="Calibri" w:hAnsi="Calibri"/>
          <w:sz w:val="22"/>
          <w:szCs w:val="22"/>
        </w:rPr>
        <w:t xml:space="preserve">Prvi korak obuhvatio je deskriptivnu statistiku numeričkih atributa (srednja vrednost, standardna devijacija, kvartili), proveru nedostajućih vrednosti, detekciju outliera metodom interkvartilnog raspona (IQR, 1,5 puta pravilo) i korelacionu matricu (Pearson koeficijent) između numeričkih atributa.</w:t>
      </w:r>
    </w:p>
    <w:p>
      <w:pPr>
        <w:spacing w:after="160" w:line="276"/>
        <w:ind w:firstLine="397"/>
        <w:jc w:val="both"/>
      </w:pPr>
      <w:r>
        <w:rPr>
          <w:rFonts w:ascii="Calibri" w:cs="Calibri" w:eastAsia="Calibri" w:hAnsi="Calibri"/>
          <w:sz w:val="22"/>
          <w:szCs w:val="22"/>
        </w:rPr>
        <w:t xml:space="preserve">Korelaciona analiza je otkrila da su udaljenost golmana od šutera i udaljenost šutera od gola izrazito korelisani (r = 0,97), što je bilo logično očekivano jer golman po pravilu stoji blizu sopstvenog gola. Ovaj nalaz je dalje formalno ispitan u koraku provere pretpostavki (4.3) i metodološki rešen pre treniranja modela.</w:t>
      </w:r>
    </w:p>
    <w:p>
      <w:pPr>
        <w:pStyle w:val="Heading2"/>
      </w:pPr>
      <w:r>
        <w:t xml:space="preserve">3.2. Testiranje statističkih hipoteza</w:t>
      </w:r>
    </w:p>
    <w:p>
      <w:pPr>
        <w:spacing w:after="160" w:line="276"/>
        <w:ind w:firstLine="397"/>
        <w:jc w:val="both"/>
      </w:pPr>
      <w:r>
        <w:rPr>
          <w:rFonts w:ascii="Calibri" w:cs="Calibri" w:eastAsia="Calibri" w:hAnsi="Calibri"/>
          <w:sz w:val="22"/>
          <w:szCs w:val="22"/>
        </w:rPr>
        <w:t xml:space="preserve">Drugi korak primenio je inferencijalnu statistiku isključivo na jasno definisana istraživačka pitanja, a ne kao paket testova bez konkretne svrhe:</w:t>
      </w:r>
    </w:p>
    <w:p>
      <w:pPr>
        <w:pStyle w:val="ListParagraph"/>
        <w:numPr>
          <w:ilvl w:val="0"/>
          <w:numId w:val="2"/>
        </w:numPr>
        <w:spacing w:after="80"/>
      </w:pPr>
      <w:r>
        <w:rPr>
          <w:rFonts w:ascii="Calibri" w:cs="Calibri" w:eastAsia="Calibri" w:hAnsi="Calibri"/>
          <w:sz w:val="22"/>
          <w:szCs w:val="22"/>
        </w:rPr>
        <w:t xml:space="preserve">H1: Da li je tip akcije koja prethodi šutu (play pattern) povezan sa verovatnoćom gola? Test: hi-kvadrat test nezavisnosti.</w:t>
      </w:r>
    </w:p>
    <w:p>
      <w:pPr>
        <w:pStyle w:val="ListParagraph"/>
        <w:numPr>
          <w:ilvl w:val="0"/>
          <w:numId w:val="2"/>
        </w:numPr>
        <w:spacing w:after="80"/>
      </w:pPr>
      <w:r>
        <w:rPr>
          <w:rFonts w:ascii="Calibri" w:cs="Calibri" w:eastAsia="Calibri" w:hAnsi="Calibri"/>
          <w:sz w:val="22"/>
          <w:szCs w:val="22"/>
        </w:rPr>
        <w:t xml:space="preserve">H2: Da li se udaljenost od gola razlikuje između golova i promašaja? Test: Mann-Whitney U test (neparametarski, jer distribucija udaljenosti nije normalna).</w:t>
      </w:r>
    </w:p>
    <w:p>
      <w:pPr>
        <w:pStyle w:val="ListParagraph"/>
        <w:numPr>
          <w:ilvl w:val="0"/>
          <w:numId w:val="2"/>
        </w:numPr>
        <w:spacing w:after="80"/>
      </w:pPr>
      <w:r>
        <w:rPr>
          <w:rFonts w:ascii="Calibri" w:cs="Calibri" w:eastAsia="Calibri" w:hAnsi="Calibri"/>
          <w:sz w:val="22"/>
          <w:szCs w:val="22"/>
        </w:rPr>
        <w:t xml:space="preserve">H3: Da li se ugao šuta razlikuje između golova i promašaja? Test: Mann-Whitney U test.</w:t>
      </w:r>
    </w:p>
    <w:p>
      <w:pPr>
        <w:pStyle w:val="ListParagraph"/>
        <w:numPr>
          <w:ilvl w:val="0"/>
          <w:numId w:val="2"/>
        </w:numPr>
        <w:spacing w:after="80"/>
      </w:pPr>
      <w:r>
        <w:rPr>
          <w:rFonts w:ascii="Calibri" w:cs="Calibri" w:eastAsia="Calibri" w:hAnsi="Calibri"/>
          <w:sz w:val="22"/>
          <w:szCs w:val="22"/>
        </w:rPr>
        <w:t xml:space="preserve">H4: Da li se stopa konverzije šuteva u gol razlikuje između tri turnira? Test: hi-kvadrat test nezavisnosti.</w:t>
      </w:r>
    </w:p>
    <w:p>
      <w:pPr>
        <w:spacing w:after="160" w:line="276"/>
        <w:ind w:firstLine="397"/>
        <w:jc w:val="both"/>
      </w:pPr>
      <w:r>
        <w:rPr>
          <w:rFonts w:ascii="Calibri" w:cs="Calibri" w:eastAsia="Calibri" w:hAnsi="Calibri"/>
          <w:sz w:val="22"/>
          <w:szCs w:val="22"/>
        </w:rPr>
        <w:t xml:space="preserve">Hi-kvadrat statistika za testove H1 i H4 računa se kao zbir kvadrata razlika opaženih (O) i očekivanih (E) frekvencija po ćeliji kontingencijske tabele, normalizovan očekivanom frekvencijom:</w:t>
      </w:r>
    </w:p>
    <w:p>
      <w:pPr>
        <w:tabs>
          <w:tab w:val="right" w:pos="9000"/>
        </w:tabs>
        <w:spacing w:after="200" w:before="160"/>
        <w:jc w:val="center"/>
      </w:pPr>
      <m:oMath>
        <m:r>
          <m:t>χ² = </m:t>
        </m:r>
        <m:nary>
          <m:naryPr>
            <m:chr m:val="∑"/>
            <m:limLoc m:val="undOvr"/>
          </m:naryPr>
          <m:sub>
            <m:r>
              <m:t>i=1</m:t>
            </m:r>
          </m:sub>
          <m:sup>
            <m:r>
              <m:t>n</m:t>
            </m:r>
          </m:sup>
          <m:e>
            <m:f>
              <m:num>
                <m:sSup>
                  <m:sSupPr/>
                  <m:e>
                    <m:d>
                      <m:dPr/>
                      <m:e>
                        <m:r>
                          <m:t>Oᵢ - Eᵢ</m:t>
                        </m:r>
                      </m:e>
                    </m:d>
                  </m:e>
                  <m:sup>
                    <m:r>
                      <m:t>2</m:t>
                    </m:r>
                  </m:sup>
                </m:sSup>
              </m:num>
              <m:den>
                <m:r>
                  <m:t>Eᵢ</m:t>
                </m:r>
              </m:den>
            </m:f>
          </m:e>
        </m:nary>
      </m:oMath>
      <w:r>
        <w:rPr>
          <w:sz w:val="20"/>
          <w:szCs w:val="20"/>
        </w:rPr>
        <w:t xml:space="preserve">	(13)</w:t>
      </w:r>
    </w:p>
    <w:p>
      <w:pPr>
        <w:spacing w:after="160" w:line="276"/>
        <w:ind w:firstLine="397"/>
        <w:jc w:val="both"/>
      </w:pPr>
      <w:r>
        <w:rPr>
          <w:rFonts w:ascii="Calibri" w:cs="Calibri" w:eastAsia="Calibri" w:hAnsi="Calibri"/>
          <w:sz w:val="22"/>
          <w:szCs w:val="22"/>
        </w:rPr>
        <w:t xml:space="preserve">gde je i indeks koji se kreće kroz sve ćelije kontingencijske tabele, a n ukupan broj ćelija. Mann-Whitney U statistika za testove H2 i H3 izračunava se na osnovu rangova opservacija u dve grupe (gol, ne-gol):</w:t>
      </w:r>
    </w:p>
    <w:p>
      <w:pPr>
        <w:tabs>
          <w:tab w:val="right" w:pos="9000"/>
        </w:tabs>
        <w:spacing w:after="200" w:before="160"/>
        <w:jc w:val="center"/>
      </w:pPr>
      <m:oMath>
        <m:r>
          <m:t>U = n₁n₂ + </m:t>
        </m:r>
        <m:f>
          <m:num>
            <m:r>
              <m:t>n₁(n₁ + 1)</m:t>
            </m:r>
          </m:num>
          <m:den>
            <m:r>
              <m:t>2</m:t>
            </m:r>
          </m:den>
        </m:f>
        <m:r>
          <m:t> - R₁</m:t>
        </m:r>
      </m:oMath>
      <w:r>
        <w:rPr>
          <w:sz w:val="20"/>
          <w:szCs w:val="20"/>
        </w:rPr>
        <w:t xml:space="preserve">	(14)</w:t>
      </w:r>
    </w:p>
    <w:p>
      <w:pPr>
        <w:spacing w:after="160" w:line="276"/>
        <w:ind w:firstLine="397"/>
        <w:jc w:val="both"/>
      </w:pPr>
      <w:r>
        <w:rPr>
          <w:rFonts w:ascii="Calibri" w:cs="Calibri" w:eastAsia="Calibri" w:hAnsi="Calibri"/>
          <w:sz w:val="22"/>
          <w:szCs w:val="22"/>
        </w:rPr>
        <w:t xml:space="preserve">gde su n₁ i n₂ veličine dve grupe, a R₁ zbir rangova prve grupe u zajedničkom uređenju oba uzorka.</w:t>
      </w:r>
    </w:p>
    <w:p>
      <w:pPr>
        <w:spacing w:after="160" w:line="276"/>
        <w:ind w:firstLine="397"/>
        <w:jc w:val="both"/>
      </w:pPr>
      <w:r>
        <w:rPr>
          <w:rFonts w:ascii="Calibri" w:cs="Calibri" w:eastAsia="Calibri" w:hAnsi="Calibri"/>
          <w:sz w:val="22"/>
          <w:szCs w:val="22"/>
        </w:rPr>
        <w:t xml:space="preserve">Dodatno, sprovedena je formalna provera distribucijskog pomaka Kolmogorov-Smirnov testom za ključne numeričke atribute (udaljenost, ugao) između svaka dva turnira:</w:t>
      </w:r>
    </w:p>
    <w:p>
      <w:pPr>
        <w:tabs>
          <w:tab w:val="right" w:pos="9000"/>
        </w:tabs>
        <w:spacing w:after="200" w:before="160"/>
        <w:jc w:val="center"/>
      </w:pPr>
      <m:oMath>
        <m:r>
          <m:t>D = </m:t>
        </m:r>
        <m:func>
          <m:funcPr/>
          <m:fName>
            <m:r>
              <m:t>sup</m:t>
            </m:r>
          </m:fName>
          <m:e>
            <m:r>
              <m:t>|F₁(x) - F₂(x)|</m:t>
            </m:r>
          </m:e>
        </m:func>
      </m:oMath>
      <w:r>
        <w:rPr>
          <w:sz w:val="20"/>
          <w:szCs w:val="20"/>
        </w:rPr>
        <w:t xml:space="preserve">	(15)</w:t>
      </w:r>
    </w:p>
    <w:p>
      <w:pPr>
        <w:spacing w:after="160" w:line="276"/>
        <w:ind w:firstLine="397"/>
        <w:jc w:val="both"/>
      </w:pPr>
      <w:r>
        <w:rPr>
          <w:rFonts w:ascii="Calibri" w:cs="Calibri" w:eastAsia="Calibri" w:hAnsi="Calibri"/>
          <w:sz w:val="22"/>
          <w:szCs w:val="22"/>
        </w:rPr>
        <w:t xml:space="preserve">gde su F₁ i F₂ empirijske kumulativne funkcije raspodele numeričkog atributa za dva turnira, a D je maksimalna apsolutna razlika između njih (statistika Kolmogorov-Smirnov testa). Ovaj test je direktno relevantan za tumačenje validacionih rezultata u koraku 3.6.</w:t>
      </w:r>
    </w:p>
    <w:p>
      <w:pPr>
        <w:pStyle w:val="Heading2"/>
      </w:pPr>
      <w:r>
        <w:t xml:space="preserve">3.3. Priprema i pretprocesiranje podataka</w:t>
      </w:r>
    </w:p>
    <w:p>
      <w:pPr>
        <w:spacing w:after="160" w:line="276"/>
        <w:ind w:firstLine="397"/>
        <w:jc w:val="both"/>
      </w:pPr>
      <w:r>
        <w:rPr>
          <w:rFonts w:ascii="Calibri" w:cs="Calibri" w:eastAsia="Calibri" w:hAnsi="Calibri"/>
          <w:sz w:val="22"/>
          <w:szCs w:val="22"/>
        </w:rPr>
        <w:t xml:space="preserve">Treći korak obuhvatio je čišćenje podataka, kodiranje kategorijskih promenljivih (one-hot encoding), grupisanje retkih kategorija i formalnu proveru pretpostavki logističke regresije:</w:t>
      </w:r>
    </w:p>
    <w:p>
      <w:pPr>
        <w:pStyle w:val="ListParagraph"/>
        <w:numPr>
          <w:ilvl w:val="0"/>
          <w:numId w:val="3"/>
        </w:numPr>
        <w:spacing w:after="80"/>
      </w:pPr>
      <w:r>
        <w:rPr>
          <w:rFonts w:ascii="Calibri" w:cs="Calibri" w:eastAsia="Calibri" w:hAnsi="Calibri"/>
          <w:sz w:val="22"/>
          <w:szCs w:val="22"/>
        </w:rPr>
        <w:t xml:space="preserve">Multikolinearnost (VIF, Variance Inflation Factor): utvrđeno je da udaljenost golmana od šutera ima VIF preko 25 zbog korelacije sa udaljenosti šutera od gola. VIF za i-ti atribut se računa kao:</w:t>
      </w:r>
    </w:p>
    <w:p>
      <w:pPr>
        <w:tabs>
          <w:tab w:val="right" w:pos="9000"/>
        </w:tabs>
        <w:spacing w:after="200" w:before="160"/>
        <w:jc w:val="center"/>
      </w:pPr>
      <m:oMath>
        <m:sSub>
          <m:sSubPr/>
          <m:e>
            <m:r>
              <m:t>VIF</m:t>
            </m:r>
          </m:e>
          <m:sub>
            <m:r>
              <m:t>i</m:t>
            </m:r>
          </m:sub>
        </m:sSub>
        <m:r>
          <m:t> = </m:t>
        </m:r>
        <m:f>
          <m:num>
            <m:r>
              <m:t>1</m:t>
            </m:r>
          </m:num>
          <m:den>
            <m:r>
              <m:t>1 - </m:t>
            </m:r>
            <m:sSup>
              <m:sSupPr/>
              <m:e>
                <m:sSub>
                  <m:sSubPr/>
                  <m:e>
                    <m:r>
                      <m:t>R</m:t>
                    </m:r>
                  </m:e>
                  <m:sub>
                    <m:r>
                      <m:t>i</m:t>
                    </m:r>
                  </m:sub>
                </m:sSub>
              </m:e>
              <m:sup>
                <m:r>
                  <m:t>2</m:t>
                </m:r>
              </m:sup>
            </m:sSup>
          </m:den>
        </m:f>
      </m:oMath>
      <w:r>
        <w:rPr>
          <w:sz w:val="20"/>
          <w:szCs w:val="20"/>
        </w:rPr>
        <w:t xml:space="preserve">	(9)</w:t>
      </w:r>
    </w:p>
    <w:p>
      <w:pPr>
        <w:spacing w:after="160" w:line="276"/>
        <w:ind w:firstLine="397"/>
        <w:jc w:val="both"/>
      </w:pPr>
      <w:r>
        <w:rPr>
          <w:rFonts w:ascii="Calibri" w:cs="Calibri" w:eastAsia="Calibri" w:hAnsi="Calibri"/>
          <w:sz w:val="22"/>
          <w:szCs w:val="22"/>
        </w:rPr>
        <w:t xml:space="preserve">gde je Rᵢ² koeficijent determinacije iz regresije i-tog atributa na sve ostale atribute u modelu. Vrednost VIF preko 5 do 10 se uobičajeno smatra znakom problematične multikolinearnosti. U finalnoj verziji pipeline-a, atribut golmana koristi direktnu udaljenost golmana iz freeze-frame podataka (goalkeeper_distance_360), bez globalne regresije ili transformacije. Time se izbegava curenje podataka koje bi nastalo da se koeficijenti regresije procene na celom skupu (uključujući test fold). VIF za goalkeeper_distance_360 je prihvatljiv (ispod 6).</w:t>
      </w:r>
    </w:p>
    <w:p>
      <w:pPr>
        <w:spacing w:after="160" w:line="276"/>
        <w:ind w:firstLine="397"/>
        <w:jc w:val="both"/>
      </w:pPr>
      <w:r>
        <w:rPr>
          <w:rFonts w:ascii="Calibri" w:cs="Calibri" w:eastAsia="Calibri" w:hAnsi="Calibri"/>
          <w:sz w:val="22"/>
          <w:szCs w:val="22"/>
        </w:rPr>
        <w:t xml:space="preserve">Nakon ove korekcije, preostale promenljive sa VIF iznad 5 odnose se isključivo na dummy varijable tehnike šuta, naročito na dominantnu kategoriju (technique_Normal, VIF približno 51). Ovo je strukturni artefakt one-hot kodiranja u kombinaciji sa izrazito neravnomernom zastupljenošću kategorija (kategorija Normal čini približno 75% svih šuteva), a ne znak problematične multikolinearnosti između suštinski nezavisnih prediktora. Interpretacija koeficijenata ostaje validna, jer se svaki koeficijent dummy varijable tumači u odnosu na izostavljenu referentnu kategoriju, ne u odnosu na ostale dummy varijable.</w:t>
      </w:r>
    </w:p>
    <w:p>
      <w:pPr>
        <w:spacing w:after="160" w:line="276"/>
        <w:ind w:firstLine="397"/>
        <w:jc w:val="both"/>
      </w:pPr>
      <w:r>
        <w:rPr>
          <w:rFonts w:ascii="Calibri" w:cs="Calibri" w:eastAsia="Calibri" w:hAnsi="Calibri"/>
          <w:sz w:val="22"/>
          <w:szCs w:val="22"/>
        </w:rPr>
        <w:t xml:space="preserve">Dodatno, VIF provera je identifikovala da je atribut defenders_in_shot_cone_360 tačan duplikat atributa opponents_between_shooter_and_goal_360 (VIF=inf, R²=1,0, koeficijent=1,000). Matematički, defenders_in_shot_cone broji protivnike u trouglu (šuter, levi stativ, desni stativ) bez uslova na x-koordinatu, dok opponents_between dodaje uslov px &gt;= sx (protivnik mora biti ispred šutera). Međutim, pošto je konus definisan ka golu (x=120) i svi šutevi dolaze sa x &lt; 120, uslov px &gt;= sx je empirijski uvek ispunjen za igrače unutar konusa. Rezultat: identične vrednosti na celom datasetu od 3.968 šuteva. Duplikat je uklonjen iz finalnog skupa atributa (zadržan je opponents_between_shooter_and_goal_360 kao deskriptivnije ime).</w:t>
      </w:r>
    </w:p>
    <w:p>
      <w:pPr>
        <w:pStyle w:val="ListParagraph"/>
        <w:numPr>
          <w:ilvl w:val="0"/>
          <w:numId w:val="3"/>
        </w:numPr>
        <w:spacing w:after="80"/>
      </w:pPr>
      <w:r>
        <w:rPr>
          <w:rFonts w:ascii="Calibri" w:cs="Calibri" w:eastAsia="Calibri" w:hAnsi="Calibri"/>
          <w:sz w:val="22"/>
          <w:szCs w:val="22"/>
        </w:rPr>
        <w:t xml:space="preserve">Linearnost logita (Box-Tidwell test): utvrđeno je da udaljenost od gola i ugao šuta narušavaju pretpostavku linearnosti logita. Box-Tidwell test se sprovodi dodavanjem interakcionog člana x·ln(x) u logistički model:</w:t>
      </w:r>
    </w:p>
    <w:p>
      <w:pPr>
        <w:tabs>
          <w:tab w:val="right" w:pos="9000"/>
        </w:tabs>
        <w:spacing w:after="200" w:before="160"/>
        <w:jc w:val="center"/>
      </w:pPr>
      <m:oMath>
        <m:r>
          <m:t>logit(p) = β₀ + β₁x + β₂ x·ln(x)</m:t>
        </m:r>
      </m:oMath>
      <w:r>
        <w:rPr>
          <w:sz w:val="20"/>
          <w:szCs w:val="20"/>
        </w:rPr>
        <w:t xml:space="preserve">	(10)</w:t>
      </w:r>
    </w:p>
    <w:p>
      <w:pPr>
        <w:spacing w:after="160" w:line="276"/>
        <w:ind w:firstLine="397"/>
        <w:jc w:val="both"/>
      </w:pPr>
      <w:r>
        <w:rPr>
          <w:rFonts w:ascii="Calibri" w:cs="Calibri" w:eastAsia="Calibri" w:hAnsi="Calibri"/>
          <w:sz w:val="22"/>
          <w:szCs w:val="22"/>
        </w:rPr>
        <w:t xml:space="preserve">Statistički značajan koeficijent β₂ (p &lt; 0,05) ukazuje na narušenu linearnost logita za atribut x. Problem je rešen log-transformacijom udaljenosti i ugla za varijantu modela namenjenu logističkoj regresiji, dok je varijanta za XGBoost ostala na sirovim vrednostima, jer stabla odluke prirodno modeluju nelinearne odnose.</w:t>
      </w:r>
    </w:p>
    <w:p>
      <w:pPr>
        <w:pStyle w:val="ListParagraph"/>
        <w:numPr>
          <w:ilvl w:val="0"/>
          <w:numId w:val="3"/>
        </w:numPr>
        <w:spacing w:after="80"/>
      </w:pPr>
      <w:r>
        <w:rPr>
          <w:rFonts w:ascii="Calibri" w:cs="Calibri" w:eastAsia="Calibri" w:hAnsi="Calibri"/>
          <w:sz w:val="22"/>
          <w:szCs w:val="22"/>
        </w:rPr>
        <w:t xml:space="preserve">Neuravnoteženost klasa: odnos ne-gol prema gol je približno 9,7 prema 1. Rešeno je ponderisanjem klasa (class_weight u logističkoj regresiji, scale_pos_weight u XGBoost-u), gde se odnos klasa i odgovarajuće težine izračunavaju zasebno isključivo na trening delu svakog spoljnog folda, bez veštačkog resampling-a. Grupisanje retkih kategorija (Corner i Free Kick u Set Piece) definisano je unapred na osnovu semantičke sličnosti tipova šuteva, ne na osnovu posmatranja ishoda.</w:t>
      </w:r>
    </w:p>
    <w:p>
      <w:pPr>
        <w:pStyle w:val="ListParagraph"/>
        <w:numPr>
          <w:ilvl w:val="0"/>
          <w:numId w:val="3"/>
        </w:numPr>
        <w:spacing w:after="80"/>
      </w:pPr>
      <w:r>
        <w:rPr>
          <w:rFonts w:ascii="Calibri" w:cs="Calibri" w:eastAsia="Calibri" w:hAnsi="Calibri"/>
          <w:sz w:val="22"/>
          <w:szCs w:val="22"/>
        </w:rPr>
        <w:t xml:space="preserve">Retke kategorije: tipovi šuta Corner i Free Kick grupisani su u jedinstvenu kategoriju Set Piece pre kodiranja. Grupisanje je prespecifikovano semantički (oba su situacije iz prekida igre sa kvalitativno drugačijom dinamikom od otvorene igre); naknadno je primećeno da ono ujedno sprečava kvazi-savršenu separaciju u logističkoj regresiji, što potvrđuje ispravnost ove odluke.</w:t>
      </w:r>
    </w:p>
    <w:p>
      <w:pPr>
        <w:pStyle w:val="Heading2"/>
      </w:pPr>
      <w:r>
        <w:t xml:space="preserve">3.4. Definisanje dva skupa atributa</w:t>
      </w:r>
    </w:p>
    <w:p>
      <w:pPr>
        <w:spacing w:after="160" w:line="276"/>
        <w:ind w:firstLine="397"/>
        <w:jc w:val="both"/>
      </w:pPr>
      <w:r>
        <w:rPr>
          <w:rFonts w:ascii="Calibri" w:cs="Calibri" w:eastAsia="Calibri" w:hAnsi="Calibri"/>
          <w:sz w:val="22"/>
          <w:szCs w:val="22"/>
        </w:rPr>
        <w:t xml:space="preserve">Centralna teza rada zahteva eksplicitno poređenje dva modela, ne samo apsolutnu procenu jednog modela. Model A služi kao jednostavan referentni xG model za poređenje i koristi isključivo klasične event atribute: udaljenost od gola, ugao šuta, da li je šut prvim dodirom, da li je šut jedan-na-jedan, deo tela i tip šuta. Model B sadrži sve atribute Modela A, uz dodatak StatsBomb 360 prostornih atributa (ukupno 11): udaljenost golmana, broj protivnika između šutera i gola, protivnici u kaznenom prostoru, broj branilaca unutar 5 i 10 koordinatnih jedinica, najbliža udaljenost branioca od linije šuta, broj branilaca unutar 1 i 2 koordinatne jedinice od linije šuta, kontinuiranu meru defanzivnog pritiska (pressure_score), i otvorenost ugla ka golu (open_angle_ratio_360).</w:t>
      </w:r>
    </w:p>
    <w:p>
      <w:pPr>
        <w:spacing w:after="160" w:line="276"/>
        <w:ind w:firstLine="397"/>
        <w:jc w:val="both"/>
      </w:pPr>
      <w:r>
        <w:rPr>
          <w:rFonts w:ascii="Calibri" w:cs="Calibri" w:eastAsia="Calibri" w:hAnsi="Calibri"/>
          <w:sz w:val="22"/>
          <w:szCs w:val="22"/>
        </w:rPr>
        <w:t xml:space="preserve">Razlika u performansu i interpretaciji između ova dva modela predstavlja glavni rezultat rada, jer direktno odgovara na pitanje koliko prostorni podaci doprinose proceni.</w:t>
      </w:r>
    </w:p>
    <w:p>
      <w:pPr>
        <w:pStyle w:val="Heading2"/>
      </w:pPr>
      <w:r>
        <w:t xml:space="preserve">3.5. Razvoj prediktivnih modela</w:t>
      </w:r>
    </w:p>
    <w:p>
      <w:pPr>
        <w:spacing w:after="160" w:line="276"/>
        <w:ind w:firstLine="397"/>
        <w:jc w:val="both"/>
      </w:pPr>
      <w:r>
        <w:rPr>
          <w:rFonts w:ascii="Calibri" w:cs="Calibri" w:eastAsia="Calibri" w:hAnsi="Calibri"/>
          <w:sz w:val="22"/>
          <w:szCs w:val="22"/>
        </w:rPr>
        <w:t xml:space="preserve">Za oba skupa atributa trenirana su dva modela: logistička regresija, koja pruža interpretabilne koeficijente u obliku Odds Ratio, i XGBoost, gradijentno pojačavanje stabala odluke, koje bolje hvata nelinearne interakcije između atributa. Logistička regresija modeluje logaritam šansi (log-odds) ishoda kao linearnu kombinaciju atributa:</w:t>
      </w:r>
    </w:p>
    <w:p>
      <w:pPr>
        <w:tabs>
          <w:tab w:val="right" w:pos="9000"/>
        </w:tabs>
        <w:spacing w:after="200" w:before="160"/>
        <w:jc w:val="center"/>
      </w:pPr>
      <m:oMath>
        <m:r>
          <m:t>logit(p) = ln</m:t>
        </m:r>
        <m:d>
          <m:dPr/>
          <m:e>
            <m:f>
              <m:num>
                <m:r>
                  <m:t>p</m:t>
                </m:r>
              </m:num>
              <m:den>
                <m:r>
                  <m:t>1 - p</m:t>
                </m:r>
              </m:den>
            </m:f>
          </m:e>
        </m:d>
        <m:r>
          <m:t> = </m:t>
        </m:r>
        <m:sSub>
          <m:sSubPr/>
          <m:e>
            <m:r>
              <m:t>β</m:t>
            </m:r>
          </m:e>
          <m:sub>
            <m:r>
              <m:t>0</m:t>
            </m:r>
          </m:sub>
        </m:sSub>
        <m:r>
          <m:t> + </m:t>
        </m:r>
        <m:sSub>
          <m:sSubPr/>
          <m:e>
            <m:r>
              <m:t>β</m:t>
            </m:r>
          </m:e>
          <m:sub>
            <m:r>
              <m:t>1</m:t>
            </m:r>
          </m:sub>
        </m:sSub>
        <m:sSub>
          <m:sSubPr/>
          <m:e>
            <m:r>
              <m:t>x</m:t>
            </m:r>
          </m:e>
          <m:sub>
            <m:r>
              <m:t>1</m:t>
            </m:r>
          </m:sub>
        </m:sSub>
        <m:r>
          <m:t> + ⋯ + </m:t>
        </m:r>
        <m:sSub>
          <m:sSubPr/>
          <m:e>
            <m:r>
              <m:t>β</m:t>
            </m:r>
          </m:e>
          <m:sub>
            <m:r>
              <m:t>k</m:t>
            </m:r>
          </m:sub>
        </m:sSub>
        <m:sSub>
          <m:sSubPr/>
          <m:e>
            <m:r>
              <m:t>x</m:t>
            </m:r>
          </m:e>
          <m:sub>
            <m:r>
              <m:t>k</m:t>
            </m:r>
          </m:sub>
        </m:sSub>
      </m:oMath>
      <w:r>
        <w:rPr>
          <w:sz w:val="20"/>
          <w:szCs w:val="20"/>
        </w:rPr>
        <w:t xml:space="preserve">	(6)</w:t>
      </w:r>
    </w:p>
    <w:p>
      <w:pPr>
        <w:spacing w:after="160" w:line="276"/>
        <w:ind w:firstLine="397"/>
        <w:jc w:val="both"/>
      </w:pPr>
      <w:r>
        <w:rPr>
          <w:rFonts w:ascii="Calibri" w:cs="Calibri" w:eastAsia="Calibri" w:hAnsi="Calibri"/>
          <w:sz w:val="22"/>
          <w:szCs w:val="22"/>
        </w:rPr>
        <w:t xml:space="preserve">gde je p verovatnoća gola, a β₀, β₁, ..., βₖ koeficijenti modela procenjeni metodom maksimalne verodostojnosti. Predviđena verovatnoća se zatim dobija primenom sigmoid (logističke) funkcije na linearnu kombinaciju z:</w:t>
      </w:r>
    </w:p>
    <w:p>
      <w:pPr>
        <w:tabs>
          <w:tab w:val="right" w:pos="9000"/>
        </w:tabs>
        <w:spacing w:after="200" w:before="160"/>
        <w:jc w:val="center"/>
      </w:pPr>
      <m:oMath>
        <m:r>
          <m:t>p = </m:t>
        </m:r>
        <m:f>
          <m:num>
            <m:r>
              <m:t>1</m:t>
            </m:r>
          </m:num>
          <m:den>
            <m:r>
              <m:t>1 + </m:t>
            </m:r>
            <m:sSup>
              <m:sSupPr/>
              <m:e>
                <m:r>
                  <m:t>e</m:t>
                </m:r>
              </m:e>
              <m:sup>
                <m:r>
                  <m:t>-z</m:t>
                </m:r>
              </m:sup>
            </m:sSup>
          </m:den>
        </m:f>
        <m:r>
          <m:t>,   z = </m:t>
        </m:r>
        <m:sSub>
          <m:sSubPr/>
          <m:e>
            <m:r>
              <m:t>β</m:t>
            </m:r>
          </m:e>
          <m:sub>
            <m:r>
              <m:t>0</m:t>
            </m:r>
          </m:sub>
        </m:sSub>
        <m:r>
          <m:t> + </m:t>
        </m:r>
        <m:nary>
          <m:naryPr>
            <m:chr m:val="∑"/>
            <m:limLoc m:val="undOvr"/>
          </m:naryPr>
          <m:sub>
            <m:r>
              <m:t>i=1</m:t>
            </m:r>
          </m:sub>
          <m:sup>
            <m:r>
              <m:t>k</m:t>
            </m:r>
          </m:sup>
          <m:e>
            <m:sSub>
              <m:sSubPr/>
              <m:e>
                <m:r>
                  <m:t>β</m:t>
                </m:r>
              </m:e>
              <m:sub>
                <m:r>
                  <m:t>i</m:t>
                </m:r>
              </m:sub>
            </m:sSub>
            <m:sSub>
              <m:sSubPr/>
              <m:e>
                <m:r>
                  <m:t>x</m:t>
                </m:r>
              </m:e>
              <m:sub>
                <m:r>
                  <m:t>i</m:t>
                </m:r>
              </m:sub>
            </m:sSub>
          </m:e>
        </m:nary>
      </m:oMath>
      <w:r>
        <w:rPr>
          <w:sz w:val="20"/>
          <w:szCs w:val="20"/>
        </w:rPr>
        <w:t xml:space="preserve">	(7)</w:t>
      </w:r>
    </w:p>
    <w:p>
      <w:pPr>
        <w:spacing w:after="160" w:line="276"/>
        <w:ind w:firstLine="397"/>
        <w:jc w:val="both"/>
      </w:pPr>
      <w:r>
        <w:rPr>
          <w:rFonts w:ascii="Calibri" w:cs="Calibri" w:eastAsia="Calibri" w:hAnsi="Calibri"/>
          <w:sz w:val="22"/>
          <w:szCs w:val="22"/>
        </w:rPr>
        <w:t xml:space="preserve">Hiperparametri su podešavani metodom Grid Search uz unutrašnju trokratnu StratifiedGroupKFold po meču unakrsnu validaciju, čime je obezbeđeno da test podaci nikada nisu učestvovali u procesu podešavanja, a šutevi iz istog meča uvek ostaju u istom foldu.</w:t>
      </w:r>
    </w:p>
    <w:p>
      <w:pPr>
        <w:pStyle w:val="Heading2"/>
      </w:pPr>
      <w:r>
        <w:t xml:space="preserve">3.6. Validacija modela</w:t>
      </w:r>
    </w:p>
    <w:p>
      <w:pPr>
        <w:spacing w:after="160" w:line="276"/>
        <w:ind w:firstLine="397"/>
        <w:jc w:val="both"/>
      </w:pPr>
      <w:r>
        <w:rPr>
          <w:rFonts w:ascii="Calibri" w:cs="Calibri" w:eastAsia="Calibri" w:hAnsi="Calibri"/>
          <w:sz w:val="22"/>
          <w:szCs w:val="22"/>
        </w:rPr>
        <w:t xml:space="preserve">Validacija je sprovedena u dva nivoa koji odgovaraju na različita pitanja:</w:t>
      </w:r>
    </w:p>
    <w:p>
      <w:pPr>
        <w:pStyle w:val="ListParagraph"/>
        <w:numPr>
          <w:ilvl w:val="0"/>
          <w:numId w:val="2"/>
        </w:numPr>
        <w:spacing w:after="80"/>
      </w:pPr>
      <w:r>
        <w:rPr>
          <w:rFonts w:ascii="Calibri" w:cs="Calibri" w:eastAsia="Calibri" w:hAnsi="Calibri"/>
          <w:sz w:val="22"/>
          <w:szCs w:val="22"/>
        </w:rPr>
        <w:t xml:space="preserve">StratifiedGroupKFold po meču (5 foldova): koliko model radi na podacima iz iste distribucije kao i podaci za treniranje, uz strogi uslov da svi šutevi iz jedne utakmice ostaju u istom foldu (sprečava curenje informacija unutar meča).</w:t>
      </w:r>
    </w:p>
    <w:p>
      <w:pPr>
        <w:pStyle w:val="ListParagraph"/>
        <w:numPr>
          <w:ilvl w:val="0"/>
          <w:numId w:val="2"/>
        </w:numPr>
        <w:spacing w:after="80"/>
      </w:pPr>
      <w:r>
        <w:rPr>
          <w:rFonts w:ascii="Calibri" w:cs="Calibri" w:eastAsia="Calibri" w:hAnsi="Calibri"/>
          <w:sz w:val="22"/>
          <w:szCs w:val="22"/>
        </w:rPr>
        <w:t xml:space="preserve">Leave-One-Tournament-Out: koliko model generalizuje na potpuno nov turnir koji nije učestvovao u treningu. Za svaki od tri turnira, model je treniran na preostala dva turnira (uključujući ponovno podešavanje hiperparametara isključivo na tom trening skupu) i testiran na izostavljenom turniru.</w:t>
      </w:r>
    </w:p>
    <w:p>
      <w:pPr>
        <w:spacing w:after="160" w:line="276"/>
        <w:ind w:firstLine="397"/>
        <w:jc w:val="both"/>
      </w:pPr>
      <w:r>
        <w:rPr>
          <w:rFonts w:ascii="Calibri" w:cs="Calibri" w:eastAsia="Calibri" w:hAnsi="Calibri"/>
          <w:sz w:val="22"/>
          <w:szCs w:val="22"/>
        </w:rPr>
        <w:t xml:space="preserve">Ovakav dvostepeni pristup namerno je odabran jer StratifiedGroupKFold i Leave-One-Tournament-Out odgovaraju na različita pitanja: prvi procenjuje performans unutar poznate distribucije uz kontrolu grupne strukture (šutevi iz istog meča ne curi u test), a drugi procenjuje robusnost modela na potpuno nov kontekst. Treba napomenuti da Leave-One-Tournament-Out validacija sa samo tri turnira ima ograničenu statističku snagu za procenu varijanse generalizacije, te da su Evropsko prvenstvo 2020 i Evropsko prvenstvo 2024 strukturno sličniji jedan drugom (isto takmičenje, različite edicije) nego Svetskom prvenstvu, što treba imati u vidu pri tumačenju rezultata.</w:t>
      </w:r>
    </w:p>
    <w:p>
      <w:pPr>
        <w:pStyle w:val="Heading2"/>
      </w:pPr>
      <w:r>
        <w:t xml:space="preserve">3.7. Evaluacija diskriminacije i kalibracije</w:t>
      </w:r>
    </w:p>
    <w:p>
      <w:pPr>
        <w:spacing w:after="160" w:line="276"/>
        <w:ind w:firstLine="397"/>
        <w:jc w:val="both"/>
      </w:pPr>
      <w:r>
        <w:rPr>
          <w:rFonts w:ascii="Calibri" w:cs="Calibri" w:eastAsia="Calibri" w:hAnsi="Calibri"/>
          <w:sz w:val="22"/>
          <w:szCs w:val="22"/>
        </w:rPr>
        <w:t xml:space="preserve">Modeli su evaluirani po dve nezavisne dimenzije kvaliteta. Diskriminacija, odnosno da li model ispravno rangira šuteve po riziku, merena je preko ROC AUC i Precision-Recall AUC (PR AUC, posebno informativan kod neuravnoteženih klasa). F1 mera je prikazana kao sekundarna metrika (sa podrazumevanim pragom klasifikacije 0,5) i ne treba je tumačiti kao primarni kriterijum kvaliteta, jer je xG model prevashodno probabilistički (cilj je tačna procena verovatnoće, ne klasifikaciona odluka). Kalibracija, odnosno da li predviđena verovatnoća brojčano odgovara stvarnoj frekvenciji ishoda, merena je preko Brier skora, koji predstavlja srednju kvadratnu grešku između predviđene verovatnoće pᵢ i stvarnog binarnog ishoda oᵢ za svih N opservacija:</w:t>
      </w:r>
    </w:p>
    <w:p>
      <w:pPr>
        <w:tabs>
          <w:tab w:val="right" w:pos="9000"/>
        </w:tabs>
        <w:spacing w:after="200" w:before="160"/>
        <w:jc w:val="center"/>
      </w:pPr>
      <m:oMath>
        <m:r>
          <m:t>BS = </m:t>
        </m:r>
        <m:f>
          <m:num>
            <m:r>
              <m:t>1</m:t>
            </m:r>
          </m:num>
          <m:den>
            <m:r>
              <m:t>N</m:t>
            </m:r>
          </m:den>
        </m:f>
        <m:nary>
          <m:naryPr>
            <m:chr m:val="∑"/>
            <m:limLoc m:val="undOvr"/>
          </m:naryPr>
          <m:sub>
            <m:r>
              <m:t>i=1</m:t>
            </m:r>
          </m:sub>
          <m:sup>
            <m:r>
              <m:t>N</m:t>
            </m:r>
          </m:sup>
          <m:e>
            <m:sSup>
              <m:sSupPr/>
              <m:e>
                <m:d>
                  <m:dPr/>
                  <m:e>
                    <m:r>
                      <m:t>pᵢ - oᵢ</m:t>
                    </m:r>
                  </m:e>
                </m:d>
              </m:e>
              <m:sup>
                <m:r>
                  <m:t>2</m:t>
                </m:r>
              </m:sup>
            </m:sSup>
          </m:e>
        </m:nary>
      </m:oMath>
      <w:r>
        <w:rPr>
          <w:sz w:val="20"/>
          <w:szCs w:val="20"/>
        </w:rPr>
        <w:t xml:space="preserve">	(11)</w:t>
      </w:r>
    </w:p>
    <w:p>
      <w:pPr>
        <w:spacing w:after="160" w:line="276"/>
        <w:ind w:firstLine="397"/>
        <w:jc w:val="both"/>
      </w:pPr>
      <w:r>
        <w:rPr>
          <w:rFonts w:ascii="Calibri" w:cs="Calibri" w:eastAsia="Calibri" w:hAnsi="Calibri"/>
          <w:sz w:val="22"/>
          <w:szCs w:val="22"/>
        </w:rPr>
        <w:t xml:space="preserve">i preko kalibracione krive (reliability diagram), koja vizuelno prikazuje odnos predviđene verovatnoće i stvarne frekvencije ishoda po binovima.</w:t>
      </w:r>
    </w:p>
    <w:p>
      <w:pPr>
        <w:spacing w:after="160" w:line="276"/>
        <w:ind w:firstLine="397"/>
        <w:jc w:val="both"/>
      </w:pPr>
      <w:r>
        <w:rPr>
          <w:rFonts w:ascii="Calibri" w:cs="Calibri" w:eastAsia="Calibri" w:hAnsi="Calibri"/>
          <w:sz w:val="22"/>
          <w:szCs w:val="22"/>
        </w:rPr>
        <w:t xml:space="preserve">Metoda post-hoc kalibracije (izotona regresija) je unapred definisana kao deo pipeline-a, ne izabrana nakon posmatranja rezultata na test skupu. Kalibraciona funkcija je naučena isključivo na trening delu svakog spoljnog folda (putem CalibratedClassifierCV sa unutrašnjom StratifiedGroupKFold validacijom po match_id), a nikada na test skupu na kome se izveštava finalni Brier skor. Programski je verifikovano da se skupovi match_id u kalibracionim foldovima ne preklapaju. Izveštavaju se i nekalibrisan i kalibrisan Brier skor, da bi čitalac mogao da proceni korist kalibracije nezavisno od leakage-a.</w:t>
      </w:r>
    </w:p>
    <w:p>
      <w:pPr>
        <w:spacing w:after="160" w:line="276"/>
        <w:ind w:firstLine="397"/>
        <w:jc w:val="both"/>
      </w:pPr>
      <w:r>
        <w:rPr>
          <w:rFonts w:ascii="Calibri" w:cs="Calibri" w:eastAsia="Calibri" w:hAnsi="Calibri"/>
          <w:sz w:val="22"/>
          <w:szCs w:val="22"/>
        </w:rPr>
        <w:t xml:space="preserve">Imputacija nedostajucih vrednosti (medijana za numeričke, konstanta za kategoričke) je ugrađena u sklearn Pipeline (SimpleImputer) i izvršava se isključivo na trening delu svakog folda. Time se sprečava curenje informacija iz test skupa pri imputaciji.</w:t>
      </w:r>
    </w:p>
    <w:p>
      <w:pPr>
        <w:pStyle w:val="Heading2"/>
      </w:pPr>
      <w:r>
        <w:t xml:space="preserve">3.8. Interpretacija modela</w:t>
      </w:r>
    </w:p>
    <w:p>
      <w:pPr>
        <w:spacing w:after="160" w:line="276"/>
        <w:ind w:firstLine="397"/>
        <w:jc w:val="both"/>
      </w:pPr>
      <w:r>
        <w:rPr>
          <w:rFonts w:ascii="Calibri" w:cs="Calibri" w:eastAsia="Calibri" w:hAnsi="Calibri"/>
          <w:sz w:val="22"/>
          <w:szCs w:val="22"/>
        </w:rPr>
        <w:t xml:space="preserve">Za logističku regresiju izračunati su Odds Ratio sa Wald 95% intervalima poverenja i p-vrednostima za svaki atribut. Odds Ratio za atribut i predstavlja faktor za koji se šansa (odds) gola množi kada se vrednost tog atributa poveća za jedinicu, uz fiksirane vrednosti svih ostalih atributa, i izračunava se kao exponencijal odgovarajućeg koeficijenta logističke regresije:</w:t>
      </w:r>
    </w:p>
    <w:p>
      <w:pPr>
        <w:tabs>
          <w:tab w:val="right" w:pos="9000"/>
        </w:tabs>
        <w:spacing w:after="200" w:before="160"/>
        <w:jc w:val="center"/>
      </w:pPr>
      <m:oMath>
        <m:r>
          <m:t>OR = </m:t>
        </m:r>
        <m:sSup>
          <m:sSupPr/>
          <m:e>
            <m:r>
              <m:t>e</m:t>
            </m:r>
          </m:e>
          <m:sup>
            <m:sSub>
              <m:sSubPr/>
              <m:e>
                <m:r>
                  <m:t>β</m:t>
                </m:r>
              </m:e>
              <m:sub>
                <m:r>
                  <m:t>i</m:t>
                </m:r>
              </m:sub>
            </m:sSub>
          </m:sup>
        </m:sSup>
      </m:oMath>
      <w:r>
        <w:rPr>
          <w:sz w:val="20"/>
          <w:szCs w:val="20"/>
        </w:rPr>
        <w:t xml:space="preserve">	(8)</w:t>
      </w:r>
    </w:p>
    <w:p>
      <w:pPr>
        <w:spacing w:after="160" w:line="276"/>
        <w:ind w:firstLine="397"/>
        <w:jc w:val="both"/>
      </w:pPr>
      <w:r>
        <w:rPr>
          <w:rFonts w:ascii="Calibri" w:cs="Calibri" w:eastAsia="Calibri" w:hAnsi="Calibri"/>
          <w:sz w:val="22"/>
          <w:szCs w:val="22"/>
        </w:rPr>
        <w:t xml:space="preserve">Vrednost OR veća od 1 ukazuje na pozitivnu asocijaciju atributa sa većim odds-om gola, a vrednost manja od 1 na negativnu asocijaciju.</w:t>
      </w:r>
    </w:p>
    <w:p>
      <w:pPr>
        <w:spacing w:after="160" w:line="276"/>
        <w:ind w:firstLine="397"/>
        <w:jc w:val="both"/>
      </w:pPr>
      <w:r>
        <w:rPr>
          <w:rFonts w:ascii="Calibri" w:cs="Calibri" w:eastAsia="Calibri" w:hAnsi="Calibri"/>
          <w:sz w:val="22"/>
          <w:szCs w:val="22"/>
        </w:rPr>
        <w:t xml:space="preserve">Za XGBoost je primenjena SHAP (SHapley Additive exPlanations) analiza, koja predikciju modela za konkretnu opservaciju f(x) rastavlja na zbir bazne vrednosti φ₀ (prosečna predikcija na celom skupu) i doprinosa svakog atributa φᵢ:</w:t>
      </w:r>
    </w:p>
    <w:p>
      <w:pPr>
        <w:tabs>
          <w:tab w:val="right" w:pos="9000"/>
        </w:tabs>
        <w:spacing w:after="200" w:before="160"/>
        <w:jc w:val="center"/>
      </w:pPr>
      <m:oMath>
        <m:r>
          <m:t>f(x) = φ₀ + </m:t>
        </m:r>
        <m:nary>
          <m:naryPr>
            <m:chr m:val="∑"/>
            <m:limLoc m:val="undOvr"/>
          </m:naryPr>
          <m:sub>
            <m:r>
              <m:t>i=1</m:t>
            </m:r>
          </m:sub>
          <m:sup>
            <m:r>
              <m:t>k</m:t>
            </m:r>
          </m:sup>
          <m:e>
            <m:sSub>
              <m:sSubPr/>
              <m:e>
                <m:r>
                  <m:t>φ</m:t>
                </m:r>
              </m:e>
              <m:sub>
                <m:r>
                  <m:t>i</m:t>
                </m:r>
              </m:sub>
            </m:sSub>
          </m:e>
        </m:nary>
      </m:oMath>
      <w:r>
        <w:rPr>
          <w:sz w:val="20"/>
          <w:szCs w:val="20"/>
        </w:rPr>
        <w:t xml:space="preserve">	(12)</w:t>
      </w:r>
    </w:p>
    <w:p>
      <w:pPr>
        <w:spacing w:after="160" w:line="276"/>
        <w:ind w:firstLine="397"/>
        <w:jc w:val="both"/>
      </w:pPr>
      <w:r>
        <w:rPr>
          <w:rFonts w:ascii="Calibri" w:cs="Calibri" w:eastAsia="Calibri" w:hAnsi="Calibri"/>
          <w:sz w:val="22"/>
          <w:szCs w:val="22"/>
        </w:rPr>
        <w:t xml:space="preserve">SHAP vrednosti su izvedene iz teorije kooperativnih igara (Shapley vrednosti) i imaju svojstvo da se zbir svih doprinosa φᵢ, uz baznu vrednost φ₀, egzaktno svodi na predviđenu vrednost modela za tu konkretnu opservaciju. Analiza je sprovedena bez unapred određenih očekivanja o tome koji će atributi biti najuticajniji, kako bi se izbeglo da metodologija unapred pretpostavi rezultat. Posebna pažnja posvećena je poređenju važnosti atributa između Modela A i Modela B, jer to poređenje direktno pokazuje kako se uticaj klasičnih atributa menja kada se dodaju prostorni podaci.</w:t>
      </w:r>
    </w:p>
    <w:p>
      <w:pPr>
        <w:spacing w:after="160" w:line="276"/>
        <w:ind w:firstLine="397"/>
        <w:jc w:val="both"/>
      </w:pPr>
      <w:r>
        <w:rPr>
          <w:rFonts w:ascii="Calibri" w:cs="Calibri" w:eastAsia="Calibri" w:hAnsi="Calibri"/>
          <w:sz w:val="22"/>
          <w:szCs w:val="22"/>
        </w:rPr>
        <w:t xml:space="preserve">Završni korak metodologije objedinjuje nalaze iz prethodnih koraka u celovitu diskusiju o doprinosu StatsBomb 360 atributa, generalizaciji modela kroz turnire, praktičnoj primeni nalaza i ograničenjima istraživanja, što je detaljno razrađeno u poglavlju 5.</w:t>
      </w:r>
    </w:p>
    <w:p>
      <w:pPr>
        <w:pStyle w:val="Heading2"/>
      </w:pPr>
      <w:r>
        <w:t xml:space="preserve">3.9. Dostupnost podataka i koda</w:t>
      </w:r>
    </w:p>
    <w:p>
      <w:pPr>
        <w:spacing w:after="160" w:line="276"/>
        <w:ind w:firstLine="397"/>
        <w:jc w:val="both"/>
      </w:pPr>
      <w:r>
        <w:rPr>
          <w:rFonts w:ascii="Calibri" w:cs="Calibri" w:eastAsia="Calibri" w:hAnsi="Calibri"/>
          <w:sz w:val="22"/>
          <w:szCs w:val="22"/>
        </w:rPr>
        <w:t xml:space="preserve">Kompletan kod za reprodukciju svih rezultata (priprema podataka, treniranje modela, validacija, evaluacija, vizualizacija) javno je dostupan na GitHub repozitorijumu: https://github.com/tfedek/xG360. Podaci korišćeni u istraživanju dolaze iz javno dostupnog StatsBomb Open Data repozitorijuma (https://github.com/statsbomb/open-data) i mogu se slobodno preuzeti za akademska istraživanja.</w:t>
      </w:r>
    </w:p>
    <w:p>
      <w:pPr>
        <w:pStyle w:val="Heading1"/>
      </w:pPr>
      <w:r>
        <w:t xml:space="preserve">4. Rezultati</w:t>
      </w:r>
    </w:p>
    <w:p>
      <w:pPr>
        <w:pStyle w:val="Heading2"/>
      </w:pPr>
      <w:r>
        <w:t xml:space="preserve">4.1. Deskriptivna statistika i testiranje hipoteza</w:t>
      </w:r>
    </w:p>
    <w:p>
      <w:pPr>
        <w:spacing w:after="160" w:line="276"/>
        <w:ind w:firstLine="397"/>
        <w:jc w:val="both"/>
      </w:pPr>
      <w:r>
        <w:rPr>
          <w:rFonts w:ascii="Calibri" w:cs="Calibri" w:eastAsia="Calibri" w:hAnsi="Calibri"/>
          <w:sz w:val="22"/>
          <w:szCs w:val="22"/>
        </w:rPr>
        <w:t xml:space="preserve">Medijana udaljenosti od gola za golove iznosi 11,74 koordinatnih jedinica, naspram 18,84 koordinatnih jedinica za promašaje, dok medijana ugla šuta za golove iznosi 33,82 stepena, naspram 19,44 stepena za promašaje. Obe razlike su statistički vrlo značajne (Mann-Whitney U test, H2: p &lt; 10⁻⁴⁷; H3: p &lt; 10⁻⁵¹), što je u potpunosti u skladu sa fudbalskom intuicijom: golovi se postižu sa manje udaljenosti i pod širim uglom u odnosu na promašaje.</w:t>
      </w:r>
    </w:p>
    <w:p>
      <w:pPr>
        <w:spacing w:after="160" w:line="276"/>
        <w:ind w:firstLine="397"/>
        <w:jc w:val="both"/>
      </w:pPr>
      <w:r>
        <w:rPr>
          <w:rFonts w:ascii="Calibri" w:cs="Calibri" w:eastAsia="Calibri" w:hAnsi="Calibri"/>
          <w:sz w:val="22"/>
          <w:szCs w:val="22"/>
        </w:rPr>
        <w:t xml:space="preserve">Asocijacija između tipa akcije koja prethodi šutu i ishoda (H1) nije dostigla statističku značajnost na nivou alfa = 0,05 (hi-kvadrat = 14,996; p = 0,059). Nije pronađen statistički značajan dokaz o marginalnoj asocijaciji na ovom nivou.</w:t>
      </w:r>
    </w:p>
    <w:p>
      <w:pPr>
        <w:spacing w:after="160" w:line="276"/>
        <w:ind w:firstLine="397"/>
        <w:jc w:val="both"/>
      </w:pPr>
      <w:r>
        <w:rPr>
          <w:rFonts w:ascii="Calibri" w:cs="Calibri" w:eastAsia="Calibri" w:hAnsi="Calibri"/>
          <w:sz w:val="22"/>
          <w:szCs w:val="22"/>
        </w:rPr>
        <w:t xml:space="preserve">Uprkos graničnoj bivarijatnoj neznačajnosti, tip akcije (play pattern) je zadržan kao atribut u oba prediktivna modela (poglavlje 3.4). Razlog je metodološki: bivarijatni hi-kvadrat test ispituje samo marginalnu, izolovanu asocijaciju ove promenljive sa ishodom, dok u multivarijatnom modelu (logistička regresija ili XGBoost) isti atribut može doprineti predikciji u kombinaciji sa drugim atributima, na primer u interakciji sa udaljenošću ili uglom šuta, čak i kada njegova samostalna asocijacija nije statistički značajna. Isključivanje atributa isključivo na osnovu bivarijatnog testa pre uključivanja u model bila bi metodološka greška, jer bi mogla ukloniti informaciju koja postaje relevantna tek u kombinaciji sa ostalim prediktorima.</w:t>
      </w:r>
    </w:p>
    <w:p>
      <w:pPr>
        <w:spacing w:after="160" w:line="276"/>
        <w:ind w:firstLine="397"/>
        <w:jc w:val="both"/>
      </w:pPr>
      <w:r>
        <w:rPr>
          <w:rFonts w:ascii="Calibri" w:cs="Calibri" w:eastAsia="Calibri" w:hAnsi="Calibri"/>
          <w:sz w:val="22"/>
          <w:szCs w:val="22"/>
        </w:rPr>
        <w:t xml:space="preserve">Stopa konverzije šuteva u gol statistički se značajno razlikuje između tri turnira (H4: hi-kvadrat = 8,336; p = 0,015), pri čemu Evropsko prvenstvo 2024 ima primetno nižu stopu (7,5%) u odnosu na Svetsko prvenstvo 2022 (10,6%) i Evropsko prvenstvo 2020 (9,9%).</w:t>
      </w:r>
    </w:p>
    <w:p>
      <w:pPr>
        <w:spacing w:after="160" w:line="276"/>
        <w:ind w:firstLine="397"/>
        <w:jc w:val="both"/>
      </w:pPr>
      <w:r>
        <w:rPr>
          <w:rFonts w:ascii="Calibri" w:cs="Calibri" w:eastAsia="Calibri" w:hAnsi="Calibri"/>
          <w:sz w:val="22"/>
          <w:szCs w:val="22"/>
        </w:rPr>
        <w:t xml:space="preserve">Formalni Kolmogorov-Smirnov test pokazao je da se raspodela udaljenosti od gola i ugla šuta statistički ne razlikuju značajno između bilo koja dva turnira (p &gt; 0,05 za sve parove). Ovo je ključan nalaz za tumačenje razlike u stopi konverzije: nije pronađen dokaz da se marginalne raspodele udaljenosti i ugla razlikuju, pa razlika u konverziji nije objašnjena tim dvema posmatranim geometrijskim karakteristikama. Mogući izvori razlike uključuju završnicu igrača, golmanski učinak, druge neobuhvaćene karakteristike šuta i slučajnu varijaciju.</w:t>
      </w:r>
    </w:p>
    <w:p>
      <w:pPr>
        <w:pStyle w:val="Heading2"/>
      </w:pPr>
      <w:r>
        <w:t xml:space="preserve">4.2. Performans modela: StratifiedGroupKFold po meču validacija</w:t>
      </w:r>
    </w:p>
    <w:p>
      <w:pPr>
        <w:spacing w:after="240" w:before="60"/>
        <w:jc w:val="center"/>
      </w:pPr>
      <w:r>
        <w:rPr>
          <w:rFonts w:ascii="Calibri" w:cs="Calibri" w:eastAsia="Calibri" w:hAnsi="Calibri"/>
          <w:i/>
          <w:iCs/>
          <w:color w:val="444444"/>
          <w:sz w:val="18"/>
          <w:szCs w:val="18"/>
        </w:rPr>
        <w:t xml:space="preserve">Tabela 2. Rezultati StratifiedGroupKFold po meču validacije, iskazani kao prosek plus-minus standardna devijacija kroz 5 foldova. Prosek i standardna devijacija računaju se preko pet foldova (agregacija tipa prosek-preko-foldova, engl. macro), a ne kao jedinstvena metrika na spojenim predikcijama. Brier skor prikazuje vrednost posle post-hoc kalibracije (izotona regresija unutar folda).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Model</w:t>
            </w:r>
          </w:p>
        </w:tc>
        <w:tc>
          <w:tcPr>
            <w:tcW w:type="dxa" w:w="165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ROC AUC</w:t>
            </w:r>
          </w:p>
        </w:tc>
        <w:tc>
          <w:tcPr>
            <w:tcW w:type="dxa" w:w="165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PR AUC</w:t>
            </w:r>
          </w:p>
        </w:tc>
        <w:tc>
          <w:tcPr>
            <w:tcW w:type="dxa" w:w="165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F1</w:t>
            </w:r>
          </w:p>
        </w:tc>
        <w:tc>
          <w:tcPr>
            <w:tcW w:type="dxa" w:w="165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Brier skor</w:t>
            </w:r>
          </w:p>
        </w:tc>
      </w:tr>
      <w:tr>
        <w:tc>
          <w:tcPr>
            <w:tcW w:type="dxa" w:w="27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Model A, logistička regresija</w:t>
            </w:r>
          </w:p>
        </w:tc>
        <w:tc>
          <w:tcPr>
            <w:tcW w:type="dxa" w:w="16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0,758 ± 0,022</w:t>
            </w:r>
          </w:p>
        </w:tc>
        <w:tc>
          <w:tcPr>
            <w:tcW w:type="dxa" w:w="16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0,315 ± 0,064</w:t>
            </w:r>
          </w:p>
        </w:tc>
        <w:tc>
          <w:tcPr>
            <w:tcW w:type="dxa" w:w="16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0,374 ± 0,060</w:t>
            </w:r>
          </w:p>
        </w:tc>
        <w:tc>
          <w:tcPr>
            <w:tcW w:type="dxa" w:w="16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0,076 ± 0,005</w:t>
            </w:r>
          </w:p>
        </w:tc>
      </w:tr>
      <w:tr>
        <w:tc>
          <w:tcPr>
            <w:tcW w:type="dxa" w:w="2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Model A, XGBoost</w:t>
            </w:r>
          </w:p>
        </w:tc>
        <w:tc>
          <w:tcPr>
            <w:tcW w:type="dxa" w:w="16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0,758 ± 0,023</w:t>
            </w:r>
          </w:p>
        </w:tc>
        <w:tc>
          <w:tcPr>
            <w:tcW w:type="dxa" w:w="16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0,308 ± 0,046</w:t>
            </w:r>
          </w:p>
        </w:tc>
        <w:tc>
          <w:tcPr>
            <w:tcW w:type="dxa" w:w="16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0,373 ± 0,033</w:t>
            </w:r>
          </w:p>
        </w:tc>
        <w:tc>
          <w:tcPr>
            <w:tcW w:type="dxa" w:w="16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0,076 ± 0,004</w:t>
            </w:r>
          </w:p>
        </w:tc>
      </w:tr>
      <w:tr>
        <w:tc>
          <w:tcPr>
            <w:tcW w:type="dxa" w:w="27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Model B, logistička regresija</w:t>
            </w:r>
          </w:p>
        </w:tc>
        <w:tc>
          <w:tcPr>
            <w:tcW w:type="dxa" w:w="16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0,772 ± 0,026</w:t>
            </w:r>
          </w:p>
        </w:tc>
        <w:tc>
          <w:tcPr>
            <w:tcW w:type="dxa" w:w="16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0,332 ± 0,054</w:t>
            </w:r>
          </w:p>
        </w:tc>
        <w:tc>
          <w:tcPr>
            <w:tcW w:type="dxa" w:w="16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0,388 ± 0,052</w:t>
            </w:r>
          </w:p>
        </w:tc>
        <w:tc>
          <w:tcPr>
            <w:tcW w:type="dxa" w:w="16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0,074 ± 0,004</w:t>
            </w:r>
          </w:p>
        </w:tc>
      </w:tr>
      <w:tr>
        <w:tc>
          <w:tcPr>
            <w:tcW w:type="dxa" w:w="2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Model B, XGBoost</w:t>
            </w:r>
          </w:p>
        </w:tc>
        <w:tc>
          <w:tcPr>
            <w:tcW w:type="dxa" w:w="16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0,763 ± 0,017</w:t>
            </w:r>
          </w:p>
        </w:tc>
        <w:tc>
          <w:tcPr>
            <w:tcW w:type="dxa" w:w="16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0,297 ± 0,037</w:t>
            </w:r>
          </w:p>
        </w:tc>
        <w:tc>
          <w:tcPr>
            <w:tcW w:type="dxa" w:w="16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0,388 ± 0,029</w:t>
            </w:r>
          </w:p>
        </w:tc>
        <w:tc>
          <w:tcPr>
            <w:tcW w:type="dxa" w:w="16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0,077 ± 0,003</w:t>
            </w:r>
          </w:p>
        </w:tc>
      </w:tr>
    </w:tbl>
    <w:p>
      <w:pPr>
        <w:spacing w:after="160" w:line="276"/>
        <w:ind w:firstLine="397"/>
        <w:jc w:val="both"/>
      </w:pPr>
      <w:r>
        <w:rPr>
          <w:rFonts w:ascii="Calibri" w:cs="Calibri" w:eastAsia="Calibri" w:hAnsi="Calibri"/>
          <w:sz w:val="22"/>
          <w:szCs w:val="22"/>
        </w:rPr>
        <w:t xml:space="preserve">Model B nadmašuje Model A na ROC AUC i PR AUC metrikama, bez obzira na to koji algoritam je korišćen. Razlika u kalibriranom Brier skoru je minimalna ali konzistentno u korist Modela B za logističku regresiju, dok je za XGBoost praktično izjednačena. Standardne devijacije kroz foldove su umerene (0,017 do 0,026 za ROC AUC), što ukazuje na stabilnost performansi kroz različite podele podataka; intervali prosek plus-minus jedna standardna devijacija se između Modela A i Modela B delimično preklapaju, pa formalno testiranje značajnosti razlike sledi u odeljku 4.3a.</w:t>
      </w:r>
    </w:p>
    <w:p>
      <w:pPr>
        <w:pStyle w:val="Heading2"/>
      </w:pPr>
      <w:r>
        <w:t xml:space="preserve">4.3. Generalizacija kroz turnire: Leave-One-Tournament-Out validacija</w:t>
      </w:r>
    </w:p>
    <w:p>
      <w:pPr>
        <w:spacing w:after="160" w:line="276"/>
        <w:ind w:firstLine="397"/>
        <w:jc w:val="both"/>
      </w:pPr>
      <w:r>
        <w:rPr>
          <w:rFonts w:ascii="Calibri" w:cs="Calibri" w:eastAsia="Calibri" w:hAnsi="Calibri"/>
          <w:sz w:val="22"/>
          <w:szCs w:val="22"/>
        </w:rPr>
        <w:t xml:space="preserve">Za razliku od StratifiedGroupKFold validacije, Leave-One-Tournament-Out (LOTO) šema ima samo tri folda (po jedan za svaki izostavljeni turnir). Zbog malog broja foldova, standardna devijacija kroz turnire ima ograničenu preciznost kao ocena varijabilnosti; zato u Tabeli 3 prikazujemo rezultat za svaki izostavljeni turnir pojedinačno, a prosek i standardnu devijaciju navodimo isključivo kao deskriptivni sažetak, ne kao osnovu za inferenciju. Prikazani prosek je prosek-preko-turnira (macro agregacija).</w:t>
      </w:r>
    </w:p>
    <w:p>
      <w:pPr>
        <w:spacing w:after="240" w:before="60"/>
        <w:jc w:val="center"/>
      </w:pPr>
      <w:r>
        <w:rPr>
          <w:rFonts w:ascii="Calibri" w:cs="Calibri" w:eastAsia="Calibri" w:hAnsi="Calibri"/>
          <w:i/>
          <w:iCs/>
          <w:color w:val="444444"/>
          <w:sz w:val="18"/>
          <w:szCs w:val="18"/>
        </w:rPr>
        <w:t xml:space="preserve">Tabela 3. Rezultati Leave-One-Tournament-Out validacije po pojedinačnom izostavljenom turniru, sa deskriptivnim prosekom plus-minus standardnom devijacijom kroz tri turnira (macro agregacija). Brier skor prikazuje vrednost posle post-hoc kalibracije. Prosek preko tri turnira može se blago razlikovati od jedinstvene metrike izračunate na svim spojenim out-of-fold predikcijama (pooled agregacija); vidi odeljak 4.3a.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620"/>
        <w:gridCol w:w="1350"/>
        <w:gridCol w:w="1350"/>
        <w:gridCol w:w="1350"/>
        <w:gridCol w:w="1350"/>
      </w:tblGrid>
      <w:tr>
        <w:trPr>
          <w:tblHeader/>
        </w:trPr>
        <w:tc>
          <w:tcPr>
            <w:tcW w:type="dxa" w:w="23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Model</w:t>
            </w:r>
          </w:p>
        </w:tc>
        <w:tc>
          <w:tcPr>
            <w:tcW w:type="dxa" w:w="16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Izostavljeni turnir</w:t>
            </w:r>
          </w:p>
        </w:tc>
        <w:tc>
          <w:tcPr>
            <w:tcW w:type="dxa" w:w="135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ROC AUC</w:t>
            </w:r>
          </w:p>
        </w:tc>
        <w:tc>
          <w:tcPr>
            <w:tcW w:type="dxa" w:w="135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PR AUC</w:t>
            </w:r>
          </w:p>
        </w:tc>
        <w:tc>
          <w:tcPr>
            <w:tcW w:type="dxa" w:w="135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F1</w:t>
            </w:r>
          </w:p>
        </w:tc>
        <w:tc>
          <w:tcPr>
            <w:tcW w:type="dxa" w:w="135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Brier skor</w:t>
            </w:r>
          </w:p>
        </w:tc>
      </w:tr>
      <w:tr>
        <w:tc>
          <w:tcPr>
            <w:tcW w:type="dxa" w:w="234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Model A, logistička regresija</w:t>
            </w:r>
          </w:p>
        </w:tc>
        <w:tc>
          <w:tcPr>
            <w:tcW w:type="dxa" w:w="16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FIFA SP 2022</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0,779</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0,358</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0,394</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0,082</w:t>
            </w:r>
          </w:p>
        </w:tc>
      </w:tr>
      <w:tr>
        <w:tc>
          <w:tcPr>
            <w:tcW w:type="dxa" w:w="23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
            </w:r>
          </w:p>
        </w:tc>
        <w:tc>
          <w:tcPr>
            <w:tcW w:type="dxa" w:w="162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UEFA EP 2020</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0,765</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0,324</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0,393</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0,078</w:t>
            </w:r>
          </w:p>
        </w:tc>
      </w:tr>
      <w:tr>
        <w:tc>
          <w:tcPr>
            <w:tcW w:type="dxa" w:w="234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
            </w:r>
          </w:p>
        </w:tc>
        <w:tc>
          <w:tcPr>
            <w:tcW w:type="dxa" w:w="16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UEFA EP 2024</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0,745</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0,221</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0,300</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0,066</w:t>
            </w:r>
          </w:p>
        </w:tc>
      </w:tr>
      <w:tr>
        <w:tc>
          <w:tcPr>
            <w:tcW w:type="dxa" w:w="23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
            </w:r>
          </w:p>
        </w:tc>
        <w:tc>
          <w:tcPr>
            <w:tcW w:type="dxa" w:w="162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prosek ± SD</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0,763 ± 0,017</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0,301 ± 0,071</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0,362 ± 0,054</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0,075 ± 0,008</w:t>
            </w:r>
          </w:p>
        </w:tc>
      </w:tr>
      <w:tr>
        <w:tc>
          <w:tcPr>
            <w:tcW w:type="dxa" w:w="234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Model A, XGBoost</w:t>
            </w:r>
          </w:p>
        </w:tc>
        <w:tc>
          <w:tcPr>
            <w:tcW w:type="dxa" w:w="16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FIFA SP 2022</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0,783</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0,347</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0,396</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0,082</w:t>
            </w:r>
          </w:p>
        </w:tc>
      </w:tr>
      <w:tr>
        <w:tc>
          <w:tcPr>
            <w:tcW w:type="dxa" w:w="23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
            </w:r>
          </w:p>
        </w:tc>
        <w:tc>
          <w:tcPr>
            <w:tcW w:type="dxa" w:w="162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UEFA EP 2020</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0,774</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0,331</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0,393</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0,078</w:t>
            </w:r>
          </w:p>
        </w:tc>
      </w:tr>
      <w:tr>
        <w:tc>
          <w:tcPr>
            <w:tcW w:type="dxa" w:w="234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
            </w:r>
          </w:p>
        </w:tc>
        <w:tc>
          <w:tcPr>
            <w:tcW w:type="dxa" w:w="16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UEFA EP 2024</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0,724</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0,219</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0,305</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0,066</w:t>
            </w:r>
          </w:p>
        </w:tc>
      </w:tr>
      <w:tr>
        <w:tc>
          <w:tcPr>
            <w:tcW w:type="dxa" w:w="23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
            </w:r>
          </w:p>
        </w:tc>
        <w:tc>
          <w:tcPr>
            <w:tcW w:type="dxa" w:w="162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prosek ± SD</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0,761 ± 0,032</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0,299 ± 0,070</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0,365 ± 0,052</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0,076 ± 0,008</w:t>
            </w:r>
          </w:p>
        </w:tc>
      </w:tr>
      <w:tr>
        <w:tc>
          <w:tcPr>
            <w:tcW w:type="dxa" w:w="234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Model B, logistička regresija</w:t>
            </w:r>
          </w:p>
        </w:tc>
        <w:tc>
          <w:tcPr>
            <w:tcW w:type="dxa" w:w="16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FIFA SP 2022</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0,797</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0,379</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0,429</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0,080</w:t>
            </w:r>
          </w:p>
        </w:tc>
      </w:tr>
      <w:tr>
        <w:tc>
          <w:tcPr>
            <w:tcW w:type="dxa" w:w="23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
            </w:r>
          </w:p>
        </w:tc>
        <w:tc>
          <w:tcPr>
            <w:tcW w:type="dxa" w:w="162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UEFA EP 2020</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0,767</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0,362</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0,420</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0,076</w:t>
            </w:r>
          </w:p>
        </w:tc>
      </w:tr>
      <w:tr>
        <w:tc>
          <w:tcPr>
            <w:tcW w:type="dxa" w:w="234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
            </w:r>
          </w:p>
        </w:tc>
        <w:tc>
          <w:tcPr>
            <w:tcW w:type="dxa" w:w="16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UEFA EP 2024</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0,744</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0,222</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0,316</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0,066</w:t>
            </w:r>
          </w:p>
        </w:tc>
      </w:tr>
      <w:tr>
        <w:tc>
          <w:tcPr>
            <w:tcW w:type="dxa" w:w="23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
            </w:r>
          </w:p>
        </w:tc>
        <w:tc>
          <w:tcPr>
            <w:tcW w:type="dxa" w:w="162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prosek ± SD</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0,769 ± 0,027</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0,321 ± 0,086</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0,388 ± 0,063</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0,074 ± 0,008</w:t>
            </w:r>
          </w:p>
        </w:tc>
      </w:tr>
      <w:tr>
        <w:tc>
          <w:tcPr>
            <w:tcW w:type="dxa" w:w="234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Model B, XGBoost</w:t>
            </w:r>
          </w:p>
        </w:tc>
        <w:tc>
          <w:tcPr>
            <w:tcW w:type="dxa" w:w="16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FIFA SP 2022</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0,802</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0,364</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0,417</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0,082</w:t>
            </w:r>
          </w:p>
        </w:tc>
      </w:tr>
      <w:tr>
        <w:tc>
          <w:tcPr>
            <w:tcW w:type="dxa" w:w="23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
            </w:r>
          </w:p>
        </w:tc>
        <w:tc>
          <w:tcPr>
            <w:tcW w:type="dxa" w:w="162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UEFA EP 2020</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0,772</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0,343</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0,432</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0,076</w:t>
            </w:r>
          </w:p>
        </w:tc>
      </w:tr>
      <w:tr>
        <w:tc>
          <w:tcPr>
            <w:tcW w:type="dxa" w:w="234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
            </w:r>
          </w:p>
        </w:tc>
        <w:tc>
          <w:tcPr>
            <w:tcW w:type="dxa" w:w="16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UEFA EP 2024</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0,746</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0,225</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0,329</w:t>
            </w:r>
          </w:p>
        </w:tc>
        <w:tc>
          <w:tcPr>
            <w:tcW w:type="dxa" w:w="135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0,065</w:t>
            </w:r>
          </w:p>
        </w:tc>
      </w:tr>
      <w:tr>
        <w:tc>
          <w:tcPr>
            <w:tcW w:type="dxa" w:w="23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
            </w:r>
          </w:p>
        </w:tc>
        <w:tc>
          <w:tcPr>
            <w:tcW w:type="dxa" w:w="162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prosek ± SD</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0,773 ± 0,028</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0,311 ± 0,075</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0,392 ± 0,056</w:t>
            </w:r>
          </w:p>
        </w:tc>
        <w:tc>
          <w:tcPr>
            <w:tcW w:type="dxa" w:w="135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0,074 ± 0,009</w:t>
            </w:r>
          </w:p>
        </w:tc>
      </w:tr>
    </w:tbl>
    <w:p>
      <w:pPr>
        <w:spacing w:after="160" w:line="276"/>
        <w:ind w:firstLine="397"/>
        <w:jc w:val="both"/>
      </w:pPr>
      <w:r>
        <w:rPr>
          <w:rFonts w:ascii="Calibri" w:cs="Calibri" w:eastAsia="Calibri" w:hAnsi="Calibri"/>
          <w:sz w:val="22"/>
          <w:szCs w:val="22"/>
        </w:rPr>
        <w:t xml:space="preserve">Rezultati Leave-One-Tournament-Out validacije su konzistentni sa rezultatima StratifiedGroupKFold po meču validacije. Prikaz po pojedinačnom turniru otkriva jasan obrazac: UEFA Euro 2024 dosledno daje najniži ROC AUC i posebno nizak PR AUC kao izostavljeni turnir za sva četiri modela, dok FIFA Svetsko prvenstvo 2022 daje najviši. Ovo je u skladu sa nalazom iz odeljka 4.1 da Euro 2024 ima nižu stopu konverzije šuteva u gol (7,5%), uz statistički nepromenjenu geometriju šuta, pa je predikcija na tom turniru intrinzično teža. Standardna devijacija kroz tri turnira je veća nego kroz K-Fold foldove (na primer 0,027 naspram 0,026 za ROC AUC Modela B, logistička regresija; kod PR AUC razlika je izraženija), što je očekivano jer LOTO meri generalizaciju na potpuno nov turnirski kontekst, a raspolaže sa samo tri folda. Prednost Modela B nad Modelom A održava se na svakom pojedinačnom izostavljenom turniru, ne samo u proseku.</w:t>
      </w:r>
    </w:p>
    <w:p>
      <w:pPr>
        <w:spacing w:after="160" w:line="276"/>
        <w:ind w:firstLine="397"/>
        <w:jc w:val="both"/>
      </w:pPr>
      <w:r>
        <w:rPr>
          <w:rFonts w:ascii="Calibri" w:cs="Calibri" w:eastAsia="Calibri" w:hAnsi="Calibri"/>
          <w:sz w:val="22"/>
          <w:szCs w:val="22"/>
        </w:rPr>
        <w:t xml:space="preserve">Pri detaljnijem pregledu po pojedinačnom turniru, Evropsko prvenstvo 2024 dosledno pokazuje nešto niži PR AUC kao izostavljeni turnir u odnosu na druga dva, što je u skladu sa nalazom iz odeljka 4.1 da ovaj turnir ima nižu stopu konverzije šuteva u gol, uz statistički nepromenjenu geometriju šuta.</w:t>
      </w:r>
    </w:p>
    <w:p>
      <w:pPr>
        <w:pStyle w:val="Heading2"/>
      </w:pPr>
      <w:r>
        <w:t xml:space="preserve">4.3a. Formalno testiranje statističke značajnosti razlike Model A i Model B</w:t>
      </w:r>
    </w:p>
    <w:p>
      <w:pPr>
        <w:spacing w:after="160" w:line="276"/>
        <w:ind w:firstLine="397"/>
        <w:jc w:val="both"/>
      </w:pPr>
      <w:r>
        <w:rPr>
          <w:rFonts w:ascii="Calibri" w:cs="Calibri" w:eastAsia="Calibri" w:hAnsi="Calibri"/>
          <w:sz w:val="22"/>
          <w:szCs w:val="22"/>
        </w:rPr>
        <w:t xml:space="preserve">Dosledna prednost Modela B u ROC AUC i PR AUC kroz obe validacione šeme jeste snažan indirektan pokazatelj, ali ne predstavlja sama po sebi formalni statistički dokaz da razlika nije slučajna. Da bi se ova razlika formalno testirala, sprovedena su dva nezavisna testa, prilagođena svakom od dva algoritma.</w:t>
      </w:r>
    </w:p>
    <w:p>
      <w:pPr>
        <w:spacing w:after="160" w:line="276"/>
        <w:ind w:firstLine="397"/>
        <w:jc w:val="both"/>
      </w:pPr>
      <w:r>
        <w:rPr>
          <w:rFonts w:ascii="Calibri" w:cs="Calibri" w:eastAsia="Calibri" w:hAnsi="Calibri"/>
          <w:sz w:val="22"/>
          <w:szCs w:val="22"/>
        </w:rPr>
        <w:t xml:space="preserve">Za logističku regresiju, Model A je formalno ugnježden u Model B: atributi Modela A predstavljaju tačan podskup atributa Modela B, pri čemu Model B sadrži svih 11 dodatnih StatsBomb 360 prostornih atributa navedenih u odeljku 3.4. Ugnježdena struktura modela dozvoljava primenu Likelihood Ratio (LR) testa, koji poredi logaritme verodostojnosti (log-likelihood) dva modela:</w:t>
      </w:r>
    </w:p>
    <w:p>
      <w:pPr>
        <w:tabs>
          <w:tab w:val="right" w:pos="9000"/>
        </w:tabs>
        <w:spacing w:after="200" w:before="160"/>
        <w:jc w:val="center"/>
      </w:pPr>
      <m:oMath>
        <m:r>
          <m:t>LR = 2</m:t>
        </m:r>
        <m:d>
          <m:dPr/>
          <m:e>
            <m:sSub>
              <m:sSubPr/>
              <m:e>
                <m:r>
                  <m:t>ℓ</m:t>
                </m:r>
              </m:e>
              <m:sub>
                <m:r>
                  <m:t>B</m:t>
                </m:r>
              </m:sub>
            </m:sSub>
            <m:r>
              <m:t> − </m:t>
            </m:r>
            <m:sSub>
              <m:sSubPr/>
              <m:e>
                <m:r>
                  <m:t>ℓ</m:t>
                </m:r>
              </m:e>
              <m:sub>
                <m:r>
                  <m:t>A</m:t>
                </m:r>
              </m:sub>
            </m:sSub>
          </m:e>
        </m:d>
        <m:r>
          <m:t> ~ χ²(df)</m:t>
        </m:r>
      </m:oMath>
      <w:r>
        <w:rPr>
          <w:sz w:val="20"/>
          <w:szCs w:val="20"/>
        </w:rPr>
        <w:t xml:space="preserve">	(17)</w:t>
      </w:r>
    </w:p>
    <w:p>
      <w:pPr>
        <w:spacing w:after="160" w:line="276"/>
        <w:ind w:firstLine="397"/>
        <w:jc w:val="both"/>
      </w:pPr>
      <w:r>
        <w:rPr>
          <w:rFonts w:ascii="Calibri" w:cs="Calibri" w:eastAsia="Calibri" w:hAnsi="Calibri"/>
          <w:sz w:val="22"/>
          <w:szCs w:val="22"/>
        </w:rPr>
        <w:t xml:space="preserve">gde su ℓ_A i ℓ_B logaritmi verodostojnosti Modela A i Modela B, a LR statistika prati hi-kvadrat raspodelu sa brojem stepeni slobode jednakim broju dodatnih parametara u Modelu B. Oba modela su fitovana na identičnom skupu od 3.967 šuteva (bez penala, bez 1 šuta sa uglom jednakim nuli), kako bi poređenje log-likelihood vrednosti bilo validno. Rezultat je LR = 67,97, sa 11 stepeni slobode, što odgovara p-vrednosti od približno 2,97×10⁻¹⁰, odlučno odbacujući nultu hipotezu da StatsBomb 360 atributi ne doprinose modelu. Akaikeov informacioni kriterijum: AIC iznosi 2.139,93 za Model A i 2.093,96 za Model B (favorizuje B). Bajesov informacioni kriterijum (BIC) iznosi 2.202,79 naspram 2.225,96 (favorizuje A, što je metodološki očekivano jer BIC strože kažnjava dodatne parametre).</w:t>
      </w:r>
    </w:p>
    <w:p>
      <w:pPr>
        <w:spacing w:after="160" w:line="276"/>
        <w:ind w:firstLine="397"/>
        <w:jc w:val="both"/>
      </w:pPr>
      <w:r>
        <w:rPr>
          <w:rFonts w:ascii="Calibri" w:cs="Calibri" w:eastAsia="Calibri" w:hAnsi="Calibri"/>
          <w:sz w:val="22"/>
          <w:szCs w:val="22"/>
        </w:rPr>
        <w:t xml:space="preserve">Za poređenje na nivou pojedinačnih šuteva, sprovedena je parna klasterska bootstrap analiza razlike ROC AUC na kompletnim out-of-fold (OOF) predikcijama iz svih LOTO foldova, pri čemu su predikcije Modela A i Modela B uparene po šutu (isti foldovi, iste opservacije). Uzorkovanje se vrši na nivou utakmica sa ponavljanjem (klaster bootstrap): u svakoj iteraciji bira se skup utakmica sa ponavljanjem, a svi šutevi iz izabrane utakmice ulaze u bootstrap uzorak. Ovo poštuje grupnu strukturu podataka, jer šutevi iz iste utakmice nisu međusobno nezavisni, pa je jedinica ponovnog uzorkovanja utakmica, a ne pojedinačni šut. Opažena razlika (Model B minus Model A) na spojenim (pooled) OOF predikcijama iznosi -0,004, a 95% bootstrap interval poverenja (2.000 iteracija, 166 utakmica kao klasteri) iznosi [-0,033, 0,025]. Interval sadrži nulu, što znači da na nivou pojedinačnog šuta, u ovoj konkretnoj (nekalibrisanoj, pooled) postavci, razlika nije statistički značajna na alfa = 0,05. Ovo je vredan nalaz koji zaslužuje transparentno prikazivanje: signal od 360 atributa je realan ali umeren. Na nivou turnira (LOTO validacija, Tabela 3), razlika je konzistentna i prisutna na svakom pojedinačnom turniru, a LR test potvrđuje da 360 atributi nose stvarnu inkrementalnu informaciju (p = 2,97×10⁻¹⁰). Zaključak je da Model B pokazuje konzistentno numeričko poboljšanje kroz turnire i validacione šeme, ali je inkrementalni efekat umeren i interval poverenja dobijen klasterskim bootstrapom u pooled postavci ne isključuje nultu razliku.</w:t>
      </w:r>
    </w:p>
    <w:p>
      <w:pPr>
        <w:pStyle w:val="Heading2"/>
      </w:pPr>
      <w:r>
        <w:t xml:space="preserve">4.3b. Usklađivanje AUC vrednosti: način agregiranja i uticaj kalibracije</w:t>
      </w:r>
    </w:p>
    <w:p>
      <w:pPr>
        <w:spacing w:after="160" w:line="276"/>
        <w:ind w:firstLine="397"/>
        <w:jc w:val="both"/>
      </w:pPr>
      <w:r>
        <w:rPr>
          <w:rFonts w:ascii="Calibri" w:cs="Calibri" w:eastAsia="Calibri" w:hAnsi="Calibri"/>
          <w:sz w:val="22"/>
          <w:szCs w:val="22"/>
        </w:rPr>
        <w:t xml:space="preserve">Čitalac će primetiti prividnu nesaglasnost između ROC AUC vrednosti u Tabeli 3 (na primer 0,772 za Model B, logistička regresija, kao prosek preko turnira) i pooled OOF ROC AUC vrednosti korišćenih u klasterskoj bootstrap analizi (0,709 za Model B, 0,713 za Model A). Ova razlika NIJE prevashodno posledica post-hoc kalibracije, već potiče od dva odvojena, jasno razdvojiva izvora: (1) načina agregiranja AUC vrednosti, i (2) primene kalibracije na predikcije spojene preko turnira. Da bismo to razjasnili, izračunali smo obe agregacije i za kalibrisane i za nekalibrisane predikcije, na identičnom skupu out-of-fold opservacija iz LOTO validacije.</w:t>
      </w:r>
    </w:p>
    <w:p>
      <w:pPr>
        <w:spacing w:after="160" w:line="276"/>
        <w:ind w:firstLine="397"/>
        <w:jc w:val="both"/>
      </w:pPr>
      <w:r>
        <w:rPr>
          <w:rFonts w:ascii="Calibri" w:cs="Calibri" w:eastAsia="Calibri" w:hAnsi="Calibri"/>
          <w:sz w:val="22"/>
          <w:szCs w:val="22"/>
        </w:rPr>
        <w:t xml:space="preserve">Prva razlika je u načinu agregiranja. Macro agregacija (prosek preko turnira, kako je prikazano u Tabeli 3) računa ROC AUC odvojeno unutar svakog izostavljenog turnira i potom uzima prosek ta tri broja. Pooled agregacija računa jedan jedini ROC AUC na svim spojenim out-of-fold predikcijama iz tri turnira. To su dve različite veličine i legitimno daju različite brojeve, jer pooled AUC istovremeno rangira šuteve iz tri turnira sa različitim baznim stopama golova (10,6% na SP 2022, 9,9% na EP 2020, 7,5% na EP 2024, videti odeljak 4.1).</w:t>
      </w:r>
    </w:p>
    <w:p>
      <w:pPr>
        <w:spacing w:after="160" w:line="276"/>
        <w:ind w:firstLine="397"/>
        <w:jc w:val="both"/>
      </w:pPr>
      <w:r>
        <w:rPr>
          <w:rFonts w:ascii="Calibri" w:cs="Calibri" w:eastAsia="Calibri" w:hAnsi="Calibri"/>
          <w:sz w:val="22"/>
          <w:szCs w:val="22"/>
        </w:rPr>
        <w:t xml:space="preserve">Druga razlika je uticaj kalibracije upravo u pooled postavci. Izotona regresija je monotona transformacija i unutar jednog turnira ne menja poredak predikcija, pa je njen efekat na ROC AUC unutar turnira zanemarljiv (na primer, macro ROC AUC Modela A menja se sa 0,760 na 0,757, promena reda veličine 0,003). Ovo potvrđuje očekivanje da monotona kalibracija čuva rang. Međutim, kada se predikcije iz tri turnira SPOJE, nekalibrisane verovatnoće nose pomeraj nivoa specifičan za svaki turnir (posledica različitih baznih stopa i različitih trening skupova po LOTO foldu), što narušava zajednički poredak. Kalibracija fitovana unutar folda poravnava te nivoe između turnira i time popravlja pooled poredak. Zato u pooled postavci kalibracija podiže ROC AUC osetno (za Model A sa 0,713 na 0,753, za Model B sa 0,709 na 0,774), dok u macro postavci praktično ne menja ništa.</w:t>
      </w:r>
    </w:p>
    <w:p>
      <w:pPr>
        <w:spacing w:after="240" w:before="60"/>
        <w:jc w:val="center"/>
      </w:pPr>
      <w:r>
        <w:rPr>
          <w:rFonts w:ascii="Calibri" w:cs="Calibri" w:eastAsia="Calibri" w:hAnsi="Calibri"/>
          <w:i/>
          <w:iCs/>
          <w:color w:val="444444"/>
          <w:sz w:val="18"/>
          <w:szCs w:val="18"/>
        </w:rPr>
        <w:t xml:space="preserve">Tabela 3a. Usklađivanje ROC AUC vrednosti po načinu agregiranja i stanju kalibracije, na identičnim out-of-fold opservacijama iz LOTO validacije (logistička regresija). Macro = prosek AUC-ova računatih odvojeno po turniru; pooled = jedan AUC na svim spojenim predikcijama.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Model</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Macro (prosek po turniru)</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Pooled (svi OOF spojeni)</w:t>
            </w:r>
          </w:p>
        </w:tc>
      </w:tr>
      <w:tr>
        <w:tc>
          <w:tcPr>
            <w:tcW w:type="dxa" w:w="3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Model A, nekalibrisano</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0,760</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0,713</w:t>
            </w:r>
          </w:p>
        </w:tc>
      </w:tr>
      <w:tr>
        <w:tc>
          <w:tcPr>
            <w:tcW w:type="dxa" w:w="3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Model A, kalibrisano (izotona)</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0,757</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0,753</w:t>
            </w:r>
          </w:p>
        </w:tc>
      </w:tr>
      <w:tr>
        <w:tc>
          <w:tcPr>
            <w:tcW w:type="dxa" w:w="3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Model B, nekalibrisano</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0,774</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0,709</w:t>
            </w:r>
          </w:p>
        </w:tc>
      </w:tr>
      <w:tr>
        <w:tc>
          <w:tcPr>
            <w:tcW w:type="dxa" w:w="3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Model B, kalibrisano (izotona)</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0,771</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0,774</w:t>
            </w:r>
          </w:p>
        </w:tc>
      </w:tr>
    </w:tbl>
    <w:p>
      <w:pPr>
        <w:spacing w:after="160" w:line="276"/>
        <w:ind w:firstLine="397"/>
        <w:jc w:val="both"/>
      </w:pPr>
      <w:r>
        <w:rPr>
          <w:rFonts w:ascii="Calibri" w:cs="Calibri" w:eastAsia="Calibri" w:hAnsi="Calibri"/>
          <w:sz w:val="22"/>
          <w:szCs w:val="22"/>
        </w:rPr>
        <w:t xml:space="preserve">Praktične implikacije za tumačenje rada su tri. Prvo, vrednosti u Tabeli 3 su macro (prosek preko turnira) i kalibrisane, i kao takve su međusobno uporedive između modela. Drugo, pooled OOF vrednosti korišćene u bootstrap analizi (0,713 i 0,709) su nekalibrisane i pooled, i njih treba tumačiti samo unutar te postavke; njihova relativno niska apsolutna vrednost odražava težinu zajedničkog rangiranja tri heterogena turnira sa nekalibrisanim verovatnoćama, a ne slabost modela po sebi. Treće, u svim postavkama gde se poređenje vrši na uporedivim veličinama (macro nekalibrisano: 0,774 naspram 0,760; macro kalibrisano: 0,771 naspram 0,757; pooled kalibrisano: 0,774 naspram 0,753) Model B zadržava prednost nad Modelom A. Jedina postavka u kojoj Model B blago zaostaje jeste pooled nekalibrisano (0,709 naspram 0,713), što je upravo postavka najviše pogođena neusklađenošću nivoa verovatnoća između turnira.</w:t>
      </w:r>
    </w:p>
    <w:p>
      <w:pPr>
        <w:spacing w:after="160" w:line="276"/>
        <w:ind w:firstLine="397"/>
        <w:jc w:val="both"/>
      </w:pPr>
      <w:r>
        <w:rPr>
          <w:rFonts w:ascii="Calibri" w:cs="Calibri" w:eastAsia="Calibri" w:hAnsi="Calibri"/>
          <w:sz w:val="22"/>
          <w:szCs w:val="22"/>
        </w:rPr>
        <w:t xml:space="preserve">Napomena o Likelihood Ratio testu: LR test je primenjen isključivo na neponderisanom, nepenalizovanom logističkom modelu (standardni statsmodels Logit bez class_weight i bez regularizacije), jer ponderisanje klasa menja efektivnu likelihood funkciju i narušava standardnu interpretaciju LR statistike, AIC-a i BIC-a. Prediktivni modeli (sa regularizacijom i podešavanjem hiperparametara) koriste se za Brier/AUC izveštavanje; inferencijalni model služi isključivo za formalni test značajnosti.</w:t>
      </w:r>
    </w:p>
    <w:p>
      <w:pPr>
        <w:pStyle w:val="Heading2"/>
      </w:pPr>
      <w:r>
        <w:t xml:space="preserve">4.4. Kalibracija i post-hoc korekcija</w:t>
      </w:r>
    </w:p>
    <w:p>
      <w:pPr>
        <w:spacing w:after="240" w:before="60"/>
        <w:jc w:val="center"/>
      </w:pPr>
      <w:r>
        <w:rPr>
          <w:rFonts w:ascii="Calibri" w:cs="Calibri" w:eastAsia="Calibri" w:hAnsi="Calibri"/>
          <w:i/>
          <w:iCs/>
          <w:color w:val="444444"/>
          <w:sz w:val="18"/>
          <w:szCs w:val="18"/>
        </w:rPr>
        <w:t xml:space="preserve">Tabela 4. Brier skor pre i posle post-hoc kalibracije (izotona regresija)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rPr>
          <w:tblHeader/>
        </w:trPr>
        <w:tc>
          <w:tcPr>
            <w:tcW w:type="dxa" w:w="4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Model</w:t>
            </w:r>
          </w:p>
        </w:tc>
        <w:tc>
          <w:tcPr>
            <w:tcW w:type="dxa" w:w="243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Brier skor (sirovi model)</w:t>
            </w:r>
          </w:p>
        </w:tc>
        <w:tc>
          <w:tcPr>
            <w:tcW w:type="dxa" w:w="243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Brier skor (posle kalibracije)</w:t>
            </w:r>
          </w:p>
        </w:tc>
      </w:tr>
      <w:tr>
        <w:tc>
          <w:tcPr>
            <w:tcW w:type="dxa" w:w="4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Model A, logistička regresija</w:t>
            </w:r>
          </w:p>
        </w:tc>
        <w:tc>
          <w:tcPr>
            <w:tcW w:type="dxa" w:w="243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0,146</w:t>
            </w:r>
          </w:p>
        </w:tc>
        <w:tc>
          <w:tcPr>
            <w:tcW w:type="dxa" w:w="243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0,076</w:t>
            </w:r>
          </w:p>
        </w:tc>
      </w:tr>
      <w:tr>
        <w:tc>
          <w:tcPr>
            <w:tcW w:type="dxa" w:w="4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Model A, XGBoost</w:t>
            </w:r>
          </w:p>
        </w:tc>
        <w:tc>
          <w:tcPr>
            <w:tcW w:type="dxa" w:w="243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0,095</w:t>
            </w:r>
          </w:p>
        </w:tc>
        <w:tc>
          <w:tcPr>
            <w:tcW w:type="dxa" w:w="243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0,076</w:t>
            </w:r>
          </w:p>
        </w:tc>
      </w:tr>
      <w:tr>
        <w:tc>
          <w:tcPr>
            <w:tcW w:type="dxa" w:w="4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Model B, logistička regresija</w:t>
            </w:r>
          </w:p>
        </w:tc>
        <w:tc>
          <w:tcPr>
            <w:tcW w:type="dxa" w:w="243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0,117</w:t>
            </w:r>
          </w:p>
        </w:tc>
        <w:tc>
          <w:tcPr>
            <w:tcW w:type="dxa" w:w="243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0,074</w:t>
            </w:r>
          </w:p>
        </w:tc>
      </w:tr>
      <w:tr>
        <w:tc>
          <w:tcPr>
            <w:tcW w:type="dxa" w:w="4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Model B, XGBoost</w:t>
            </w:r>
          </w:p>
        </w:tc>
        <w:tc>
          <w:tcPr>
            <w:tcW w:type="dxa" w:w="243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0,087</w:t>
            </w:r>
          </w:p>
        </w:tc>
        <w:tc>
          <w:tcPr>
            <w:tcW w:type="dxa" w:w="243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0,077</w:t>
            </w:r>
          </w:p>
        </w:tc>
      </w:tr>
    </w:tbl>
    <w:p>
      <w:pPr>
        <w:spacing w:after="160" w:line="276"/>
        <w:ind w:firstLine="397"/>
        <w:jc w:val="both"/>
      </w:pPr>
      <w:r>
        <w:rPr>
          <w:rFonts w:ascii="Calibri" w:cs="Calibri" w:eastAsia="Calibri" w:hAnsi="Calibri"/>
          <w:sz w:val="22"/>
          <w:szCs w:val="22"/>
        </w:rPr>
        <w:t xml:space="preserve">Sirovi modeli, pre post-hoc kalibracije, pokazuju sistematsku prekalibrisanost u višem opsegu predviđenih verovatnoća. Primena izotone regresije kao post-hoc kalibracije značajno poboljšava Brier skor za sve četiri kombinacije modela (redukcije od 14% do 48% u zavisnosti od modela i validacione šeme).</w:t>
      </w:r>
    </w:p>
    <w:p>
      <w:pPr>
        <w:spacing w:after="160" w:line="276"/>
        <w:ind w:firstLine="397"/>
        <w:jc w:val="both"/>
      </w:pPr>
      <w:r>
        <w:rPr>
          <w:rFonts w:ascii="Calibri" w:cs="Calibri" w:eastAsia="Calibri" w:hAnsi="Calibri"/>
          <w:sz w:val="22"/>
          <w:szCs w:val="22"/>
        </w:rPr>
        <w:t xml:space="preserve">Kao dodatna provera robusnosti, ispitano je da li izbor scoring metrike za GridSearch menja zaključak o prednosti Modela B, korišćenjem nezavisnog, nekalibrisanog LOTO pipeline-a. Rezultat pokazuje da zaključak zavisi od izabranog kriterijuma: kada se hiperparametri biraju prema average_precision (metrika rangiranja), Model B blago zaostaje za Modelom A na pooled nekalibrisanom AUC (0,709 naspram 0,713, delta=-0,004; ovo su iste pooled nekalibrisane vrednosti razmatrane u odeljku 4.3b), iako zadržava bolji sirovi Brier skor (0,110 naspram 0,152). Kada se hiperparametri biraju prema neg_log_loss ili neg_brier_score (metrike koje direktno optimizuju kvalitet verovatnoća), Model B nadmašuje Model A na oba pokazatelja (AUC: 0,775 naspram 0,761, delta=+0,014; Brier: 0,074 naspram 0,076). Ovaj nalaz sugeriše da prednost dodatnih 360 atributa zavisi od toga da li se selekcija hiperparametara eksplicitno fokusira na kvalitet probabilističkih predikcija - što je i primaran cilj xG modelovanja - a ne isključivo na rangiranje. Kao što je pokazano u odeljku 4.3b, apsolutne vrednosti AUC u ovoj proveri nisu direktno uporedive sa kalibrisanim, macro-agregiranim rezultatima u Tabeli 3, budući da ova provera koristi nekalibrisane, pooled predikcije radi izolovanja efekta scoring kriterijuma od efekta post-hoc kalibracije.</w:t>
      </w:r>
    </w:p>
    <w:p>
      <w:pPr>
        <w:pStyle w:val="Heading2"/>
      </w:pPr>
      <w:r>
        <w:t xml:space="preserve">4.5. Ablation analiza: doprinos pojedinačnih grupa 360 atributa</w:t>
      </w:r>
    </w:p>
    <w:p>
      <w:pPr>
        <w:spacing w:after="160" w:line="276"/>
        <w:ind w:firstLine="397"/>
        <w:jc w:val="both"/>
      </w:pPr>
      <w:r>
        <w:rPr>
          <w:rFonts w:ascii="Calibri" w:cs="Calibri" w:eastAsia="Calibri" w:hAnsi="Calibri"/>
          <w:sz w:val="22"/>
          <w:szCs w:val="22"/>
        </w:rPr>
        <w:t xml:space="preserve">Da bi se preciziralo koji deo prostorne informacije proizvodi poboljšanje, sprovedena je ablation analiza u kojoj su 360 atributi podeljeni u pet grupa: golman (GK - udaljenost golmana), konusni branioci (CONE - branioci u konusu šuta i između šutera i gola), defanzivni pritisak (PRESSURE - pressure_score, broj branilaca u blizini), linija šuta (SHOT_LINE - najbliži branilac liniji šuter-gol), i otvorenost ugla (OPEN_ANGLE - open_angle_ratio_360). Za svaku grupu treniran je Model A sa jednom dodatom grupom, i merena je LOTO AUC razlika u odnosu na čist Model A.</w:t>
      </w:r>
    </w:p>
    <w:p>
      <w:pPr>
        <w:spacing w:after="240" w:before="60"/>
        <w:jc w:val="center"/>
      </w:pPr>
      <w:r>
        <w:rPr>
          <w:rFonts w:ascii="Calibri" w:cs="Calibri" w:eastAsia="Calibri" w:hAnsi="Calibri"/>
          <w:i/>
          <w:iCs/>
          <w:color w:val="444444"/>
          <w:sz w:val="18"/>
          <w:szCs w:val="18"/>
        </w:rPr>
        <w:t xml:space="preserve">Tabela 5. Ablation analiza: inkrementalni doprinos svake grupe 360 atributa (logistička regresija, LOTO validacija)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Varijanta</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LOTO ROC AUC</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Delta vs Model A</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Model A (bez 360)</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0,760</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Model A + OPEN_ANGLE</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0,760</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+0,000</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Model A + SHOT_LINE</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0,760</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+0,000</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Model A + GK</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0,765</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+0,004</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Model A + PRESSURE</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0,767</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+0,007</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Model A + CONE</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0,768</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+0,007</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Model B (sve 360 grupe)</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0,773</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+0,013</w:t>
            </w:r>
          </w:p>
        </w:tc>
      </w:tr>
    </w:tbl>
    <w:p>
      <w:pPr>
        <w:spacing w:after="160" w:line="276"/>
        <w:ind w:firstLine="397"/>
        <w:jc w:val="both"/>
      </w:pPr>
      <w:r>
        <w:rPr>
          <w:rFonts w:ascii="Calibri" w:cs="Calibri" w:eastAsia="Calibri" w:hAnsi="Calibri"/>
          <w:sz w:val="22"/>
          <w:szCs w:val="22"/>
        </w:rPr>
        <w:t xml:space="preserve">Rezultati pokazuju da CONE daje najveće poboljšanje kada se pojedinačno doda Modelu A (+0,007), zatim PRESSURE (+0,007) i GK (+0,004). OPEN_ANGLE i SHOT_LINE ne donose merljiv doprinos kad se dodaju samostalno. Ovo ne meri jedinstveni doprinos svake grupe u punom modelu (jer su 360 atributi međusobno korelisani), već performans grupe kada se izoluje i doda baseline-u. Otvorenost ugla nije pokazala samostalan inkrementalni doprinos; njen eventualni doprinos u punom modelu može biti posledica redundancije sa drugim prostornim atributima. Napomena: ROC AUC za pun Model B u Tabeli 5 (0,773) blago se razlikuje od vrednosti u Tabeli 3 (0,772) jer ablation koristi logističku regresiju bez GridSearchCV.</w:t>
      </w:r>
    </w:p>
    <w:p>
      <w:pPr>
        <w:pStyle w:val="Heading2"/>
      </w:pPr>
      <w:r>
        <w:t xml:space="preserve">4.6. Interpretacija modela: Odds Ratio i SHAP</w:t>
      </w:r>
    </w:p>
    <w:p>
      <w:pPr>
        <w:spacing w:after="160" w:line="276"/>
        <w:ind w:firstLine="397"/>
        <w:jc w:val="both"/>
      </w:pPr>
      <w:r>
        <w:rPr>
          <w:rFonts w:ascii="Calibri" w:cs="Calibri" w:eastAsia="Calibri" w:hAnsi="Calibri"/>
          <w:sz w:val="22"/>
          <w:szCs w:val="22"/>
        </w:rPr>
        <w:t xml:space="preserve">Logistička regresija na Modelu B pokazuje statistički značajan Odds Ratio za ključne atribute: veća udaljenost od gola asocirana je sa nižim odds-om gola, veći ugao šuta asociran je sa višim odds-om, šut glavom ima značajno niži Odds Ratio u odnosu na šut nogom, što je u skladu sa nalazima iz literature o nižoj stopi konverzije udaraca glavom.</w:t>
      </w:r>
    </w:p>
    <w:p>
      <w:pPr>
        <w:spacing w:after="160" w:line="276"/>
        <w:ind w:firstLine="397"/>
        <w:jc w:val="both"/>
      </w:pPr>
      <w:r>
        <w:rPr>
          <w:rFonts w:ascii="Calibri" w:cs="Calibri" w:eastAsia="Calibri" w:hAnsi="Calibri"/>
          <w:sz w:val="22"/>
          <w:szCs w:val="22"/>
        </w:rPr>
        <w:t xml:space="preserve">SHAP analiza na Modelu B (XGBoost) pokazuje da je ugao šuta najuticajniji prediktor u fitovanom modelu, neposredno praćen udaljenošću golmana (goalkeeper_distance_360), koja se plasira kao najuticajniji 360 atribut. Otvorenost ugla ka golu (open_angle_ratio_360) rangira se tek na 14. mestu; nije pokazala samostalan inkrementalni doprinos u ablation analizi, a eventualna vrednost u punom modelu može odražavati redundanciju sa drugim prostornim atributima. Ovo je nalaz o prediktivnoj asocijaciji, ne o uzročnom efektu.</w:t>
      </w:r>
    </w:p>
    <w:p>
      <w:pPr>
        <w:spacing w:after="160" w:line="276"/>
        <w:ind w:firstLine="397"/>
        <w:jc w:val="both"/>
      </w:pPr>
      <w:r>
        <w:rPr>
          <w:rFonts w:ascii="Calibri" w:cs="Calibri" w:eastAsia="Calibri" w:hAnsi="Calibri"/>
          <w:sz w:val="22"/>
          <w:szCs w:val="22"/>
        </w:rPr>
        <w:t xml:space="preserve">Zanimljiv je nesklad između dva pristupa interpretaciji za atribut najbliže udaljenosti branioca od linije šuta: u logističkoj regresiji ovaj atribut nije statistički značajan (p = 0,645), dok se u SHAP analizi XGBoost modela plasira na petom mestu po uticaju. Ovaj nesklad može ukazivati na nelinearnost ili interakcije koje logistički model ne hvata, ali sam po sebi ne identifikuje uzrok nesklada (mogući faktori uključuju i korelaciju sa drugim feature-ima i razlike u regularizaciji između dva modela).</w:t>
      </w:r>
    </w:p>
    <w:p>
      <w:pPr>
        <w:pStyle w:val="Heading2"/>
      </w:pPr>
      <w:r>
        <w:t xml:space="preserve">4.7. Analiza kompletnosti freeze-frame podataka</w:t>
      </w:r>
    </w:p>
    <w:p>
      <w:pPr>
        <w:spacing w:after="160" w:line="276"/>
        <w:ind w:firstLine="397"/>
        <w:jc w:val="both"/>
      </w:pPr>
      <w:r>
        <w:rPr>
          <w:rFonts w:ascii="Calibri" w:cs="Calibri" w:eastAsia="Calibri" w:hAnsi="Calibri"/>
          <w:sz w:val="22"/>
          <w:szCs w:val="22"/>
        </w:rPr>
        <w:t xml:space="preserve">StatsBomb 360 freeze-frame ne garantuje vidljivost svih 22 igrača na terenu. Broj vidljivih igrača po šutu varira zavisno od ugla kamere i okluzije. Tabela 6 prikazuje deskriptivnu statistiku broja vidljivih igrača i vidljivih protivnika po turniru.</w:t>
      </w:r>
    </w:p>
    <w:p>
      <w:pPr>
        <w:spacing w:after="240" w:before="60"/>
        <w:jc w:val="center"/>
      </w:pPr>
      <w:r>
        <w:rPr>
          <w:rFonts w:ascii="Calibri" w:cs="Calibri" w:eastAsia="Calibri" w:hAnsi="Calibri"/>
          <w:i/>
          <w:iCs/>
          <w:color w:val="444444"/>
          <w:sz w:val="18"/>
          <w:szCs w:val="18"/>
        </w:rPr>
        <w:t xml:space="preserve">Tabela 6. Deskriptivna statistika broja vidljivih igrača u freeze-frame podacima po turniru.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Turnir</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Vidljivi igrači (median)</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IQR</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Vidljivi protivnici (median)</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IQR</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FIFA World Cup 2022</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15</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13-18</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8</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7-9</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UEFA Euro 2020</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15</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12-17</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8</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7-9</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UEFA Euro 2024</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16</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14-18</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9</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7-10</w:t>
            </w:r>
          </w:p>
        </w:tc>
      </w:tr>
    </w:tbl>
    <w:p>
      <w:pPr>
        <w:spacing w:after="160" w:line="276"/>
        <w:ind w:firstLine="397"/>
        <w:jc w:val="both"/>
      </w:pPr>
      <w:r>
        <w:rPr>
          <w:rFonts w:ascii="Calibri" w:cs="Calibri" w:eastAsia="Calibri" w:hAnsi="Calibri"/>
          <w:sz w:val="22"/>
          <w:szCs w:val="22"/>
        </w:rPr>
        <w:t xml:space="preserve">Medijana broja vidljivih igrača iznosi 15 (ukupni raspon 4-22), dok medijana vidljivih protivnika iznosi 8 (raspon 2-11). UEFA Euro 2024 pokazuje blago veći broj vidljivih igrača, što može odražavati poboljšanje u freeze-frame pokrivanju.</w:t>
      </w:r>
    </w:p>
    <w:p>
      <w:pPr>
        <w:spacing w:after="160" w:line="276"/>
        <w:jc w:val="both"/>
      </w:pPr>
      <w:r>
        <w:rPr>
          <w:rFonts w:ascii="Calibri" w:cs="Calibri" w:eastAsia="Calibri" w:hAnsi="Calibri"/>
          <w:sz w:val="22"/>
          <w:szCs w:val="22"/>
        </w:rPr>
        <w:t xml:space="preserve">[SLIKA: visibility_distribution.png]</w:t>
      </w:r>
    </w:p>
    <w:p>
      <w:pPr>
        <w:spacing w:after="240" w:before="60"/>
        <w:jc w:val="center"/>
      </w:pPr>
      <w:r>
        <w:rPr>
          <w:rFonts w:ascii="Calibri" w:cs="Calibri" w:eastAsia="Calibri" w:hAnsi="Calibri"/>
          <w:i/>
          <w:iCs/>
          <w:color w:val="444444"/>
          <w:sz w:val="18"/>
          <w:szCs w:val="18"/>
        </w:rPr>
        <w:t xml:space="preserve">Slika 3. Distribucija broja vidljivih igrača i protivnika po turniru.</w:t>
      </w:r>
    </w:p>
    <w:p>
      <w:pPr>
        <w:spacing w:after="160" w:line="276"/>
        <w:ind w:firstLine="397"/>
        <w:jc w:val="both"/>
      </w:pPr>
      <w:r>
        <w:rPr>
          <w:rFonts w:ascii="Calibri" w:cs="Calibri" w:eastAsia="Calibri" w:hAnsi="Calibri"/>
          <w:sz w:val="22"/>
          <w:szCs w:val="22"/>
        </w:rPr>
        <w:t xml:space="preserve">Da bi se ispitalo da li prednost Modela B zavisi od kompletnosti freeze-frame podataka, sprovedena je sensitivity analiza na podskupovima šuteva sa različitim pragovima minimalnog broja vidljivih protivnika (Tabela 7).</w:t>
      </w:r>
    </w:p>
    <w:p>
      <w:pPr>
        <w:spacing w:after="240" w:before="60"/>
        <w:jc w:val="center"/>
      </w:pPr>
      <w:r>
        <w:rPr>
          <w:rFonts w:ascii="Calibri" w:cs="Calibri" w:eastAsia="Calibri" w:hAnsi="Calibri"/>
          <w:i/>
          <w:iCs/>
          <w:color w:val="444444"/>
          <w:sz w:val="18"/>
          <w:szCs w:val="18"/>
        </w:rPr>
        <w:t xml:space="preserve">Tabela 7. Sensitivity analiza: Model B prednost za različite pragove vidljivosti protivnika (LOTO validacija).</w:t>
      </w:r>
    </w:p>
    <w:tbl>
      <w:tblPr>
        <w:tblW w:type="dxa" w:w="8995"/>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rPr>
          <w:tblHeader/>
        </w:trPr>
        <w:tc>
          <w:tcPr>
            <w:tcW w:type="dxa" w:w="1285"/>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Podskup</w:t>
            </w:r>
          </w:p>
        </w:tc>
        <w:tc>
          <w:tcPr>
            <w:tcW w:type="dxa" w:w="1285"/>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n</w:t>
            </w:r>
          </w:p>
        </w:tc>
        <w:tc>
          <w:tcPr>
            <w:tcW w:type="dxa" w:w="1285"/>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Golovi (%)</w:t>
            </w:r>
          </w:p>
        </w:tc>
        <w:tc>
          <w:tcPr>
            <w:tcW w:type="dxa" w:w="1285"/>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Med. dist.</w:t>
            </w:r>
          </w:p>
        </w:tc>
        <w:tc>
          <w:tcPr>
            <w:tcW w:type="dxa" w:w="1285"/>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AUC A</w:t>
            </w:r>
          </w:p>
        </w:tc>
        <w:tc>
          <w:tcPr>
            <w:tcW w:type="dxa" w:w="1285"/>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AUC B</w:t>
            </w:r>
          </w:p>
        </w:tc>
        <w:tc>
          <w:tcPr>
            <w:tcW w:type="dxa" w:w="1285"/>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Delta</w:t>
            </w:r>
          </w:p>
        </w:tc>
      </w:tr>
      <w:tr>
        <w:tc>
          <w:tcPr>
            <w:tcW w:type="dxa" w:w="1285"/>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Svi šutevi</w:t>
            </w:r>
          </w:p>
        </w:tc>
        <w:tc>
          <w:tcPr>
            <w:tcW w:type="dxa" w:w="1285"/>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3.968</w:t>
            </w:r>
          </w:p>
        </w:tc>
        <w:tc>
          <w:tcPr>
            <w:tcW w:type="dxa" w:w="1285"/>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372 (9,4%)</w:t>
            </w:r>
          </w:p>
        </w:tc>
        <w:tc>
          <w:tcPr>
            <w:tcW w:type="dxa" w:w="1285"/>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18,0</w:t>
            </w:r>
          </w:p>
        </w:tc>
        <w:tc>
          <w:tcPr>
            <w:tcW w:type="dxa" w:w="1285"/>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0,760</w:t>
            </w:r>
          </w:p>
        </w:tc>
        <w:tc>
          <w:tcPr>
            <w:tcW w:type="dxa" w:w="1285"/>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0,773</w:t>
            </w:r>
          </w:p>
        </w:tc>
        <w:tc>
          <w:tcPr>
            <w:tcW w:type="dxa" w:w="1285"/>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+0,013</w:t>
            </w:r>
          </w:p>
        </w:tc>
      </w:tr>
      <w:tr>
        <w:tc>
          <w:tcPr>
            <w:tcW w:type="dxa" w:w="1285"/>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&gt;=5 protivnika</w:t>
            </w:r>
          </w:p>
        </w:tc>
        <w:tc>
          <w:tcPr>
            <w:tcW w:type="dxa" w:w="1285"/>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3.704</w:t>
            </w:r>
          </w:p>
        </w:tc>
        <w:tc>
          <w:tcPr>
            <w:tcW w:type="dxa" w:w="1285"/>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336 (9,1%)</w:t>
            </w:r>
          </w:p>
        </w:tc>
        <w:tc>
          <w:tcPr>
            <w:tcW w:type="dxa" w:w="1285"/>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18,2</w:t>
            </w:r>
          </w:p>
        </w:tc>
        <w:tc>
          <w:tcPr>
            <w:tcW w:type="dxa" w:w="1285"/>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0,756</w:t>
            </w:r>
          </w:p>
        </w:tc>
        <w:tc>
          <w:tcPr>
            <w:tcW w:type="dxa" w:w="1285"/>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0,765</w:t>
            </w:r>
          </w:p>
        </w:tc>
        <w:tc>
          <w:tcPr>
            <w:tcW w:type="dxa" w:w="1285"/>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+0,009</w:t>
            </w:r>
          </w:p>
        </w:tc>
      </w:tr>
      <w:tr>
        <w:tc>
          <w:tcPr>
            <w:tcW w:type="dxa" w:w="1285"/>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Calibri" w:cs="Calibri" w:eastAsia="Calibri" w:hAnsi="Calibri"/>
                <w:sz w:val="19"/>
                <w:szCs w:val="19"/>
              </w:rPr>
              <w:t xml:space="preserve">&gt;=8 protivnika</w:t>
            </w:r>
          </w:p>
        </w:tc>
        <w:tc>
          <w:tcPr>
            <w:tcW w:type="dxa" w:w="1285"/>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2.643</w:t>
            </w:r>
          </w:p>
        </w:tc>
        <w:tc>
          <w:tcPr>
            <w:tcW w:type="dxa" w:w="1285"/>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190 (7,2%)</w:t>
            </w:r>
          </w:p>
        </w:tc>
        <w:tc>
          <w:tcPr>
            <w:tcW w:type="dxa" w:w="1285"/>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19,3</w:t>
            </w:r>
          </w:p>
        </w:tc>
        <w:tc>
          <w:tcPr>
            <w:tcW w:type="dxa" w:w="1285"/>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0,747</w:t>
            </w:r>
          </w:p>
        </w:tc>
        <w:tc>
          <w:tcPr>
            <w:tcW w:type="dxa" w:w="1285"/>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0,757</w:t>
            </w:r>
          </w:p>
        </w:tc>
        <w:tc>
          <w:tcPr>
            <w:tcW w:type="dxa" w:w="1285"/>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Calibri" w:cs="Calibri" w:eastAsia="Calibri" w:hAnsi="Calibri"/>
                <w:sz w:val="19"/>
                <w:szCs w:val="19"/>
              </w:rPr>
              <w:t xml:space="preserve">+0,011</w:t>
            </w:r>
          </w:p>
        </w:tc>
      </w:tr>
    </w:tbl>
    <w:p>
      <w:pPr>
        <w:spacing w:after="160" w:line="276"/>
        <w:ind w:firstLine="397"/>
        <w:jc w:val="both"/>
      </w:pPr>
      <w:r>
        <w:rPr>
          <w:rFonts w:ascii="Calibri" w:cs="Calibri" w:eastAsia="Calibri" w:hAnsi="Calibri"/>
          <w:sz w:val="22"/>
          <w:szCs w:val="22"/>
        </w:rPr>
        <w:t xml:space="preserve">Model B zadržava prednost na svim pragovima vidljivosti. Struktura uzorka je stabilna kroz pragove: medijana udaljenosti se ne menja bitno (18,0 do 19,3 koordinatnih jedinica), a procenat šuteva iz blizine (&lt;15 jed.) ostaje sličan (37-38%). Stroži pragovi ne biraju selektivno samo bliske šuteve. Smanjenje delta vrednosti za striktnije pragove (sa +0,013 na +0,009) može odražavati gubitak statističke snage (manji uzorak) jednako kao i realni efekat kompletnosti podataka. Ključni zaključak je da prednost Modela B nije artefakt nepotpunih freeze-frame podataka.</w:t>
      </w:r>
    </w:p>
    <w:p>
      <w:pPr>
        <w:pStyle w:val="Heading1"/>
      </w:pPr>
      <w:r>
        <w:t xml:space="preserve">5. Diskusija</w:t>
      </w:r>
    </w:p>
    <w:p>
      <w:pPr>
        <w:pStyle w:val="Heading2"/>
      </w:pPr>
      <w:r>
        <w:t xml:space="preserve">5.1. Doprinos StatsBomb 360 prostornih podataka</w:t>
      </w:r>
    </w:p>
    <w:p>
      <w:pPr>
        <w:spacing w:after="160" w:line="276"/>
        <w:ind w:firstLine="397"/>
        <w:jc w:val="both"/>
      </w:pPr>
      <w:r>
        <w:rPr>
          <w:rFonts w:ascii="Calibri" w:cs="Calibri" w:eastAsia="Calibri" w:hAnsi="Calibri"/>
          <w:sz w:val="22"/>
          <w:szCs w:val="22"/>
        </w:rPr>
        <w:t xml:space="preserve">Centralni nalaz rada je da Model B konzistentno poboljšava diskriminaciju (ROC AUC, PR AUC) u odnosu na Model A, dok su razlike u kalibrisanom Brier skoru male ali dosledne. Doprinos nije dramatičan u apsolutnom iznosu (oko 0,01 razlike u ROC AUC), ali je dosledan kroz sve kombinacije algoritma i validacione šeme, što povećava pouzdanost zaključka da 360 atributi sadrže dodatnu prediktivnu informaciju. Konkretnija potvrda dolazi iz SHAP analize, gde se udaljenost golmana (goalkeeper_distance_360) plasira kao najuticajniji 360 atribut u modelu, odmah iza ugla šuta.</w:t>
      </w:r>
    </w:p>
    <w:p>
      <w:pPr>
        <w:spacing w:after="160" w:line="276"/>
        <w:ind w:firstLine="397"/>
        <w:jc w:val="both"/>
      </w:pPr>
      <w:r>
        <w:rPr>
          <w:rFonts w:ascii="Calibri" w:cs="Calibri" w:eastAsia="Calibri" w:hAnsi="Calibri"/>
          <w:sz w:val="22"/>
          <w:szCs w:val="22"/>
        </w:rPr>
        <w:t xml:space="preserve">Ovaj nalaz je u skladu sa postojećom literaturom o doprinosu prostornih podataka xG modelima, uključujući i sopstvenu praksu kompanije StatsBomb. Rad ne tvrdi da je po prvi put otkrio da prostorni podaci poboljšavaju xG procenu; doprinos ovog rada je u tome što je taj poznati nalaz formalno i transparentno proveren kroz Leave-One-Tournament-Out validacionu šemu, koja u dostupnoj literaturi nije uobičajeno kombinovana sa modelom na nivou pojedinačnog šuta i StatsBomb 360 atributima.</w:t>
      </w:r>
    </w:p>
    <w:p>
      <w:pPr>
        <w:pStyle w:val="Heading2"/>
      </w:pPr>
      <w:r>
        <w:t xml:space="preserve">5.2. Generalizacija kroz turnire</w:t>
      </w:r>
    </w:p>
    <w:p>
      <w:pPr>
        <w:spacing w:after="160" w:line="276"/>
        <w:ind w:firstLine="397"/>
        <w:jc w:val="both"/>
      </w:pPr>
      <w:r>
        <w:rPr>
          <w:rFonts w:ascii="Calibri" w:cs="Calibri" w:eastAsia="Calibri" w:hAnsi="Calibri"/>
          <w:sz w:val="22"/>
          <w:szCs w:val="22"/>
        </w:rPr>
        <w:t xml:space="preserve">Nalaz da StratifiedGroupKFold po meču i Leave-One-Tournament-Out validacija daju slične rezultate je ohrabrujući u pogledu robusnosti modela. Kolmogorov-Smirnov test nije pronašao dokaz da se marginalne raspodele udaljenosti i ugla šuta razlikuju između turnira, što je kompatibilno sa hipotezom da model koristi geometrijske obrasce koji su relativno univerzalni za fudbalsku igru, mada samo-marginalne raspodele ne isključuju razlike u zajedničkoj distribuciji ili drugim nemerenim faktorima.</w:t>
      </w:r>
    </w:p>
    <w:p>
      <w:pPr>
        <w:spacing w:after="160" w:line="276"/>
        <w:ind w:firstLine="397"/>
        <w:jc w:val="both"/>
      </w:pPr>
      <w:r>
        <w:rPr>
          <w:rFonts w:ascii="Calibri" w:cs="Calibri" w:eastAsia="Calibri" w:hAnsi="Calibri"/>
          <w:sz w:val="22"/>
          <w:szCs w:val="22"/>
        </w:rPr>
        <w:t xml:space="preserve">Sa druge strane, stopa konverzije šuteva u gol značajno se razlikuje između turnira, pri čemu Evropsko prvenstvo 2024 ima primetno nižu stopu. Razlika u konverziji nije objašnjena razlikama u marginalnim raspodelama udaljenosti i ugla šuta (KS test); mogući izvori uključuju završnicu igrača, kvalitet golmana, druge neobuhvaćene karakteristike šuta (brzina, visina lopte, kvalitet asistencije) i slučajnu varijaciju u malom uzorku. Ovo postavlja prirodnu granicu očekivanog performansa modela: deo varijanse u ishodu šuta je, po svojoj prirodi, neobjašnjiv geometrijskim i prostornim atributima.</w:t>
      </w:r>
    </w:p>
    <w:p>
      <w:pPr>
        <w:pStyle w:val="Heading2"/>
      </w:pPr>
      <w:r>
        <w:t xml:space="preserve">5.3. Praktična primena</w:t>
      </w:r>
    </w:p>
    <w:p>
      <w:pPr>
        <w:spacing w:after="160" w:line="276"/>
        <w:ind w:firstLine="397"/>
        <w:jc w:val="both"/>
      </w:pPr>
      <w:r>
        <w:rPr>
          <w:rFonts w:ascii="Calibri" w:cs="Calibri" w:eastAsia="Calibri" w:hAnsi="Calibri"/>
          <w:sz w:val="22"/>
          <w:szCs w:val="22"/>
        </w:rPr>
        <w:t xml:space="preserve">Nalazi rada imaju nekoliko mogućih praktičnih primena u fudbalskoj analitici. Trenerski štab i analitičari mogu koristiti razliku između Modela A i Modela B kao indikator koliko je konkretna šansa bila kvalitetnija ili lošija nego što čista geometrija šuta sugeriše. U skautingu, SHAP interpretacija modela može pomoći u identifikaciji igrača koji konzistentno postižu golove iz situacija sa visokim defanzivnim pritiskom, što ukazuje na prediktivnu asocijaciju sa veštinom koja nadilazi čistu poziciju na terenu. U evaluaciji golmana, atribut udaljenosti golmana iz freeze-frame podataka može poslužiti kao osnova za dalju analizu pozicioniranja.</w:t>
      </w:r>
    </w:p>
    <w:p>
      <w:pPr>
        <w:pStyle w:val="Heading2"/>
      </w:pPr>
      <w:r>
        <w:t xml:space="preserve">5.4. Ograničenja istraživanja</w:t>
      </w:r>
    </w:p>
    <w:p>
      <w:pPr>
        <w:spacing w:after="160" w:line="276"/>
        <w:ind w:firstLine="397"/>
        <w:jc w:val="both"/>
      </w:pPr>
      <w:r>
        <w:rPr>
          <w:rFonts w:ascii="Calibri" w:cs="Calibri" w:eastAsia="Calibri" w:hAnsi="Calibri"/>
          <w:sz w:val="22"/>
          <w:szCs w:val="22"/>
        </w:rPr>
        <w:t xml:space="preserve">Rad ima nekoliko metodoloških ograničenja koja treba eksplicitno navesti. Prvo, šutevi istog igrača ili tima nisu nezavisne opservacije u strogom statističkom smislu, jer pojedinačni igrači ili timovi mogu sistematski odstupati od proseka po kvalitetu izvedbe. Zbog obima rada, primenjen je standardni model bez eksplicitnog modelovanja ove hijerarhijske strukture (na primer, mešoviti model sa nasumičnim efektima po igraču), što ostaje pravac za buduća istraživanja.</w:t>
      </w:r>
    </w:p>
    <w:p>
      <w:pPr>
        <w:spacing w:after="160" w:line="276"/>
        <w:ind w:firstLine="397"/>
        <w:jc w:val="both"/>
      </w:pPr>
      <w:r>
        <w:rPr>
          <w:rFonts w:ascii="Calibri" w:cs="Calibri" w:eastAsia="Calibri" w:hAnsi="Calibri"/>
          <w:sz w:val="22"/>
          <w:szCs w:val="22"/>
        </w:rPr>
        <w:t xml:space="preserve">Drugo, Leave-One-Tournament-Out validacija je sprovedena sa samo tri turnira, što ograničava statističku snagu procene varijanse generalizacije, i dva od tri turnira (oba izdanja Evropskog prvenstva) strukturno su sličnija jedan drugom nego Svetskom prvenstvu, čime se delimično umanjuje raznovrsnost validacionog skupa.</w:t>
      </w:r>
    </w:p>
    <w:p>
      <w:pPr>
        <w:spacing w:after="160" w:line="276"/>
        <w:ind w:firstLine="397"/>
        <w:jc w:val="both"/>
      </w:pPr>
      <w:r>
        <w:rPr>
          <w:rFonts w:ascii="Calibri" w:cs="Calibri" w:eastAsia="Calibri" w:hAnsi="Calibri"/>
          <w:sz w:val="22"/>
          <w:szCs w:val="22"/>
        </w:rPr>
        <w:t xml:space="preserve">Treće, geometrijska aproksimacija prostornih atributa (na primer, definicija konusa šuta, fizička širina igrača prilikom procene blokiranog ugla) predstavlja zadovoljavajuću, ali svesno pojednostavljenu reprezentaciju stvarne fizičke situacije na terenu, u odnosu na, na primer, komercijalne modele koji koriste potpunu sekvencu događaja koja prethodi šutu, brzinu i putanju lopte, te orijentaciju tela igrača.</w:t>
      </w:r>
    </w:p>
    <w:p>
      <w:pPr>
        <w:spacing w:after="160" w:line="276"/>
        <w:ind w:firstLine="397"/>
        <w:jc w:val="both"/>
      </w:pPr>
      <w:r>
        <w:rPr>
          <w:rFonts w:ascii="Calibri" w:cs="Calibri" w:eastAsia="Calibri" w:hAnsi="Calibri"/>
          <w:sz w:val="22"/>
          <w:szCs w:val="22"/>
        </w:rPr>
        <w:t xml:space="preserve">Četvrto, izotona regresija primenjena za post-hoc kalibraciju ima poznatu karakteristiku da kompresuje ekstremne predviđene vrednosti, posebno kada je broj golova u najvišim binovima predviđenih verovatnoća ograničen, što treba imati u vidu prilikom tumačenja kalibrisanih izlaza modela.</w:t>
      </w:r>
    </w:p>
    <w:p>
      <w:pPr>
        <w:spacing w:after="160" w:line="276"/>
        <w:ind w:firstLine="397"/>
        <w:jc w:val="both"/>
      </w:pPr>
      <w:r>
        <w:rPr>
          <w:rFonts w:ascii="Calibri" w:cs="Calibri" w:eastAsia="Calibri" w:hAnsi="Calibri"/>
          <w:sz w:val="22"/>
          <w:szCs w:val="22"/>
        </w:rPr>
        <w:t xml:space="preserve">Peto, numerički atributi su skalirani primenom StandardScaler-a unutar svakog trening folda (kao deo sklearn Pipeline/ColumnTransformer), čime se obezbeđuje da L2 regularizacija ravnomerno penalizuje koeficijente bez obzira na originalnu skalu atributa.</w:t>
      </w:r>
    </w:p>
    <w:p>
      <w:pPr>
        <w:spacing w:after="160" w:line="276"/>
        <w:ind w:firstLine="397"/>
        <w:jc w:val="both"/>
      </w:pPr>
      <w:r>
        <w:rPr>
          <w:rFonts w:ascii="Calibri" w:cs="Calibri" w:eastAsia="Calibri" w:hAnsi="Calibri"/>
          <w:sz w:val="22"/>
          <w:szCs w:val="22"/>
        </w:rPr>
        <w:t xml:space="preserve">Šesto, formalna statistička neizvesnost razlike Model A/B procenjena je cluster bootstrap metodom po utakmicama (166 klastera, 2.000 iteracija), čime je poštovana zavisnost šuteva unutar iste utakmice. Dobijeni 95% interval poverenja za razliku ROC AUC [-0,033, 0,025] obuhvata nulu, što ukazuje da efekat na nivou pojedinačnog šuta, iako konzistentan po smeru kroz validacione šeme i turnire, nije statistički značajan na alfa=0,05 uz konzervativnu korekciju za klastersku zavisnost.</w:t>
      </w:r>
    </w:p>
    <w:p>
      <w:pPr>
        <w:spacing w:after="160" w:line="276"/>
        <w:ind w:firstLine="397"/>
        <w:jc w:val="both"/>
      </w:pPr>
      <w:r>
        <w:rPr>
          <w:rFonts w:ascii="Calibri" w:cs="Calibri" w:eastAsia="Calibri" w:hAnsi="Calibri"/>
          <w:sz w:val="22"/>
          <w:szCs w:val="22"/>
        </w:rPr>
        <w:t xml:space="preserve">Sedmo, StatsBomb 360 freeze-frame sadrži samo igrače vidljive kameri u trenutku šuta, ne nužno sve igrače na terenu. Count i density atributi (broj protivnika, pressure_score) mogu biti potcenjeni ako relevantan deo terena nije u vidnom polju kamere. Ovo ograničenje je inherentno izvoru podataka. Sensitivity analiza (odeljak 4.7) pokazuje da prednost Modela B ostaje konzistentna pri strožim pragovima minimalne vidljivosti (&gt;=5, &gt;=8 vidljivih protivnika), što delimično ublažava ovaj rizik, iako ne može potpuno isključiti efekat nepotpunog kadra na apsolutnu vrednost pojedinačnih atributa.</w:t>
      </w:r>
    </w:p>
    <w:p>
      <w:pPr>
        <w:spacing w:after="160" w:line="276"/>
        <w:ind w:firstLine="397"/>
        <w:jc w:val="both"/>
      </w:pPr>
      <w:r>
        <w:rPr>
          <w:rFonts w:ascii="Calibri" w:cs="Calibri" w:eastAsia="Calibri" w:hAnsi="Calibri"/>
          <w:sz w:val="22"/>
          <w:szCs w:val="22"/>
        </w:rPr>
        <w:t xml:space="preserve">Osmo, i verovatno najvažnije po pitanju prirode ulaznih podataka: StatsBomb 360 freeze-frame je statički snimak pozicija igrača u jednom trenutku (u trenutku samog događaja), a ne kontinuirani tracking podatak. Za razliku od pravih tracking sistema, koji beleže lokaciju, brzinu i smer kretanja svih 22 igrača više puta u sekundi (StatsBomb navodi 25 puta u sekundi za tracking, naspram jednog kadra po događaju kod 360 podataka), freeze-frame beleži samo raspored u jednoj vremenskoj tački. Pozicije u freeze-frame kadru su rezultat anotacije od strane StatsBomb-ovih anotatora (data collectors), a ne rezultat automatskog optičkog trackinga, pa mogu sadržati grešku lokalizacije ili anotacije; sam StatsBomb, opisujući srodne modele, pominje uticaj fidelity-ja prikupljenih lokacija i sklonost anotatora ka zaokruživanju koordinata (Sharpe, 2024). Posledice po ovaj rad su konkretne: statički kadar u trenutku šuta ne obuhvata (a) brzinu i pravac kretanja napadača i lopte, (b) brzinu i smer kretanja branilaca i golmana, (c) prethodni pas ili sekvencu događaja koja je dovela do šuta, (d) orijentaciju tela igrača (na primer, da li je golman već u pokretu ili balansiran), niti (e) vreme koje golman i branioci realno imaju da reaguju. Svi prostorni atributi u Modelu B (udaljenost golmana, defanzivni pritisak, branioci u konusu šuta) izvedeni su isključivo iz ove statičke geometrije, pa treba imati u vidu da oni aproksimiraju situaciju u jednom trenutku i ne modeluju dinamiku razvoja šanse. Ovo istovremeno objašnjava zašto je inkrementalni doprinos 360 atributa realan ali umeren i ocrtava jasan pravac za buduća istraživanja zasnovana na potpunim tracking podacima.</w:t>
      </w:r>
    </w:p>
    <w:p>
      <w:pPr>
        <w:spacing w:after="160" w:line="276"/>
        <w:ind w:firstLine="397"/>
        <w:jc w:val="both"/>
      </w:pPr>
      <w:r>
        <w:rPr>
          <w:rFonts w:ascii="Calibri" w:cs="Calibri" w:eastAsia="Calibri" w:hAnsi="Calibri"/>
          <w:sz w:val="22"/>
          <w:szCs w:val="22"/>
        </w:rPr>
        <w:t xml:space="preserve">Deveto, StatsBomb koordinatni sistem (120x80) tretiran je kao yard-ekvivalentan na osnovu toga što standardne yard dimenzije fudbalskog terena numerički odgovaraju koordinatama u StatsBomb dokumentaciji (6, 12 i 18 koordinatnih jedinica za kazneni prostor). StatsBomb formalno ne naziva ove jedinice jardima, ali konzistentnost sa standardnim dimenzijama podržava ovu interpretaciju. Svi geometrijski proračuni sprovedeni su dosledno unutar ovog sistema (c=8 za širinu gola, radijus=10 za pritisak).</w:t>
      </w:r>
    </w:p>
    <w:p>
      <w:pPr>
        <w:pStyle w:val="Heading1"/>
      </w:pPr>
      <w:r>
        <w:t xml:space="preserve">6. Zaključak</w:t>
      </w:r>
    </w:p>
    <w:p>
      <w:pPr>
        <w:spacing w:after="160" w:line="276"/>
        <w:ind w:firstLine="397"/>
        <w:jc w:val="both"/>
      </w:pPr>
      <w:r>
        <w:rPr>
          <w:rFonts w:ascii="Calibri" w:cs="Calibri" w:eastAsia="Calibri" w:hAnsi="Calibri"/>
          <w:sz w:val="22"/>
          <w:szCs w:val="22"/>
        </w:rPr>
        <w:t xml:space="preserve">Ovaj rad je testirao da li StatsBomb 360 prostorni podaci o rasporedu igrača na terenu doprinose proceni verovatnoće gola u odnosu na model koji koristi samo klasične atribute samog šuta. Analiza na 3.968 šuteva iz tri velika međunarodna turnira (Svetsko prvenstvo 2022, Evropsko prvenstvo 2020 i Evropsko prvenstvo 2024) pokazala je da model sa StatsBomb 360 atributima konzistentno poboljšava ROC AUC i PR AUC u odnosu na model bez njih, dok su razlike u kalibrisanom Brier skoru male ali dosledne, i u standardnoj unakrsnoj validaciji i u validaciji koja simulira primenu na potpuno nov turnir.</w:t>
      </w:r>
    </w:p>
    <w:p>
      <w:pPr>
        <w:spacing w:after="160" w:line="276"/>
        <w:ind w:firstLine="397"/>
        <w:jc w:val="both"/>
      </w:pPr>
      <w:r>
        <w:rPr>
          <w:rFonts w:ascii="Calibri" w:cs="Calibri" w:eastAsia="Calibri" w:hAnsi="Calibri"/>
          <w:sz w:val="22"/>
          <w:szCs w:val="22"/>
        </w:rPr>
        <w:t xml:space="preserve">Udaljenost golmana iz freeze-frame podataka (goalkeeper_distance_360) pokazala se kao najuticajniji 360 prediktor u fitovanom XGBoost modelu, odmah iza ugla šuta. Otvorenost ugla ka golu (open_angle_ratio_360), iako uključena u Model B, rangira se tek na 14. mestu po SHAP važnosti i nije pokazala samostalan inkrementalni doprinos u ablation analizi; eventualna vrednost u punom modelu može odražavati redundanciju sa drugim prostornim atributima. Ovo je nalaz o prediktivnoj asocijaciji, ne o uzročnom efektu. Istovremeno, nije pronađen dokaz da se marginalne raspodele udaljenosti i ugla šuta razlikuju između turnira (KS test); razlika u konverziji stoga nije objašnjena tim dvema posmatranim geometrijskim karakteristikama, a mogući izvori uključuju završnicu, golmanski učinak i slučajnu varijaciju.</w:t>
      </w:r>
    </w:p>
    <w:p>
      <w:pPr>
        <w:spacing w:after="160" w:line="276"/>
        <w:ind w:firstLine="397"/>
        <w:jc w:val="both"/>
      </w:pPr>
      <w:r>
        <w:rPr>
          <w:rFonts w:ascii="Calibri" w:cs="Calibri" w:eastAsia="Calibri" w:hAnsi="Calibri"/>
          <w:sz w:val="22"/>
          <w:szCs w:val="22"/>
        </w:rPr>
        <w:t xml:space="preserve">Doprinos ovog rada nije u tvrdnji da su prostorni podaci korisni za xG procenu, jer je taj nalaz već prisutan u literaturi i u praksi komercijalnih provajdera, već u formalnoj, transparentnoj i reproducibilnoj proveri tog nalaza kroz Leave-One-Tournament-Out validacionu šemu na nivou pojedinačnog šuta, što predstavlja precizniji i uži, ali metodološki rigorozniji doprinos postojećoj literaturi o fudbalskoj analitici.</w:t>
      </w:r>
    </w:p>
    <w:p>
      <w:pPr>
        <w:pStyle w:val="Heading1"/>
      </w:pPr>
      <w:r>
        <w:t xml:space="preserve">7. Literatura</w:t>
      </w:r>
    </w:p>
    <w:p>
      <w:pPr>
        <w:spacing w:after="160" w:line="276"/>
        <w:jc w:val="both"/>
      </w:pPr>
      <w:r>
        <w:rPr>
          <w:rFonts w:ascii="Calibri" w:cs="Calibri" w:eastAsia="Calibri" w:hAnsi="Calibri"/>
          <w:sz w:val="22"/>
          <w:szCs w:val="22"/>
        </w:rPr>
        <w:t xml:space="preserve">Degrenne, O., &amp; Carling, C. (2024). Comparison of goalscoring patterns between the 2018 and 2022 FIFA World Cups. Frontiers in Sports and Active Living, 6, 1394621. https://doi.org/10.3389/fspor.2024.1394621</w:t>
      </w:r>
    </w:p>
    <w:p>
      <w:pPr>
        <w:spacing w:after="160" w:line="276"/>
        <w:jc w:val="both"/>
      </w:pPr>
      <w:r>
        <w:rPr>
          <w:rFonts w:ascii="Calibri" w:cs="Calibri" w:eastAsia="Calibri" w:hAnsi="Calibri"/>
          <w:sz w:val="22"/>
          <w:szCs w:val="22"/>
        </w:rPr>
        <w:t xml:space="preserve">Fedek, T. (2026). xG360: Doprinos StatsBomb 360 prostornih podataka u proceni verovatnoce gola [izvorni kod]. GitHub. https://github.com/tfedek/xG360</w:t>
      </w:r>
    </w:p>
    <w:p>
      <w:pPr>
        <w:spacing w:after="160" w:line="276"/>
        <w:jc w:val="both"/>
      </w:pPr>
      <w:r>
        <w:rPr>
          <w:rFonts w:ascii="Calibri" w:cs="Calibri" w:eastAsia="Calibri" w:hAnsi="Calibri"/>
          <w:sz w:val="22"/>
          <w:szCs w:val="22"/>
        </w:rPr>
        <w:t xml:space="preserve">Iapteff, L., Le Coz, S., Rioland, M., Houde, T., Carling, C., &amp; Imbach, F. (2025). Toward interpretable expected goals modeling using Bayesian mixed models. Frontiers in Sports and Active Living, 7, 1504362. https://doi.org/10.3389/fspor.2025.1504362</w:t>
      </w:r>
    </w:p>
    <w:p>
      <w:pPr>
        <w:spacing w:after="160" w:line="276"/>
        <w:jc w:val="both"/>
      </w:pPr>
      <w:r>
        <w:rPr>
          <w:rFonts w:ascii="Calibri" w:cs="Calibri" w:eastAsia="Calibri" w:hAnsi="Calibri"/>
          <w:sz w:val="22"/>
          <w:szCs w:val="22"/>
        </w:rPr>
        <w:t xml:space="preserve">Sharpe, C. (2024, avgust 13). xPass 360: Upgrading Expected Pass Models. Hudl StatsBomb. https://statsbomb.com/articles/soccer/xpass-360-upgrading-expected-pass-xpass-models/</w:t>
      </w:r>
    </w:p>
    <w:p>
      <w:pPr>
        <w:spacing w:after="160" w:line="276"/>
        <w:jc w:val="both"/>
      </w:pPr>
      <w:r>
        <w:rPr>
          <w:rFonts w:ascii="Calibri" w:cs="Calibri" w:eastAsia="Calibri" w:hAnsi="Calibri"/>
          <w:sz w:val="22"/>
          <w:szCs w:val="22"/>
        </w:rPr>
        <w:t xml:space="preserve">Singh, S. (2025). Improving expected Goals (xG) models: methods, results, and novel extensions. Journal of High School Science, 9(3), 475-485. https://doi.org/10.64336/001c.144180</w:t>
      </w:r>
    </w:p>
    <w:p>
      <w:pPr>
        <w:spacing w:after="160" w:line="276"/>
        <w:jc w:val="both"/>
      </w:pPr>
      <w:r>
        <w:rPr>
          <w:rFonts w:ascii="Calibri" w:cs="Calibri" w:eastAsia="Calibri" w:hAnsi="Calibri"/>
          <w:sz w:val="22"/>
          <w:szCs w:val="22"/>
        </w:rPr>
        <w:t xml:space="preserve">StatsBomb. (2023). StatsBomb open data repozitorijum [skup podataka]. GitHub. https://github.com/statsbomb/open-data</w:t>
      </w:r>
    </w:p>
    <w:p>
      <w:pPr>
        <w:spacing w:after="160" w:line="276"/>
        <w:jc w:val="both"/>
      </w:pPr>
      <w:r>
        <w:rPr>
          <w:rFonts w:ascii="Calibri" w:cs="Calibri" w:eastAsia="Calibri" w:hAnsi="Calibri"/>
          <w:sz w:val="22"/>
          <w:szCs w:val="22"/>
        </w:rPr>
        <w:t xml:space="preserve">van der Wurp, H., Groll, A., Kneib, T., Marra, G., &amp; Radice, R. (2020). Generalised joint regression for count data: a penalty extension for competitive settings. Statistics and Computing, 30(5), 1419-1432. https://doi.org/10.1007/s11222-020-09953-7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Strana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666666"/>
        <w:sz w:val="16"/>
        <w:szCs w:val="16"/>
      </w:rPr>
      <w:t xml:space="preserve">Doprinos StatsBomb 360 prostornih podataka u proceni verovatnoće gola (xG)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40" w:before="260"/>
      <w:outlineLvl w:val="1"/>
    </w:pPr>
    <w:rPr>
      <w:rFonts w:ascii="Calibri" w:cs="Calibri" w:eastAsia="Calibri" w:hAnsi="Calibri"/>
      <w:b/>
      <w:bCs/>
      <w:color w:val="2E75B6"/>
      <w:sz w:val="24"/>
      <w:szCs w:val="24"/>
    </w:rPr>
  </w:style>
  <w:style w:type="paragraph" w:styleId="Heading3">
    <w:name w:val="Heading 3"/>
    <w:basedOn w:val="Normal"/>
    <w:next w:val="Normal"/>
    <w:qFormat/>
    <w:pPr>
      <w:spacing w:after="120" w:before="200"/>
      <w:outlineLvl w:val="2"/>
    </w:pPr>
    <w:rPr>
      <w:rFonts w:ascii="Calibri" w:cs="Calibri" w:eastAsia="Calibri" w:hAnsi="Calibri"/>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2026-09-09T11:44:00.216Z</dcterms:created>
  <dcterms:modified xsi:type="dcterms:W3CDTF">2026-09-09T11:44:00.217Z</dcterms:modified>
</cp:coreProperties>
</file>

<file path=docProps/custom.xml><?xml version="1.0" encoding="utf-8"?>
<Properties xmlns="http://schemas.openxmlformats.org/officeDocument/2006/custom-properties" xmlns:vt="http://schemas.openxmlformats.org/officeDocument/2006/docPropsVTypes"/>
</file>