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nadmašuje Model A na svim metrikama diskriminacije i kalibracije, i u Stratified K-Fold i u Leave-One-Tournament-Out validaciji, te da se taj doprinos održava kroz sva tri turnira. Otvorenost ugla ka golu, izvedena iz StatsBomb 360 podataka, pokazala se kao drugi najuticajniji atribut u SHAP analizi, odmah iza ugla šuta. Rad takođe pokazuje da je geometrija šuta (udaljenost, ugao) statistički slična kroz sva tri turnira, dok se stopa konverzije šuteva u gol značajno razlikuje po turniru, što ukazuje da razlike u performansu modela između turnira potiču pre iz varijacija u finalizaciji nego iz razlika u kvalitetu stvorenih šansi.</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i nema isti takmičarski i psihološki kontekst kao penal dosuđen tokom igre.</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Problem je rešen zamenom apsolutne udaljenosti golmana sa rezidualom (anomalijom) u odnosu na očekivanu poziciju golmana za datu udaljenost šuta:</w:t>
      </w:r>
    </w:p>
    <w:p>
      <w:pPr>
        <w:tabs>
          <w:tab w:val="right" w:pos="9000"/>
        </w:tabs>
        <w:spacing w:after="200" w:before="160"/>
        <w:jc w:val="center"/>
      </w:pPr>
      <m:oMath>
        <m:r>
          <m:t>anomaly = </m:t>
        </m:r>
        <m:sSub>
          <m:sSubPr/>
          <m:e>
            <m:r>
              <m:t>d</m:t>
            </m:r>
          </m:e>
          <m:sub>
            <m:r>
              <m:t>gk</m:t>
            </m:r>
          </m:sub>
        </m:sSub>
        <m:r>
          <m:t> − (a·</m:t>
        </m:r>
        <m:sSub>
          <m:sSubPr/>
          <m:e>
            <m:r>
              <m:t>d</m:t>
            </m:r>
          </m:e>
          <m:sub>
            <m:r>
              <m:t>shot</m:t>
            </m:r>
          </m:sub>
        </m:sSub>
        <m:r>
          <m:t> + b)</m:t>
        </m:r>
      </m:oMath>
      <w:r>
        <w:rPr>
          <w:sz w:val="20"/>
          <w:szCs w:val="20"/>
        </w:rPr>
        <w:t xml:space="preserve">	(16)</w:t>
      </w:r>
    </w:p>
    <w:p>
      <w:pPr>
        <w:spacing w:after="160" w:line="276"/>
        <w:ind w:firstLine="397"/>
        <w:jc w:val="both"/>
      </w:pPr>
      <w:r>
        <w:rPr>
          <w:rFonts w:ascii="Calibri" w:cs="Calibri" w:eastAsia="Calibri" w:hAnsi="Calibri"/>
          <w:sz w:val="22"/>
          <w:szCs w:val="22"/>
        </w:rPr>
        <w:t xml:space="preserve">gde su a i b koeficijenti proste linearne regresije udaljenosti golmana (d_gk) na udaljenost šuta (d_shot), procenjeni na celom skupu podataka. Ovom transformacijom VIF je spušten ispod 2.</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pPr>
        <w:pStyle w:val="ListParagraph"/>
        <w:numPr>
          <w:ilvl w:val="0"/>
          <w:numId w:val="3"/>
        </w:numPr>
        <w:spacing w:after="80"/>
      </w:pPr>
      <w:r>
        <w:rPr>
          <w:rFonts w:ascii="Calibri" w:cs="Calibri" w:eastAsia="Calibri" w:hAnsi="Calibri"/>
          <w:sz w:val="22"/>
          <w:szCs w:val="22"/>
        </w:rPr>
        <w:t xml:space="preserve">Retke kategorije: tipovi šuta Corner (6 opservacija, 0 golova) i Free Kick (130 opservacija, 3 gola) uzrokovali su kvazi-savršenu separaciju u logističkoj regresiji. Rešeno je agregacijom u jedinstvenu kategoriju Set Piece pre kodiranja.</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minut meča, deo tela, tehniku, tip akcije, tip šuta, stanje rezultata, da li je šut izveden pod pritiskom i da li je prvim dodirom. Model B sadrži sve atribute Modela A, uz dodatak StatsBomb 360 prostornih atributa: broj branilaca u liniji šuta, broj saigrača u istoj zoni, broj protivnika u krugu od 5 metara, otvorenost ugla ka golu (udeo gol-okvira koji nije zaklonjen), anomaliju pozicije golmana, najbližu udaljenost branioca od linije šuta i kontinuiranu meru defanzivnog pritiska.</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Precision-Recall AUC (PR AUC, posebno informativan kod neuravnoteženih klasa), preciznosti, odziva, F1 mere i matrice konfuzije.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koja je značajno poboljšala Brier skor (na primer, za Model B XGBoost sa 0,175 na 0,070).</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pozitivan efekat atributa na šansu gola, a vrednost manja od 1 na negativan efekat.</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0,339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0,185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0,184</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0,794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0,362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0,783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0,159</w:t>
            </w:r>
          </w:p>
        </w:tc>
      </w:tr>
    </w:tbl>
    <w:p>
      <w:pPr>
        <w:spacing w:after="160" w:line="276"/>
        <w:ind w:firstLine="397"/>
        <w:jc w:val="both"/>
      </w:pPr>
      <w:r>
        <w:rPr>
          <w:rFonts w:ascii="Calibri" w:cs="Calibri" w:eastAsia="Calibri" w:hAnsi="Calibri"/>
          <w:sz w:val="22"/>
          <w:szCs w:val="22"/>
        </w:rPr>
        <w:t xml:space="preserve">Model B nadmašuje Model A na svim metrikama, bez obzira na to koji algoritam je korišćen. Logistička regresija ostvaruje viši ROC AUC i PR AUC od XGBoost-a u oba slučaja, dok XGBoost ostvaruje niži, odnosno bolji Brier skor, što ukazuje da XGBoost ima blago slabiju diskriminaciju ali bolju kalibraciju u odnosu na logističku regresiju na ovom skupu podataka.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0,185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0,751</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0,178</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0,792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0,330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0,173</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0,780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0,149</w:t>
            </w:r>
          </w:p>
        </w:tc>
      </w:tr>
    </w:tbl>
    <w:p>
      <w:pPr>
        <w:spacing w:after="160" w:line="276"/>
        <w:ind w:firstLine="397"/>
        <w:jc w:val="both"/>
      </w:pPr>
      <w:r>
        <w:rPr>
          <w:rFonts w:ascii="Calibri" w:cs="Calibri" w:eastAsia="Calibri" w:hAnsi="Calibri"/>
          <w:sz w:val="22"/>
          <w:szCs w:val="22"/>
        </w:rPr>
        <w:t xml:space="preserve">Rezultati Leave-One-Tournament-Out validacije su gotovo identični rezultatima Stratified K-Fold validacije za sve četiri kombinacije modela i algoritma. Razlika u ROC AUC između dve validacione šeme ne prelazi 0,002 za bilo koju kombinaciju. Ovo je značajan nalaz: model ne pokazuje znake prenaučenosti specifičnostima jednog turnira, već generalizuje na turnir koji nikada nije vidio tokom treninga skoro identično dobro kao na podacima iz iste distribucije.</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svih 24 atributa Modela A predstavljaju tačan podskup 31 atributa Modela B, pri čemu su preostala 7 atributa StatsBomb 360 prostorni atributi (broj branilaca u liniji šuta, broj saigrača u istoj zoni, broj protivnika u krugu od 5 metara, otvorenost ugla ka golu, najbliža udaljenost branioca od linije šuta, defanzivni pritisak i anomalija pozicije golmana).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3.966 šuteva (zajednički podskup, nakon uklanjanja redova s nedostajućim vrednostima opisanih u nastavku), kako bi poređenje log-likelihood vrednosti bilo validno. Rezultat je LR = 70,03, sa 7 stepeni slobode, što odgovara p-vrednosti od približno 1,46×10⁻¹², odlučno odbacujući nultu hipotezu da StatsBomb 360 atributi ne doprinose modelu. Ovaj nalaz je dodatno potkrepljen i informacionim kriterijumima: Akaikeov informacioni kriterijum (AIC) iznosi 2.088,75 za Model A i 2.032,72 za Model B, a Bajesov informacioni kriterijum (BIC) 2.245,89 naspram 2.233,86, oba favorizujući Model B uprkos kazni za veći broj parametara.</w:t>
      </w:r>
    </w:p>
    <w:p>
      <w:pPr>
        <w:spacing w:after="160" w:line="276"/>
        <w:ind w:firstLine="397"/>
        <w:jc w:val="both"/>
      </w:pPr>
      <w:r>
        <w:rPr>
          <w:rFonts w:ascii="Calibri" w:cs="Calibri" w:eastAsia="Calibri" w:hAnsi="Calibri"/>
          <w:sz w:val="22"/>
          <w:szCs w:val="22"/>
        </w:rPr>
        <w:t xml:space="preserve">Za XGBoost, modeli nisu ugnježdeni na isti parametarski način, pa Likelihood Ratio test nije primenjiv. Umesto toga, sprovedena je bootstrap analiza razlike ROC AUC na test skupu jednog reprezentativnog 80/20 train-test splita (isti protokol kao u koraku evaluacije diskriminacije i kalibracije). Test skup je resempliran sa ponavljanjem 2.000 puta, pri čemu su za svaki uzorak istovremeno (parno) preuzete predikcije oba modela na istim šutevima, da bi se očuvala zavisnost između parova predikcija. Opažena razlika ROC AUC (Model B minus Model A) iznosi 0,037, a 95% interval poverenja dobijen iz bootstrap raspodele iznosi [0,0068, 0,0675]. Pošto interval ne sadrži nulu, razlika se smatra statistički značajnom, sa približnom dvostranom p-vrednošću od 0,014.</w:t>
      </w:r>
    </w:p>
    <w:p>
      <w:pPr>
        <w:spacing w:after="160" w:line="276"/>
        <w:ind w:firstLine="397"/>
        <w:jc w:val="both"/>
      </w:pPr>
      <w:r>
        <w:rPr>
          <w:rFonts w:ascii="Calibri" w:cs="Calibri" w:eastAsia="Calibri" w:hAnsi="Calibri"/>
          <w:sz w:val="22"/>
          <w:szCs w:val="22"/>
        </w:rPr>
        <w:t xml:space="preserve">Vredno je naglasiti da se bootstrap analiza odnosi na jedan train-test split, a ne na Leave-One-Tournament-Out validaciju opisanu u prethodnom odeljku; sprovođenje bootstrap testiranja unutar svakog LOTO folda bi zahtevalo hiljade ponovnih treniranja XGBoost modela sa unutrašnjim podešavanjem hiperparametara, što je računarski znatno zahtevnije, a ovaj pristup već pruža teorijski utemeljenu i robusnu procenu značajnosti razlike na fiksnom test skupu, bez rizika od curenja podataka. Niža, mada i dalje značajna, p-vrednost bootstrap testa u odnosu na izrazito malu p-vrednost LR testa proizlazi iz prirode samih testova: LR test procenjuje promenu log-verodostojnosti na celom skupu podataka, dok bootstrap procenjuje varijabilnost jedne metrike (ROC AUC) na znatno manjem, izdvojenom test skupu od 794 šuta, što unosi veću varijansu u procenu.</w:t>
      </w:r>
    </w:p>
    <w:p>
      <w:pPr>
        <w:spacing w:after="160" w:line="276"/>
        <w:ind w:firstLine="397"/>
        <w:jc w:val="both"/>
      </w:pPr>
      <w:r>
        <w:rPr>
          <w:rFonts w:ascii="Calibri" w:cs="Calibri" w:eastAsia="Calibri" w:hAnsi="Calibri"/>
          <w:sz w:val="22"/>
          <w:szCs w:val="22"/>
        </w:rPr>
        <w:t xml:space="preserve">U pripremi ovih testova, iz analize su izbačena dva šuta (0,05% od 3.968) zbog rezidualne nedostajuće vrednosti u atributu otvorenosti ugla, nastale u ekstremnom geometrijskom slučaju gde je ugao šuta jednak nuli. Ovo je odvojeno i znatno manje od izdvajanja penala (135 šuteva) opisanog u poglavlju 2, i odnosi se isključivo na Model B varijante.</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0,173</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0,069</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0,170</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0,070</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0,183</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0,071</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0,175</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0,070</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model predviđa visoke verovatnoće gola (na primer, preko 0,6) za situacije koje se u stvarnosti dešavaju znatno reže. Ovo je direktna posledica ponderisanja klasa primenjenog radi poboljšanja diskriminacije manjinske klase. Primena izotone regresije kao post-hoc kalibracije drastično poboljšava Brier skor za sve četiri kombinacije modela, sa redukcijom od preko 50%.</w:t>
      </w:r>
    </w:p>
    <w:p>
      <w:pPr>
        <w:pStyle w:val="Heading2"/>
      </w:pPr>
      <w:r>
        <w:t xml:space="preserve">4.5.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pPr>
        <w:spacing w:after="160" w:line="276"/>
        <w:ind w:firstLine="397"/>
        <w:jc w:val="both"/>
      </w:pPr>
      <w:r>
        <w:rPr>
          <w:rFonts w:ascii="Calibri" w:cs="Calibri" w:eastAsia="Calibri" w:hAnsi="Calibri"/>
          <w:sz w:val="22"/>
          <w:szCs w:val="22"/>
        </w:rPr>
        <w:t xml:space="preserve">SHAP analiza na Modelu B (XGBoost) pokazuje da je ugao šuta najuticajniji atribut, neposredno praćen otvorenošću ugla ka golu, izvedenom iz StatsBomb 360 podataka, koja se po prosečnoj apsolutnoj SHAP vrednosti plasira odmah iza ugla šuta i ispred udaljenosti od gola. Anomalija pozicije golmana, najbliža udaljenost branioca od linije šuta i defanzivni pritisak takođe se nalaze u prvih šest najuticajnijih atributa, ispred broja branilaca u liniji šuta. Ovo je konkretan i merljiv dokaz da prostorni atributi, a ne samo klasična geometrija šuta, nose suštinsku prediktivnu informaciju u modelu.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anomalije pozicije golmana. Ovaj nesklad sugeriše da efekat ovog atributa na verovatnoću gola nije linearan, odnosno da ga logistička regresija, koja pretpostavlja linearan odnos sa logitom, ne uspeva u potpunosti da uhvati, dok XGBoost, kroz stabla odluke, prirodno modeluje takav nelinearni ili interakcijski efekat, na primer da udaljenost branioca od linije šuta ima značajan utisak samo u kombinaciji sa malom udaljenošću od gola ili velikim otvorenim uglom. Ovo je dodatni argument u prilog korišćenju oba modela paralelno, jer se njihove interpretacije međusobno nadopunjuju, ne samo potvrđuju.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i u svim primenjenim validacionim šemama nadmašuje Model A, i u pogledu diskriminacije i u pogledu kalibracije. Doprinos nije dramatičan u apsolutnom iznosu (na primer, oko 0,02 razlike u ROC AUC), ali je dosledan kroz sve kombinacije algoritma i validacione šeme, što povećava pouzdanost zaključka da je reč o stvarnom, ne slučajnom efektu. Konkretnija i možda informativnija potvrda dolazi iz SHAP analize, gde se otvorenost ugla ka golu, atribut koji ne postoji bez StatsBomb 360 podataka, plasira kao drugi najuticajniji atribut u celom modelu.</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Pošto se ta razlika ne objašnjava razlikom u geometriji šuta, najverovatnije poticanje je iz faktora koje model ne hvata, kao što su individualni kvalitet izvedbe igrača, kvalitet golmana ili jednostavno slučajnost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što je korisno za retrospektivnu analizu kvaliteta stvorenih šansi (na primer, da li je tim sistematski stvarao šanse iz situacija sa malo defanzivnog pritiska, ili obrnuto). U skautingu, SHAP interpretacija modela može pomoći u identifikaciji igrača koji konzistentno postižu golove iz situacija sa visokim defanzivnim pritiskom, što ukazuje na veštinu koja nadilazi čistu poziciju na terenu. U evaluaciji golmana, atribut anomalije pozicije golmana, koji meri odstupanje od očekivane pozicije za datu udaljenost šuta,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na primer minut utakmice u opsegu od 0 do 120 naspram binarnog indikatora 0 ili 1. S obzirom na to da je optimalni C približno 0,85, što predstavlja relativno slabu regularizaciju, i da se interpretacija koeficijenata kroz Odds Ratio temelji na zasebnom fitovanju metodom maksimalne verodostojnosti bez penalizacije, efekat ovog propusta na konačne zaključke procenjuje se kao zanemarljiv, ali se navodi kao metodološka nepreciznost.</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Otvorenost ugla ka golu, atribut izveden direktno iz StatsBomb 360 podataka, pokazala se kao drugi najuticajniji prediktor u modelu, odmah iza ugla šuta, što je konkretan i merljiv dokaz vrednosti prostornih podataka. Istovremeno, formalna provera distribucijskog pomaka pokazala je da je geometrija šuta statistički slična kroz sva tri turnira, dok se stopa konverzije značajno razlikuje, što sugeriše da razlike u performansu modela između turnira potiču iz faktora finalizacije šanse, ne iz razlika u kvalitetu ili lokaciji stvorenih šansi.</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2026-06-29T11:51:20.197Z</dcterms:created>
  <dcterms:modified xsi:type="dcterms:W3CDTF">2026-06-29T11:51:20.197Z</dcterms:modified>
</cp:coreProperties>
</file>

<file path=docProps/custom.xml><?xml version="1.0" encoding="utf-8"?>
<Properties xmlns="http://schemas.openxmlformats.org/officeDocument/2006/custom-properties" xmlns:vt="http://schemas.openxmlformats.org/officeDocument/2006/docPropsVTypes"/>
</file>