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spacing w:after="160" w:line="276"/>
        <w:ind w:firstLine="397"/>
        <w:jc w:val="both"/>
      </w:pPr>
      <w:r>
        <w:rPr>
          <w:rFonts w:ascii="Calibri" w:cs="Calibri" w:eastAsia="Calibri" w:hAnsi="Calibri"/>
          <w:sz w:val="22"/>
          <w:szCs w:val="22"/>
        </w:rPr>
        <w:t xml:space="preserve">Dodatno, VIF provera je identifikovala da je atribut defenders_in_shot_cone_360 tačan duplikat atributa opponents_between_shooter_and_goal_360 (VIF=inf, R²=1,0, koeficijent=1,000). Matematički, defenders_in_shot_cone broji protivnike u trouglu (šuter, levi stativ, desni stativ) bez uslova na x-koordinatu, dok opponents_between dodaje uslov px &gt;= sx (protivnik mora biti ispred šutera). Međutim, pošto je konus definisan ka golu (x=120) i svi šutevi dolaze sa x &lt; 120, uslov px &gt;= sx je empirijski uvek ispunjen za igrače unutar konusa. Rezultat: identične vrednosti na celom datasetu od 3.968 šuteva. Duplikat je uklonjen iz finalnog skupa atributa (zadržan je opponents_between_shooter_and_goal_360 kao deskriptivnije ime).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služi kao jednostavan referentni xG model za poređenje i koristi isključivo klasične event atribute: udaljenost od gola, ugao šuta, da li je šut prvim dodirom, da li je šut jedan-na-jedan, deo tela i tip šuta. Model B sadrži sve atribute Modela A, uz dodatak StatsBomb 360 prostornih atributa (ukupno 11): udaljenost golmana,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StratifiedGroupKFold validacijom po match_id), a nikada na test skupu na kome se izveštava finalni Brier skor. Programski je verifikovano da se skupovi match_id u kalibracionim foldovima ne preklapaju. Izveštavaju se i nekalibrisan i kalibrisan Brier skor, da bi čitalac mogao da proceni korist kalibracije nezavisno od leakage-a.</w:t>
      </w:r>
    </w:p>
    <w:p>
      <w:pPr>
        <w:spacing w:after="160" w:line="276"/>
        <w:ind w:firstLine="397"/>
        <w:jc w:val="both"/>
      </w:pPr>
      <w:r>
        <w:rPr>
          <w:rFonts w:ascii="Calibri" w:cs="Calibri" w:eastAsia="Calibri" w:hAnsi="Calibri"/>
          <w:sz w:val="22"/>
          <w:szCs w:val="22"/>
        </w:rPr>
        <w:t xml:space="preserve">Imputacija nedostajucih vrednosti (medijana za numeričke, konstanta za kategoričke) je ugrađena u sklearn Pipeline (SimpleImputer) i izvršava se isključivo na trening delu svakog folda. Time se sprečava curenje informacija iz test skupa pri imputaciji.</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2"/>
      </w:pPr>
      <w:r>
        <w:t xml:space="preserve">3.10. Dostupnost podataka i koda</w:t>
      </w:r>
    </w:p>
    <w:p>
      <w:pPr>
        <w:spacing w:after="160" w:line="276"/>
        <w:ind w:firstLine="397"/>
        <w:jc w:val="both"/>
      </w:pPr>
      <w:r>
        <w:rPr>
          <w:rFonts w:ascii="Calibri" w:cs="Calibri" w:eastAsia="Calibri" w:hAnsi="Calibri"/>
          <w:sz w:val="22"/>
          <w:szCs w:val="22"/>
        </w:rPr>
        <w:t xml:space="preserve">Kompletan kod za reprodukciju svih rezultata (priprema podataka, treniranje modela, validacija, evaluacija, vizualizacija) javno je dostupan na GitHub repozitorijumu: https://github.com/tfedek/xG360. Podaci korišćeni u istraživanju dolaze iz javno dostupnog StatsBomb Open Data repozitorijuma (https://github.com/statsbomb/open-data) i mogu se slobodno preuzeti za akademska istraživanja.</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klasterska bootstrap analiza razlike ROC AUC na kompletnim out-of-fold (OOF) predikcijama iz svih LOTO foldova, gde se utakmice uzorkuju sa ponavljanjem (svi šutevi iz izabrane utakmice ulaze u bootstrap uzorak). Pooled OOF ROC AUC iznosi 0,713 za Model A i 0,709 za Model B. 95% bootstrap interval poverenja (2.000 iteracija, 166 utakmica kao klasteri) iznosi [-0,033, 0,025].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(+0,011 AUC). LR test potvrđuje da 360 atributi nose stvarnu inkrementalnu informaciju (p=2,97×10⁻¹⁰). Zaključak je da Model B pokazuje konzistentno numeričko poboljšanje kroz turnire i validacione šeme, ali je inkrementalni efekat umeren i interval poverenja dobijen klasterskim bootstrapom ne isključuje nultu razliku.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0,077</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spacing w:after="160" w:line="276"/>
        <w:ind w:firstLine="397"/>
        <w:jc w:val="both"/>
      </w:pPr>
      <w:r>
        <w:rPr>
          <w:rFonts w:ascii="Calibri" w:cs="Calibri" w:eastAsia="Calibri" w:hAnsi="Calibri"/>
          <w:sz w:val="22"/>
          <w:szCs w:val="22"/>
        </w:rPr>
        <w:t xml:space="preserve">Kao dodatna provera robusnosti, ispitano je da li izbor scoring metrike za GridSearch menja zaključak o prednosti Modela B, korišćenjem nezavisnog, nekalibrisanog LOTO pipeline-a. Rezultat pokazuje da zaključak zavisi od izabranog kriterijuma: kada se hiperparametri biraju prema average_precision (metrika rangiranja), Model B blago zaostaje za Modelom A na AUC (0,709 naspram 0,713, delta=-0,004), iako zadržava bolji sirovi Brier skor (0,110 naspram 0,152). Kada se hiperparametri biraju prema neg_log_loss ili neg_brier_score (metrike koje direktno optimizuju kvalitet verovatnoća), Model B nadmašuje Model A na oba pokazatelja (AUC: 0,775 naspram 0,761, delta=+0,014; Brier: 0,074 naspram 0,076). Ovaj nalaz sugeriše da prednost dodatnih 360 atributa zavisi od toga da li se selekcija hiperparametara eksplicitno fokusira na kvalitet probabilističkih predikcija - što je i primaran cilj xG modelovanja - a ne isključivo na rangiranje. Napominjemo da apsolutne vrednosti AUC u ovoj proveri nisu direktno uporedive sa kalibrisanim rezultatima u Tabeli 3, budući da ova analiza koristi nekalibrisane predikcije radi izolovanja efekta scoring kriterijuma od efekta post-hoc kalibracije.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(0,772)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8995"/>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rPr>
          <w:tblHeader/>
        </w:trPr>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Golovi (%)</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Med. dist.</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A</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B</w:t>
            </w:r>
          </w:p>
        </w:tc>
        <w:tc>
          <w:tcPr>
            <w:tcW w:type="dxa" w:w="1285"/>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 (9,4%)</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protivnika</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336 (9,1%)</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18,2</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285"/>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protivnika</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190 (7,2%)</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19,3</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285"/>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Struktura uzorka je stabilna kroz pragove: medijana udaljenosti se ne menja bitno (18,0 do 19,3 koordinatnih jedinica), a procenat šuteva iz blizine (&lt;15 jed.) ostaje sličan (37-38%). Stroži pragovi ne biraju selektivno samo bliske šuteve. Smanjenje delta vrednosti za striktnije pragove (sa +0,013 na +0,009)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formalna statistička neizvesnost razlike Model A/B procenjena je cluster bootstrap metodom po utakmicama (166 klastera, 2.000 iteracija), čime je poštovana zavisnost šuteva unutar iste utakmice. Dobijeni 95% interval poverenja za razliku ROC AUC [-0,033, 0,025] obuhvata nulu, što ukazuje da efekat na nivou pojedinačnog šuta, iako konzistentan po smeru kroz validacione šeme i turnire, nije statistički značajan na alfa=0,05 uz konzervativnu korekciju za klastersku zavisnost.</w:t>
      </w:r>
    </w:p>
    <w:p>
      <w:pPr>
        <w:spacing w:after="160" w:line="276"/>
        <w:ind w:firstLine="397"/>
        <w:jc w:val="both"/>
      </w:pPr>
      <w:r>
        <w:rPr>
          <w:rFonts w:ascii="Calibri" w:cs="Calibri" w:eastAsia="Calibri" w:hAnsi="Calibri"/>
          <w:sz w:val="22"/>
          <w:szCs w:val="22"/>
        </w:rPr>
        <w:t xml:space="preserve">Sedmo,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 Sensitivity analiza (odeljak 4.7) pokazuje da prednost Modela B ostaje konzistentna pri strožim pragovima minimalne vidljivosti (&gt;=5, &gt;=8 vidljivih protivnika), što delimično ublažava ovaj rizik, iako ne može potpuno isključiti efekat nepotpunog kadra na apsolutnu vrednost pojedinačnih atributa.</w:t>
      </w:r>
    </w:p>
    <w:p>
      <w:pPr>
        <w:spacing w:after="160" w:line="276"/>
        <w:ind w:firstLine="397"/>
        <w:jc w:val="both"/>
      </w:pPr>
      <w:r>
        <w:rPr>
          <w:rFonts w:ascii="Calibri" w:cs="Calibri" w:eastAsia="Calibri" w:hAnsi="Calibri"/>
          <w:sz w:val="22"/>
          <w:szCs w:val="22"/>
        </w:rPr>
        <w:t xml:space="preserve">Osmo,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Fedek, T. (2026). xG360: Doprinos StatsBomb 360 prostornih podataka u proceni verovatnoce gola [izvorni kod]. GitHub. https://github.com/tfedek/xG360</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2026-08-19T23:14:28.352Z</dcterms:created>
  <dcterms:modified xsi:type="dcterms:W3CDTF">2026-08-19T23:14:28.353Z</dcterms:modified>
</cp:coreProperties>
</file>

<file path=docProps/custom.xml><?xml version="1.0" encoding="utf-8"?>
<Properties xmlns="http://schemas.openxmlformats.org/officeDocument/2006/custom-properties" xmlns:vt="http://schemas.openxmlformats.org/officeDocument/2006/docPropsVTypes"/>
</file>