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A6AE8F" w14:textId="77777777" w:rsidR="00532EE1" w:rsidRDefault="00532EE1"/>
    <w:p w14:paraId="7E83B096" w14:textId="77777777" w:rsidR="00532EE1" w:rsidRDefault="00532EE1"/>
    <w:p w14:paraId="1D1A6873" w14:textId="77777777" w:rsidR="00532EE1" w:rsidRDefault="00000000">
      <w:pPr>
        <w:spacing w:after="80"/>
        <w:jc w:val="center"/>
      </w:pPr>
      <w:r>
        <w:rPr>
          <w:b/>
          <w:bCs/>
          <w:color w:val="1F3864"/>
          <w:sz w:val="24"/>
          <w:szCs w:val="24"/>
        </w:rPr>
        <w:t>STATISTIKA I MAŠINSKO UČENJE U ANALIZI SPORTSKIH PODATAKA</w:t>
      </w:r>
    </w:p>
    <w:p w14:paraId="58E833C8" w14:textId="77777777" w:rsidR="00532EE1" w:rsidRDefault="00532EE1"/>
    <w:p w14:paraId="5F1764E2" w14:textId="77777777" w:rsidR="00532EE1" w:rsidRDefault="00532EE1"/>
    <w:p w14:paraId="1F861B27" w14:textId="77777777" w:rsidR="00532EE1" w:rsidRDefault="00000000">
      <w:pPr>
        <w:spacing w:after="120"/>
        <w:jc w:val="center"/>
      </w:pPr>
      <w:r>
        <w:rPr>
          <w:rFonts w:ascii="Cambria" w:eastAsia="Cambria" w:hAnsi="Cambria" w:cs="Cambria"/>
          <w:b/>
          <w:bCs/>
          <w:color w:val="2E75B6"/>
          <w:sz w:val="32"/>
          <w:szCs w:val="32"/>
        </w:rPr>
        <w:t>Doprinos StatsBomb 360 prostornih podataka u proceni verovatnoće gola (xG)</w:t>
      </w:r>
    </w:p>
    <w:p w14:paraId="76CC73F7" w14:textId="77777777" w:rsidR="00532EE1" w:rsidRDefault="00000000">
      <w:pPr>
        <w:spacing w:after="800"/>
        <w:jc w:val="center"/>
      </w:pPr>
      <w:r>
        <w:rPr>
          <w:i/>
          <w:iCs/>
          <w:color w:val="666666"/>
          <w:sz w:val="24"/>
          <w:szCs w:val="24"/>
        </w:rPr>
        <w:t>Komparativna analiza klasičnih i prostorno-svesnih xG modela</w:t>
      </w:r>
    </w:p>
    <w:p w14:paraId="1C89D1E7" w14:textId="77777777" w:rsidR="00532EE1" w:rsidRDefault="00532EE1"/>
    <w:p w14:paraId="7C8E460D" w14:textId="77777777" w:rsidR="00532EE1" w:rsidRDefault="00532EE1">
      <w:pPr>
        <w:sectPr w:rsidR="00532EE1">
          <w:pgSz w:w="12240" w:h="15840"/>
          <w:pgMar w:top="1440" w:right="1440" w:bottom="1440" w:left="1440" w:header="708" w:footer="708" w:gutter="0"/>
          <w:cols w:space="720"/>
          <w:docGrid w:linePitch="360"/>
        </w:sectPr>
      </w:pPr>
    </w:p>
    <w:p w14:paraId="79225ADA" w14:textId="77777777" w:rsidR="00532EE1" w:rsidRDefault="00000000">
      <w:pPr>
        <w:pStyle w:val="Heading1"/>
      </w:pPr>
      <w:r>
        <w:lastRenderedPageBreak/>
        <w:t>Sažetak</w:t>
      </w:r>
    </w:p>
    <w:p w14:paraId="3604603F" w14:textId="77777777" w:rsidR="00532EE1" w:rsidRDefault="00000000">
      <w:pPr>
        <w:spacing w:after="160" w:line="276" w:lineRule="auto"/>
        <w:ind w:firstLine="397"/>
        <w:jc w:val="both"/>
      </w:pPr>
      <w:r>
        <w:t>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14:paraId="60ED1EE3" w14:textId="77777777" w:rsidR="00532EE1" w:rsidRDefault="00000000">
      <w:pPr>
        <w:spacing w:after="160" w:line="276" w:lineRule="auto"/>
        <w:ind w:firstLine="397"/>
        <w:jc w:val="both"/>
      </w:pPr>
      <w:r>
        <w:t>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14:paraId="03C6C7AE" w14:textId="77777777" w:rsidR="00532EE1" w:rsidRDefault="00000000">
      <w:pPr>
        <w:spacing w:after="160" w:line="276" w:lineRule="auto"/>
        <w:ind w:firstLine="397"/>
        <w:jc w:val="both"/>
      </w:pPr>
      <w:r>
        <w:t>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14:paraId="7BE7102F" w14:textId="77777777" w:rsidR="00532EE1" w:rsidRDefault="00000000">
      <w:pPr>
        <w:spacing w:after="160" w:line="276" w:lineRule="auto"/>
        <w:ind w:firstLine="397"/>
        <w:jc w:val="both"/>
      </w:pPr>
      <w:r>
        <w:t>Glavni nalaz rada je da Model B konzistentno nadmašuje Model A na svim metrikama diskriminacije i kalibracije, i u Stratified K-Fold i u Leave-One-Tournament-Out validaciji, te da se taj doprinos održava kroz sva tri turnira. Otvorenost ugla ka golu, izvedena iz StatsBomb 360 podataka, pokazala se kao drugi najuticajniji atribut u SHAP analizi, odmah iza ugla šuta. Rad takođe pokazuje da je geometrija šuta (udaljenost, ugao) statistički slična kroz sva tri turnira, dok se stopa konverzije šuteva u gol značajno razlikuje po turniru, što ukazuje da razlike u performansu modela između turnira potiču pre iz varijacija u finalizaciji nego iz razlika u kvalitetu stvorenih šansi.</w:t>
      </w:r>
    </w:p>
    <w:p w14:paraId="6A64E132" w14:textId="77777777" w:rsidR="00532EE1" w:rsidRDefault="00000000">
      <w:pPr>
        <w:spacing w:after="120"/>
      </w:pPr>
      <w:r>
        <w:rPr>
          <w:i/>
          <w:iCs/>
        </w:rPr>
        <w:t>Ključne reči: Expected Goals, StatsBomb 360, logistička regresija, XGBoost, SHAP, Leave-One-Tournament-Out validacija, fudbalska analitika</w:t>
      </w:r>
    </w:p>
    <w:p w14:paraId="3B201A40" w14:textId="77777777" w:rsidR="00532EE1" w:rsidRDefault="00000000">
      <w:r>
        <w:br w:type="page"/>
      </w:r>
    </w:p>
    <w:p w14:paraId="599BCFFB" w14:textId="77777777" w:rsidR="00532EE1" w:rsidRDefault="00000000">
      <w:pPr>
        <w:pStyle w:val="Heading1"/>
      </w:pPr>
      <w:r>
        <w:lastRenderedPageBreak/>
        <w:t>1. Uvod</w:t>
      </w:r>
    </w:p>
    <w:p w14:paraId="4986BC01" w14:textId="77777777" w:rsidR="00532EE1" w:rsidRDefault="00000000">
      <w:pPr>
        <w:spacing w:after="160" w:line="276" w:lineRule="auto"/>
        <w:ind w:firstLine="397"/>
        <w:jc w:val="both"/>
      </w:pPr>
      <w:r>
        <w:t>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14:paraId="50E75AD0" w14:textId="77777777" w:rsidR="00532EE1" w:rsidRDefault="00000000">
      <w:pPr>
        <w:spacing w:after="160" w:line="276" w:lineRule="auto"/>
        <w:ind w:firstLine="397"/>
        <w:jc w:val="both"/>
      </w:pPr>
      <w:r>
        <w:t>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14:paraId="5693BF58" w14:textId="77777777" w:rsidR="00532EE1" w:rsidRDefault="00000000">
      <w:pPr>
        <w:spacing w:after="160" w:line="276" w:lineRule="auto"/>
        <w:ind w:firstLine="397"/>
        <w:jc w:val="both"/>
      </w:pPr>
      <w:r>
        <w:t>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14:paraId="7D206E61" w14:textId="77777777" w:rsidR="00532EE1" w:rsidRDefault="00000000">
      <w:pPr>
        <w:spacing w:after="160" w:line="276" w:lineRule="auto"/>
        <w:ind w:firstLine="397"/>
        <w:jc w:val="both"/>
      </w:pPr>
      <w:r>
        <w:t>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14:paraId="60377027" w14:textId="77777777" w:rsidR="00532EE1" w:rsidRDefault="00000000">
      <w:pPr>
        <w:pStyle w:val="Heading1"/>
      </w:pPr>
      <w:r>
        <w:t>2. Podaci</w:t>
      </w:r>
    </w:p>
    <w:p w14:paraId="49D67E2E" w14:textId="77777777" w:rsidR="00532EE1" w:rsidRDefault="00000000">
      <w:pPr>
        <w:pStyle w:val="Heading2"/>
      </w:pPr>
      <w:r>
        <w:t>2.1. Izvor podataka</w:t>
      </w:r>
    </w:p>
    <w:p w14:paraId="44B387C6" w14:textId="77777777" w:rsidR="00532EE1" w:rsidRDefault="00000000">
      <w:pPr>
        <w:spacing w:after="160" w:line="276" w:lineRule="auto"/>
        <w:ind w:firstLine="397"/>
        <w:jc w:val="both"/>
      </w:pPr>
      <w:r>
        <w:t>Podaci su preuzeti iz StatsBomb open data repozitorijuma (github.com/statsbomb/</w:t>
      </w:r>
      <w:proofErr w:type="gramStart"/>
      <w:r>
        <w:t>open-data</w:t>
      </w:r>
      <w:proofErr w:type="gramEnd"/>
      <w:r>
        <w:t>),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14:paraId="366C8156" w14:textId="77777777" w:rsidR="00532EE1" w:rsidRDefault="00000000">
      <w:pPr>
        <w:spacing w:after="160" w:line="276" w:lineRule="auto"/>
        <w:ind w:firstLine="397"/>
        <w:jc w:val="both"/>
      </w:pPr>
      <w:r>
        <w:t>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14:paraId="7BAA81E0" w14:textId="77777777" w:rsidR="00532EE1" w:rsidRDefault="00000000">
      <w:pPr>
        <w:pStyle w:val="Heading2"/>
      </w:pPr>
      <w:r>
        <w:lastRenderedPageBreak/>
        <w:t>2.2. StatsBomb 360 podaci</w:t>
      </w:r>
    </w:p>
    <w:p w14:paraId="57457312" w14:textId="77777777" w:rsidR="00532EE1" w:rsidRDefault="00000000">
      <w:pPr>
        <w:spacing w:after="160" w:line="276" w:lineRule="auto"/>
        <w:ind w:firstLine="397"/>
        <w:jc w:val="both"/>
      </w:pPr>
      <w:r>
        <w:t>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14:paraId="1E5C6DC1" w14:textId="77777777" w:rsidR="00532EE1" w:rsidRDefault="00000000">
      <w:pPr>
        <w:spacing w:after="160" w:line="276" w:lineRule="auto"/>
        <w:ind w:firstLine="397"/>
        <w:jc w:val="both"/>
      </w:pPr>
      <w:r>
        <w:t>StatsBomb koristi sopstveni koordinatni sistem terena dimenzija 120 x 80 jedinica, gde se gol nalazi na poziciji x=120, y=40. Ovaj sistem korišćen je dosledno kroz čitav rad, uključujući i grafički prikaz terena u pratećoj demonstracionoj veb aplikaciji.</w:t>
      </w:r>
    </w:p>
    <w:p w14:paraId="5AEB5463" w14:textId="77777777" w:rsidR="00532EE1" w:rsidRDefault="00000000">
      <w:pPr>
        <w:pStyle w:val="Heading2"/>
      </w:pPr>
      <w:r>
        <w:t>2.3. Geometrijski atributi šuta</w:t>
      </w:r>
    </w:p>
    <w:p w14:paraId="11113A8D" w14:textId="77777777" w:rsidR="00532EE1" w:rsidRDefault="00000000">
      <w:pPr>
        <w:spacing w:after="160" w:line="276" w:lineRule="auto"/>
        <w:ind w:firstLine="397"/>
        <w:jc w:val="both"/>
      </w:pPr>
      <w:r>
        <w:t>Za svaki šut, udaljenost od centra gola računa se kao euklidska udaljenost između koordinata šuta (x, y) i koordinata centra gola (120, 40):</w:t>
      </w:r>
    </w:p>
    <w:p w14:paraId="5CFFEBDE" w14:textId="77777777" w:rsidR="00532EE1" w:rsidRDefault="00000000">
      <w:pPr>
        <w:tabs>
          <w:tab w:val="right" w:pos="9000"/>
        </w:tabs>
        <w:spacing w:before="160" w:after="200"/>
        <w:jc w:val="center"/>
      </w:pPr>
      <m:oMath>
        <m:r>
          <w:rPr>
            <w:rFonts w:ascii="Cambria Math" w:hAnsi="Cambria Math"/>
          </w:rPr>
          <m:t xml:space="preserve">d = </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120 - x</m:t>
                    </m:r>
                  </m:e>
                </m:d>
              </m:e>
              <m:sup>
                <m:r>
                  <w:rPr>
                    <w:rFonts w:ascii="Cambria Math" w:hAnsi="Cambria Math"/>
                  </w:rPr>
                  <m:t>2</m:t>
                </m:r>
              </m:sup>
            </m:sSup>
            <m: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40 - y</m:t>
                    </m:r>
                  </m:e>
                </m:d>
              </m:e>
              <m:sup>
                <m:r>
                  <w:rPr>
                    <w:rFonts w:ascii="Cambria Math" w:hAnsi="Cambria Math"/>
                  </w:rPr>
                  <m:t>2</m:t>
                </m:r>
              </m:sup>
            </m:sSup>
          </m:e>
        </m:rad>
      </m:oMath>
      <w:r>
        <w:rPr>
          <w:sz w:val="20"/>
          <w:szCs w:val="20"/>
        </w:rPr>
        <w:tab/>
        <w:t>(1)</w:t>
      </w:r>
    </w:p>
    <w:p w14:paraId="610889C6" w14:textId="77777777" w:rsidR="00532EE1" w:rsidRDefault="00000000">
      <w:pPr>
        <w:spacing w:after="160" w:line="276" w:lineRule="auto"/>
        <w:ind w:firstLine="397"/>
        <w:jc w:val="both"/>
      </w:pPr>
      <w:r>
        <w:t>Ugao šuta računa se primenom zakona kosinusa na trougao formiran tačkom šuta i dva gol-direka, gde su a i b udaljenosti od tačke šuta do levog i desnog gol-direka, a c je širina gola (7,32 metra):</w:t>
      </w:r>
    </w:p>
    <w:p w14:paraId="1F9A60E0" w14:textId="77777777" w:rsidR="00532EE1" w:rsidRDefault="00000000">
      <w:pPr>
        <w:tabs>
          <w:tab w:val="right" w:pos="9000"/>
        </w:tabs>
        <w:spacing w:before="160" w:after="200"/>
        <w:jc w:val="center"/>
      </w:pPr>
      <m:oMath>
        <m:r>
          <w:rPr>
            <w:rFonts w:ascii="Cambria Math" w:hAnsi="Cambria Math"/>
          </w:rPr>
          <m:t>θ = arccos</m:t>
        </m:r>
        <m:d>
          <m:dPr>
            <m:ctrlPr>
              <w:rPr>
                <w:rFonts w:ascii="Cambria Math" w:hAnsi="Cambria Math"/>
              </w:rPr>
            </m:ctrlPr>
          </m:dPr>
          <m:e>
            <m:f>
              <m:fPr>
                <m:ctrlPr>
                  <w:rPr>
                    <w:rFonts w:ascii="Cambria Math" w:hAnsi="Cambria Math"/>
                  </w:rPr>
                </m:ctrlPr>
              </m:fPr>
              <m:num>
                <m:r>
                  <w:rPr>
                    <w:rFonts w:ascii="Cambria Math" w:hAnsi="Cambria Math"/>
                  </w:rPr>
                  <m:t>a² + b² - c²</m:t>
                </m:r>
              </m:num>
              <m:den>
                <m:r>
                  <w:rPr>
                    <w:rFonts w:ascii="Cambria Math" w:hAnsi="Cambria Math"/>
                  </w:rPr>
                  <m:t>2ab</m:t>
                </m:r>
              </m:den>
            </m:f>
          </m:e>
        </m:d>
      </m:oMath>
      <w:r>
        <w:rPr>
          <w:sz w:val="20"/>
          <w:szCs w:val="20"/>
        </w:rPr>
        <w:tab/>
        <w:t>(2)</w:t>
      </w:r>
    </w:p>
    <w:p w14:paraId="00833317" w14:textId="77777777" w:rsidR="00532EE1" w:rsidRDefault="00000000">
      <w:pPr>
        <w:spacing w:after="160" w:line="276" w:lineRule="auto"/>
        <w:ind w:firstLine="397"/>
        <w:jc w:val="both"/>
      </w:pPr>
      <w:r>
        <w:t>Atribut otvorenosti ugla ka golu (open_goal_angle_ratio),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14:paraId="444BB84C" w14:textId="77777777" w:rsidR="00532EE1" w:rsidRDefault="00000000">
      <w:pPr>
        <w:tabs>
          <w:tab w:val="right" w:pos="9000"/>
        </w:tabs>
        <w:spacing w:before="160" w:after="200"/>
        <w:jc w:val="center"/>
      </w:pPr>
      <m:oMath>
        <m:r>
          <w:rPr>
            <w:rFonts w:ascii="Cambria Math" w:hAnsi="Cambria Math"/>
          </w:rPr>
          <m:t xml:space="preserve">r = 1 - </m:t>
        </m:r>
        <m:f>
          <m:fPr>
            <m:ctrlPr>
              <w:rPr>
                <w:rFonts w:ascii="Cambria Math" w:hAnsi="Cambria Math"/>
              </w:rPr>
            </m:ctrlPr>
          </m:fPr>
          <m:num>
            <m:r>
              <w:rPr>
                <w:rFonts w:ascii="Cambria Math" w:hAnsi="Cambria Math"/>
              </w:rPr>
              <m:t>min(θ_blok, θ)</m:t>
            </m:r>
          </m:num>
          <m:den>
            <m:r>
              <w:rPr>
                <w:rFonts w:ascii="Cambria Math" w:hAnsi="Cambria Math"/>
              </w:rPr>
              <m:t>θ</m:t>
            </m:r>
          </m:den>
        </m:f>
      </m:oMath>
      <w:r>
        <w:rPr>
          <w:sz w:val="20"/>
          <w:szCs w:val="20"/>
        </w:rPr>
        <w:tab/>
        <w:t>(3)</w:t>
      </w:r>
    </w:p>
    <w:p w14:paraId="27EA0544" w14:textId="77777777" w:rsidR="00532EE1" w:rsidRDefault="00000000">
      <w:pPr>
        <w:spacing w:after="160" w:line="276" w:lineRule="auto"/>
        <w:ind w:firstLine="397"/>
        <w:jc w:val="both"/>
      </w:pPr>
      <w:r>
        <w:t>gde je θ ukupan ugao šuta, a θ_blok ugao koji je efektivno blokiran (nakon spajanja preklapajućih senki).</w:t>
      </w:r>
    </w:p>
    <w:p w14:paraId="57D8D5D9" w14:textId="77777777" w:rsidR="00532EE1" w:rsidRDefault="00000000">
      <w:pPr>
        <w:spacing w:after="160" w:line="276" w:lineRule="auto"/>
        <w:ind w:firstLine="397"/>
        <w:jc w:val="both"/>
      </w:pPr>
      <w:r>
        <w:t>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14:paraId="3490BEFF" w14:textId="77777777" w:rsidR="00532EE1" w:rsidRDefault="00000000">
      <w:pPr>
        <w:tabs>
          <w:tab w:val="right" w:pos="9000"/>
        </w:tabs>
        <w:spacing w:before="160" w:after="200"/>
        <w:jc w:val="center"/>
      </w:pPr>
      <m:oMath>
        <m:r>
          <w:rPr>
            <w:rFonts w:ascii="Cambria Math" w:hAnsi="Cambria Math"/>
          </w:rPr>
          <m:t xml:space="preserve">t = </m:t>
        </m:r>
        <m:f>
          <m:fPr>
            <m:ctrlPr>
              <w:rPr>
                <w:rFonts w:ascii="Cambria Math" w:hAnsi="Cambria Math"/>
              </w:rPr>
            </m:ctrlPr>
          </m:fPr>
          <m:num>
            <m:r>
              <w:rPr>
                <w:rFonts w:ascii="Cambria Math" w:hAnsi="Cambria Math"/>
              </w:rPr>
              <m:t>(P - A) · (B - A)</m:t>
            </m:r>
          </m:num>
          <m:den>
            <m:r>
              <w:rPr>
                <w:rFonts w:ascii="Cambria Math" w:hAnsi="Cambria Math"/>
              </w:rPr>
              <m:t>|B - A|²</m:t>
            </m:r>
          </m:den>
        </m:f>
        <m:r>
          <w:rPr>
            <w:rFonts w:ascii="Cambria Math" w:hAnsi="Cambria Math"/>
          </w:rPr>
          <m:t>,  t ∈ [0, 1]</m:t>
        </m:r>
      </m:oMath>
      <w:r>
        <w:rPr>
          <w:sz w:val="20"/>
          <w:szCs w:val="20"/>
        </w:rPr>
        <w:tab/>
        <w:t>(4)</w:t>
      </w:r>
    </w:p>
    <w:p w14:paraId="2FFC1C52" w14:textId="77777777" w:rsidR="00532EE1" w:rsidRDefault="00000000">
      <w:pPr>
        <w:spacing w:after="160" w:line="276" w:lineRule="auto"/>
        <w:ind w:firstLine="397"/>
        <w:jc w:val="both"/>
      </w:pPr>
      <w:r>
        <w:t>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14:paraId="75D74DE7" w14:textId="77777777" w:rsidR="00532EE1" w:rsidRDefault="00000000">
      <w:pPr>
        <w:tabs>
          <w:tab w:val="right" w:pos="9000"/>
        </w:tabs>
        <w:spacing w:before="160" w:after="200"/>
        <w:jc w:val="center"/>
      </w:pPr>
      <m:oMath>
        <m:r>
          <w:rPr>
            <w:rFonts w:ascii="Cambria Math" w:hAnsi="Cambria Math"/>
          </w:rPr>
          <w:lastRenderedPageBreak/>
          <m:t xml:space="preserve">pressure = </m:t>
        </m:r>
        <m:nary>
          <m:naryPr>
            <m:chr m:val="∑"/>
            <m:limLoc m:val="undOvr"/>
            <m:ctrlPr>
              <w:rPr>
                <w:rFonts w:ascii="Cambria Math" w:hAnsi="Cambria Math"/>
              </w:rPr>
            </m:ctrlPr>
          </m:naryPr>
          <m:sub>
            <m:r>
              <w:rPr>
                <w:rFonts w:ascii="Cambria Math" w:hAnsi="Cambria Math"/>
              </w:rPr>
              <m:t>dᵢ ≤ 10</m:t>
            </m:r>
          </m:sub>
          <m:sup>
            <m:r>
              <w:rPr>
                <w:rFonts w:ascii="Cambria Math" w:hAnsi="Cambria Math"/>
              </w:rPr>
              <m:t xml:space="preserve"> </m:t>
            </m:r>
          </m:sup>
          <m:e>
            <m:r>
              <w:rPr>
                <w:rFonts w:ascii="Cambria Math" w:hAnsi="Cambria Math"/>
              </w:rPr>
              <m:t>1 / (dᵢ + 0,5)</m:t>
            </m:r>
          </m:e>
        </m:nary>
      </m:oMath>
      <w:r>
        <w:rPr>
          <w:sz w:val="20"/>
          <w:szCs w:val="20"/>
        </w:rPr>
        <w:tab/>
        <w:t>(5)</w:t>
      </w:r>
    </w:p>
    <w:p w14:paraId="5FD48822" w14:textId="77777777" w:rsidR="00532EE1" w:rsidRDefault="00000000">
      <w:pPr>
        <w:spacing w:after="160" w:line="276" w:lineRule="auto"/>
        <w:ind w:firstLine="397"/>
        <w:jc w:val="both"/>
      </w:pPr>
      <w:r>
        <w:t>gde se sumiranje vrši po svim protivnicima i čija je udaljenost od šutera dᵢ manja ili jednaka 10 jardi.</w:t>
      </w:r>
    </w:p>
    <w:p w14:paraId="77776BDF" w14:textId="77777777" w:rsidR="00532EE1" w:rsidRDefault="00000000">
      <w:pPr>
        <w:pStyle w:val="Heading2"/>
      </w:pPr>
      <w:r>
        <w:t>2.4. Ekstrakcija šuteva i obrada penala</w:t>
      </w:r>
    </w:p>
    <w:p w14:paraId="3B723CF4" w14:textId="77777777" w:rsidR="00532EE1" w:rsidRDefault="00000000">
      <w:pPr>
        <w:spacing w:after="160" w:line="276" w:lineRule="auto"/>
        <w:ind w:firstLine="397"/>
        <w:jc w:val="both"/>
      </w:pPr>
      <w:r>
        <w:t>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14:paraId="2899288B" w14:textId="77777777" w:rsidR="00532EE1" w:rsidRDefault="00000000">
      <w:pPr>
        <w:spacing w:after="160" w:line="276" w:lineRule="auto"/>
        <w:ind w:firstLine="397"/>
        <w:jc w:val="both"/>
      </w:pPr>
      <w:r>
        <w:t>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14:paraId="16B5366A" w14:textId="77777777" w:rsidR="00532EE1" w:rsidRDefault="00000000">
      <w:pPr>
        <w:spacing w:after="160" w:line="276" w:lineRule="auto"/>
        <w:ind w:firstLine="397"/>
        <w:jc w:val="both"/>
      </w:pPr>
      <w:r>
        <w:t>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14:paraId="40F532C9" w14:textId="77777777" w:rsidR="00532EE1" w:rsidRDefault="00000000">
      <w:pPr>
        <w:spacing w:after="160" w:line="276" w:lineRule="auto"/>
        <w:ind w:firstLine="397"/>
        <w:jc w:val="both"/>
      </w:pPr>
      <w:r>
        <w:t xml:space="preserve">Posebno je provereno i uklonjeno 103 šuta koji potiču iz </w:t>
      </w:r>
      <w:proofErr w:type="gramStart"/>
      <w:r>
        <w:t>penal-shootout</w:t>
      </w:r>
      <w:proofErr w:type="gramEnd"/>
      <w:r>
        <w:t xml:space="preserve"> faze (jedanaesterci posle produžetaka, StatsBomb oznaka perioda 5), jer ta faza nije deo same utakmice u xG smislu i nema isti takmičarski i psihološki kontekst kao penal dosuđen tokom igre.</w:t>
      </w:r>
    </w:p>
    <w:p w14:paraId="19AA1E4A" w14:textId="77777777" w:rsidR="00532EE1" w:rsidRDefault="00000000">
      <w:pPr>
        <w:spacing w:after="160" w:line="276" w:lineRule="auto"/>
        <w:ind w:firstLine="397"/>
        <w:jc w:val="both"/>
      </w:pPr>
      <w:r>
        <w:t>Konačan skup za modelovanje obuhvata 3.968 šuteva, od čega 372 gola, što odgovara stopi konverzije od 9,4% i odnosu klasa ne-gol prema gol od približno 9,7 prema 1.</w:t>
      </w:r>
    </w:p>
    <w:p w14:paraId="2E58CB7C" w14:textId="77777777" w:rsidR="00532EE1" w:rsidRDefault="00000000">
      <w:pPr>
        <w:spacing w:before="60" w:after="240"/>
        <w:jc w:val="center"/>
      </w:pPr>
      <w:r>
        <w:rPr>
          <w:i/>
          <w:iCs/>
          <w:color w:val="444444"/>
          <w:sz w:val="18"/>
          <w:szCs w:val="18"/>
        </w:rPr>
        <w:t>Tabela 1. Pregled skupa podataka po turniru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2200"/>
        <w:gridCol w:w="1700"/>
        <w:gridCol w:w="1260"/>
      </w:tblGrid>
      <w:tr w:rsidR="00532EE1" w14:paraId="3CEAB925"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1F831C48" w14:textId="77777777" w:rsidR="00532EE1" w:rsidRDefault="00000000">
            <w:pPr>
              <w:jc w:val="center"/>
            </w:pPr>
            <w:r>
              <w:rPr>
                <w:b/>
                <w:bCs/>
                <w:color w:val="FFFFFF"/>
                <w:sz w:val="19"/>
                <w:szCs w:val="19"/>
              </w:rPr>
              <w:t>Turnir</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3E0AD88" w14:textId="77777777" w:rsidR="00532EE1" w:rsidRDefault="00000000">
            <w:pPr>
              <w:jc w:val="center"/>
            </w:pPr>
            <w:r>
              <w:rPr>
                <w:b/>
                <w:bCs/>
                <w:color w:val="FFFFFF"/>
                <w:sz w:val="19"/>
                <w:szCs w:val="19"/>
              </w:rPr>
              <w:t>Broj mečeva</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D6DF6CC" w14:textId="77777777" w:rsidR="00532EE1" w:rsidRDefault="00000000">
            <w:pPr>
              <w:jc w:val="center"/>
            </w:pPr>
            <w:r>
              <w:rPr>
                <w:b/>
                <w:bCs/>
                <w:color w:val="FFFFFF"/>
                <w:sz w:val="19"/>
                <w:szCs w:val="19"/>
              </w:rPr>
              <w:t>Broj šuteva (bez penala)</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EA1D962" w14:textId="77777777" w:rsidR="00532EE1" w:rsidRDefault="00000000">
            <w:pPr>
              <w:jc w:val="center"/>
            </w:pPr>
            <w:r>
              <w:rPr>
                <w:b/>
                <w:bCs/>
                <w:color w:val="FFFFFF"/>
                <w:sz w:val="19"/>
                <w:szCs w:val="19"/>
              </w:rPr>
              <w:t>Broj golova</w:t>
            </w:r>
          </w:p>
        </w:tc>
        <w:tc>
          <w:tcPr>
            <w:tcW w:w="12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21D6650" w14:textId="77777777" w:rsidR="00532EE1" w:rsidRDefault="00000000">
            <w:pPr>
              <w:jc w:val="center"/>
            </w:pPr>
            <w:r>
              <w:rPr>
                <w:b/>
                <w:bCs/>
                <w:color w:val="FFFFFF"/>
                <w:sz w:val="19"/>
                <w:szCs w:val="19"/>
              </w:rPr>
              <w:t>Stopa konverzije</w:t>
            </w:r>
          </w:p>
        </w:tc>
      </w:tr>
      <w:tr w:rsidR="00532EE1" w14:paraId="244DFEE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13CD8F1F" w14:textId="77777777" w:rsidR="00532EE1" w:rsidRDefault="00000000">
            <w:r>
              <w:rPr>
                <w:sz w:val="19"/>
                <w:szCs w:val="19"/>
              </w:rPr>
              <w:t>Svetsko prvenstvo 2022</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FF8581A" w14:textId="77777777" w:rsidR="00532EE1" w:rsidRDefault="00000000">
            <w:pPr>
              <w:jc w:val="center"/>
            </w:pPr>
            <w:r>
              <w:rPr>
                <w:sz w:val="19"/>
                <w:szCs w:val="19"/>
              </w:rPr>
              <w:t>64</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558ADFF" w14:textId="77777777" w:rsidR="00532EE1" w:rsidRDefault="00000000">
            <w:pPr>
              <w:jc w:val="center"/>
            </w:pPr>
            <w:r>
              <w:rPr>
                <w:sz w:val="19"/>
                <w:szCs w:val="19"/>
              </w:rPr>
              <w:t>1.430</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617CD3B" w14:textId="77777777" w:rsidR="00532EE1" w:rsidRDefault="00000000">
            <w:pPr>
              <w:jc w:val="center"/>
            </w:pPr>
            <w:r>
              <w:rPr>
                <w:sz w:val="19"/>
                <w:szCs w:val="19"/>
              </w:rPr>
              <w:t>152</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A290FBF" w14:textId="77777777" w:rsidR="00532EE1" w:rsidRDefault="00000000">
            <w:pPr>
              <w:jc w:val="center"/>
            </w:pPr>
            <w:r>
              <w:rPr>
                <w:sz w:val="19"/>
                <w:szCs w:val="19"/>
              </w:rPr>
              <w:t>10,6%</w:t>
            </w:r>
          </w:p>
        </w:tc>
      </w:tr>
      <w:tr w:rsidR="00532EE1" w14:paraId="34213CB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F37FE8A" w14:textId="77777777" w:rsidR="00532EE1" w:rsidRDefault="00000000">
            <w:r>
              <w:rPr>
                <w:sz w:val="19"/>
                <w:szCs w:val="19"/>
              </w:rPr>
              <w:t>Evropsko prvenstvo 2020</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22CD731" w14:textId="77777777" w:rsidR="00532EE1" w:rsidRDefault="00000000">
            <w:pPr>
              <w:jc w:val="center"/>
            </w:pPr>
            <w:r>
              <w:rPr>
                <w:sz w:val="19"/>
                <w:szCs w:val="19"/>
              </w:rPr>
              <w:t>51</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D482B3A" w14:textId="77777777" w:rsidR="00532EE1" w:rsidRDefault="00000000">
            <w:pPr>
              <w:jc w:val="center"/>
            </w:pPr>
            <w:r>
              <w:rPr>
                <w:sz w:val="19"/>
                <w:szCs w:val="19"/>
              </w:rPr>
              <w:t>1.234</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4AEFAEF" w14:textId="77777777" w:rsidR="00532EE1" w:rsidRDefault="00000000">
            <w:pPr>
              <w:jc w:val="center"/>
            </w:pPr>
            <w:r>
              <w:rPr>
                <w:sz w:val="19"/>
                <w:szCs w:val="19"/>
              </w:rPr>
              <w:t>122</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67DD6965" w14:textId="77777777" w:rsidR="00532EE1" w:rsidRDefault="00000000">
            <w:pPr>
              <w:jc w:val="center"/>
            </w:pPr>
            <w:r>
              <w:rPr>
                <w:sz w:val="19"/>
                <w:szCs w:val="19"/>
              </w:rPr>
              <w:t>9,9%</w:t>
            </w:r>
          </w:p>
        </w:tc>
      </w:tr>
      <w:tr w:rsidR="00532EE1" w14:paraId="670B07F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A22313B" w14:textId="77777777" w:rsidR="00532EE1" w:rsidRDefault="00000000">
            <w:r>
              <w:rPr>
                <w:sz w:val="19"/>
                <w:szCs w:val="19"/>
              </w:rPr>
              <w:t>Evropsko prvenstvo 2024</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CC7A9F6" w14:textId="77777777" w:rsidR="00532EE1" w:rsidRDefault="00000000">
            <w:pPr>
              <w:jc w:val="center"/>
            </w:pPr>
            <w:r>
              <w:rPr>
                <w:sz w:val="19"/>
                <w:szCs w:val="19"/>
              </w:rPr>
              <w:t>51</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2CFE9B4" w14:textId="77777777" w:rsidR="00532EE1" w:rsidRDefault="00000000">
            <w:pPr>
              <w:jc w:val="center"/>
            </w:pPr>
            <w:r>
              <w:rPr>
                <w:sz w:val="19"/>
                <w:szCs w:val="19"/>
              </w:rPr>
              <w:t>1.304</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D458617" w14:textId="77777777" w:rsidR="00532EE1" w:rsidRDefault="00000000">
            <w:pPr>
              <w:jc w:val="center"/>
            </w:pPr>
            <w:r>
              <w:rPr>
                <w:sz w:val="19"/>
                <w:szCs w:val="19"/>
              </w:rPr>
              <w:t>98</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F36092E" w14:textId="77777777" w:rsidR="00532EE1" w:rsidRDefault="00000000">
            <w:pPr>
              <w:jc w:val="center"/>
            </w:pPr>
            <w:r>
              <w:rPr>
                <w:sz w:val="19"/>
                <w:szCs w:val="19"/>
              </w:rPr>
              <w:t>7,5%</w:t>
            </w:r>
          </w:p>
        </w:tc>
      </w:tr>
      <w:tr w:rsidR="00532EE1" w14:paraId="40D23A2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D3DA244" w14:textId="77777777" w:rsidR="00532EE1" w:rsidRDefault="00000000">
            <w:r>
              <w:rPr>
                <w:sz w:val="19"/>
                <w:szCs w:val="19"/>
              </w:rPr>
              <w:t>Ukupno</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086D722" w14:textId="77777777" w:rsidR="00532EE1" w:rsidRDefault="00000000">
            <w:pPr>
              <w:jc w:val="center"/>
            </w:pPr>
            <w:r>
              <w:rPr>
                <w:sz w:val="19"/>
                <w:szCs w:val="19"/>
              </w:rPr>
              <w:t>166</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FF7F151" w14:textId="77777777" w:rsidR="00532EE1" w:rsidRDefault="00000000">
            <w:pPr>
              <w:jc w:val="center"/>
            </w:pPr>
            <w:r>
              <w:rPr>
                <w:sz w:val="19"/>
                <w:szCs w:val="19"/>
              </w:rPr>
              <w:t>3.968</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5F19295" w14:textId="77777777" w:rsidR="00532EE1" w:rsidRDefault="00000000">
            <w:pPr>
              <w:jc w:val="center"/>
            </w:pPr>
            <w:r>
              <w:rPr>
                <w:sz w:val="19"/>
                <w:szCs w:val="19"/>
              </w:rPr>
              <w:t>372</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F913605" w14:textId="77777777" w:rsidR="00532EE1" w:rsidRDefault="00000000">
            <w:pPr>
              <w:jc w:val="center"/>
            </w:pPr>
            <w:r>
              <w:rPr>
                <w:sz w:val="19"/>
                <w:szCs w:val="19"/>
              </w:rPr>
              <w:t>9,4%</w:t>
            </w:r>
          </w:p>
        </w:tc>
      </w:tr>
    </w:tbl>
    <w:p w14:paraId="034BDEB5" w14:textId="77777777" w:rsidR="0070622C" w:rsidRDefault="0070622C">
      <w:pPr>
        <w:pStyle w:val="Heading1"/>
      </w:pPr>
    </w:p>
    <w:p w14:paraId="5C0CD56F" w14:textId="10AB776F" w:rsidR="00532EE1" w:rsidRDefault="0070622C">
      <w:pPr>
        <w:pStyle w:val="Heading1"/>
      </w:pPr>
      <w:r>
        <w:lastRenderedPageBreak/>
        <w:t xml:space="preserve"> </w:t>
      </w:r>
      <w:r w:rsidR="00000000">
        <w:t>3. Metodologija</w:t>
      </w:r>
    </w:p>
    <w:p w14:paraId="7364EE2B" w14:textId="77777777" w:rsidR="00532EE1" w:rsidRDefault="00000000">
      <w:pPr>
        <w:spacing w:after="160" w:line="276" w:lineRule="auto"/>
        <w:ind w:firstLine="397"/>
        <w:jc w:val="both"/>
      </w:pPr>
      <w:r>
        <w:t>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14:paraId="0211E894" w14:textId="77777777" w:rsidR="00532EE1" w:rsidRDefault="00000000">
      <w:pPr>
        <w:pStyle w:val="Heading2"/>
      </w:pPr>
      <w:r>
        <w:t>3.1. Eksplorativna analiza podataka</w:t>
      </w:r>
    </w:p>
    <w:p w14:paraId="04141A1C" w14:textId="77777777" w:rsidR="00532EE1" w:rsidRDefault="00000000">
      <w:pPr>
        <w:spacing w:after="160" w:line="276" w:lineRule="auto"/>
        <w:ind w:firstLine="397"/>
        <w:jc w:val="both"/>
      </w:pPr>
      <w:r>
        <w:t>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14:paraId="123A5B53" w14:textId="77777777" w:rsidR="00532EE1" w:rsidRDefault="00000000">
      <w:pPr>
        <w:spacing w:after="160" w:line="276" w:lineRule="auto"/>
        <w:ind w:firstLine="397"/>
        <w:jc w:val="both"/>
      </w:pPr>
      <w:r>
        <w:t>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14:paraId="63CE3DA3" w14:textId="77777777" w:rsidR="00532EE1" w:rsidRDefault="00000000">
      <w:pPr>
        <w:pStyle w:val="Heading2"/>
      </w:pPr>
      <w:r>
        <w:t>3.2. Testiranje statističkih hipoteza</w:t>
      </w:r>
    </w:p>
    <w:p w14:paraId="7A1F7B29" w14:textId="77777777" w:rsidR="00532EE1" w:rsidRDefault="00000000">
      <w:pPr>
        <w:spacing w:after="160" w:line="276" w:lineRule="auto"/>
        <w:ind w:firstLine="397"/>
        <w:jc w:val="both"/>
      </w:pPr>
      <w:r>
        <w:t>Drugi korak primenio je inferencijalnu statistiku isključivo na jasno definisana istraživačka pitanja, a ne kao paket testova bez konkretne svrhe:</w:t>
      </w:r>
    </w:p>
    <w:p w14:paraId="24C4BF92" w14:textId="77777777" w:rsidR="00532EE1" w:rsidRDefault="00000000">
      <w:pPr>
        <w:pStyle w:val="ListParagraph"/>
        <w:numPr>
          <w:ilvl w:val="0"/>
          <w:numId w:val="2"/>
        </w:numPr>
        <w:spacing w:after="80"/>
      </w:pPr>
      <w:r>
        <w:t>H1: Da li je tip akcije koja prethodi šutu (play pattern) povezan sa verovatnoćom gola? Test: hi-kvadrat test nezavisnosti.</w:t>
      </w:r>
    </w:p>
    <w:p w14:paraId="2AF5F844" w14:textId="77777777" w:rsidR="00532EE1" w:rsidRDefault="00000000">
      <w:pPr>
        <w:pStyle w:val="ListParagraph"/>
        <w:numPr>
          <w:ilvl w:val="0"/>
          <w:numId w:val="2"/>
        </w:numPr>
        <w:spacing w:after="80"/>
      </w:pPr>
      <w:r>
        <w:t>H2: Da li se udaljenost od gola razlikuje između golova i promašaja? Test: Mann-Whitney U test (neparametarski, jer distribucija udaljenosti nije normalna).</w:t>
      </w:r>
    </w:p>
    <w:p w14:paraId="39421355" w14:textId="77777777" w:rsidR="00532EE1" w:rsidRDefault="00000000">
      <w:pPr>
        <w:pStyle w:val="ListParagraph"/>
        <w:numPr>
          <w:ilvl w:val="0"/>
          <w:numId w:val="2"/>
        </w:numPr>
        <w:spacing w:after="80"/>
      </w:pPr>
      <w:r>
        <w:t>H3: Da li se ugao šuta razlikuje između golova i promašaja? Test: Mann-Whitney U test.</w:t>
      </w:r>
    </w:p>
    <w:p w14:paraId="36EC7A6C" w14:textId="77777777" w:rsidR="00532EE1" w:rsidRDefault="00000000">
      <w:pPr>
        <w:pStyle w:val="ListParagraph"/>
        <w:numPr>
          <w:ilvl w:val="0"/>
          <w:numId w:val="2"/>
        </w:numPr>
        <w:spacing w:after="80"/>
      </w:pPr>
      <w:r>
        <w:t>H4: Da li se stopa konverzije šuteva u gol razlikuje između tri turnira? Test: hi-kvadrat test nezavisnosti.</w:t>
      </w:r>
    </w:p>
    <w:p w14:paraId="29215335" w14:textId="77777777" w:rsidR="00532EE1" w:rsidRDefault="00000000">
      <w:pPr>
        <w:spacing w:after="160" w:line="276" w:lineRule="auto"/>
        <w:ind w:firstLine="397"/>
        <w:jc w:val="both"/>
      </w:pPr>
      <w:r>
        <w:t>Hi-kvadrat statistika za testove H1 i H4 računa se kao zbir kvadrata razlika opaženih (O) i očekivanih (E) frekvencija po ćeliji kontingencijske tabele, normalizovan očekivanom frekvencijom:</w:t>
      </w:r>
    </w:p>
    <w:p w14:paraId="7E81E726" w14:textId="77777777" w:rsidR="00532EE1" w:rsidRDefault="00000000">
      <w:pPr>
        <w:tabs>
          <w:tab w:val="right" w:pos="9000"/>
        </w:tabs>
        <w:spacing w:before="160" w:after="200"/>
        <w:jc w:val="center"/>
      </w:pPr>
      <m:oMath>
        <m:r>
          <w:rPr>
            <w:rFonts w:ascii="Cambria Math" w:hAnsi="Cambria Math"/>
          </w:rPr>
          <m:t xml:space="preserve">χ² = </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Oᵢ - Eᵢ</m:t>
                        </m:r>
                      </m:e>
                    </m:d>
                  </m:e>
                  <m:sup>
                    <m:r>
                      <w:rPr>
                        <w:rFonts w:ascii="Cambria Math" w:hAnsi="Cambria Math"/>
                      </w:rPr>
                      <m:t>2</m:t>
                    </m:r>
                  </m:sup>
                </m:sSup>
              </m:num>
              <m:den>
                <m:r>
                  <w:rPr>
                    <w:rFonts w:ascii="Cambria Math" w:hAnsi="Cambria Math"/>
                  </w:rPr>
                  <m:t>Eᵢ</m:t>
                </m:r>
              </m:den>
            </m:f>
          </m:e>
        </m:nary>
      </m:oMath>
      <w:r>
        <w:rPr>
          <w:sz w:val="20"/>
          <w:szCs w:val="20"/>
        </w:rPr>
        <w:tab/>
        <w:t>(13)</w:t>
      </w:r>
    </w:p>
    <w:p w14:paraId="588DA745" w14:textId="77777777" w:rsidR="00532EE1" w:rsidRDefault="00000000">
      <w:pPr>
        <w:spacing w:after="160" w:line="276" w:lineRule="auto"/>
        <w:ind w:firstLine="397"/>
        <w:jc w:val="both"/>
      </w:pPr>
      <w:r>
        <w:t>gde je i indeks koji se kreće kroz sve ćelije kontingencijske tabele, a n ukupan broj ćelija. Mann-Whitney U statistika za testove H2 i H3 izračunava se na osnovu rangova opservacija u dve grupe (gol, ne-gol):</w:t>
      </w:r>
    </w:p>
    <w:p w14:paraId="4D56F5AE" w14:textId="77777777" w:rsidR="00532EE1" w:rsidRDefault="00000000">
      <w:pPr>
        <w:tabs>
          <w:tab w:val="right" w:pos="9000"/>
        </w:tabs>
        <w:spacing w:before="160" w:after="200"/>
        <w:jc w:val="center"/>
      </w:pPr>
      <m:oMath>
        <m:r>
          <w:rPr>
            <w:rFonts w:ascii="Cambria Math" w:hAnsi="Cambria Math"/>
          </w:rPr>
          <m:t xml:space="preserve">U = n₁n₂ + </m:t>
        </m:r>
        <m:f>
          <m:fPr>
            <m:ctrlPr>
              <w:rPr>
                <w:rFonts w:ascii="Cambria Math" w:hAnsi="Cambria Math"/>
              </w:rPr>
            </m:ctrlPr>
          </m:fPr>
          <m:num>
            <m:r>
              <w:rPr>
                <w:rFonts w:ascii="Cambria Math" w:hAnsi="Cambria Math"/>
              </w:rPr>
              <m:t>n₁(n₁ + 1)</m:t>
            </m:r>
          </m:num>
          <m:den>
            <m:r>
              <w:rPr>
                <w:rFonts w:ascii="Cambria Math" w:hAnsi="Cambria Math"/>
              </w:rPr>
              <m:t>2</m:t>
            </m:r>
          </m:den>
        </m:f>
        <m:r>
          <w:rPr>
            <w:rFonts w:ascii="Cambria Math" w:hAnsi="Cambria Math"/>
          </w:rPr>
          <m:t xml:space="preserve"> - R₁</m:t>
        </m:r>
      </m:oMath>
      <w:r>
        <w:rPr>
          <w:sz w:val="20"/>
          <w:szCs w:val="20"/>
        </w:rPr>
        <w:tab/>
        <w:t>(14)</w:t>
      </w:r>
    </w:p>
    <w:p w14:paraId="1C1BF878" w14:textId="77777777" w:rsidR="00532EE1" w:rsidRDefault="00000000">
      <w:pPr>
        <w:spacing w:after="160" w:line="276" w:lineRule="auto"/>
        <w:ind w:firstLine="397"/>
        <w:jc w:val="both"/>
      </w:pPr>
      <w:r>
        <w:t>gde su n₁ i n₂ veličine dve grupe, a R₁ zbir rangova prve grupe u zajedničkom uređenju oba uzorka.</w:t>
      </w:r>
    </w:p>
    <w:p w14:paraId="7817C86A" w14:textId="77777777" w:rsidR="00532EE1" w:rsidRDefault="00000000">
      <w:pPr>
        <w:spacing w:after="160" w:line="276" w:lineRule="auto"/>
        <w:ind w:firstLine="397"/>
        <w:jc w:val="both"/>
      </w:pPr>
      <w:r>
        <w:t>Dodatno, sprovedena je formalna provera distribucijskog pomaka Kolmogorov-Smirnov testom za ključne numeričke atribute (udaljenost, ugao) između svaka dva turnira:</w:t>
      </w:r>
    </w:p>
    <w:p w14:paraId="43708CE2" w14:textId="77777777" w:rsidR="00532EE1" w:rsidRDefault="00000000">
      <w:pPr>
        <w:tabs>
          <w:tab w:val="right" w:pos="9000"/>
        </w:tabs>
        <w:spacing w:before="160" w:after="200"/>
        <w:jc w:val="center"/>
      </w:pPr>
      <m:oMath>
        <m:r>
          <w:rPr>
            <w:rFonts w:ascii="Cambria Math" w:hAnsi="Cambria Math"/>
          </w:rPr>
          <w:lastRenderedPageBreak/>
          <m:t xml:space="preserve">D = </m:t>
        </m:r>
        <m:func>
          <m:funcPr>
            <m:ctrlPr>
              <w:rPr>
                <w:rFonts w:ascii="Cambria Math" w:hAnsi="Cambria Math"/>
              </w:rPr>
            </m:ctrlPr>
          </m:funcPr>
          <m:fName>
            <m:r>
              <w:rPr>
                <w:rFonts w:ascii="Cambria Math" w:hAnsi="Cambria Math"/>
              </w:rPr>
              <m:t>sup</m:t>
            </m:r>
          </m:fName>
          <m:e>
            <m:r>
              <w:rPr>
                <w:rFonts w:ascii="Cambria Math" w:hAnsi="Cambria Math"/>
              </w:rPr>
              <m:t>|F₁(x) - F₂(x)|</m:t>
            </m:r>
          </m:e>
        </m:func>
      </m:oMath>
      <w:r>
        <w:rPr>
          <w:sz w:val="20"/>
          <w:szCs w:val="20"/>
        </w:rPr>
        <w:tab/>
        <w:t>(15)</w:t>
      </w:r>
    </w:p>
    <w:p w14:paraId="4FD9960A" w14:textId="77777777" w:rsidR="00532EE1" w:rsidRDefault="00000000">
      <w:pPr>
        <w:spacing w:after="160" w:line="276" w:lineRule="auto"/>
        <w:ind w:firstLine="397"/>
        <w:jc w:val="both"/>
      </w:pPr>
      <w:r>
        <w:t>gde su F₁ i F₂ empirijske kumulativne funkcije raspodele numeričkog atributa za dva turnira, a D je maksimalna apsolutna razlika između njih (statistika Kolmogorov-Smirnov testa). Ovaj test je direktno relevantan za tumačenje validacionih rezultata u koraku 3.6.</w:t>
      </w:r>
    </w:p>
    <w:p w14:paraId="695DD299" w14:textId="77777777" w:rsidR="00532EE1" w:rsidRDefault="00000000">
      <w:pPr>
        <w:pStyle w:val="Heading2"/>
      </w:pPr>
      <w:r>
        <w:t>3.3. Priprema i pretprocesiranje podataka</w:t>
      </w:r>
    </w:p>
    <w:p w14:paraId="4F653709" w14:textId="77777777" w:rsidR="00532EE1" w:rsidRDefault="00000000">
      <w:pPr>
        <w:spacing w:after="160" w:line="276" w:lineRule="auto"/>
        <w:ind w:firstLine="397"/>
        <w:jc w:val="both"/>
      </w:pPr>
      <w:r>
        <w:t>Treći korak obuhvatio je čišćenje podataka, kodiranje kategorijskih promenljivih (one-hot encoding), grupisanje retkih kategorija i formalnu proveru pretpostavki logističke regresije:</w:t>
      </w:r>
    </w:p>
    <w:p w14:paraId="78FD2CFB" w14:textId="77777777" w:rsidR="00532EE1" w:rsidRDefault="00000000">
      <w:pPr>
        <w:pStyle w:val="ListParagraph"/>
        <w:numPr>
          <w:ilvl w:val="0"/>
          <w:numId w:val="3"/>
        </w:numPr>
        <w:spacing w:after="80"/>
      </w:pPr>
      <w:r>
        <w:t>Multikolinearnost (VIF, Variance Inflation Factor): utvrđeno je da udaljenost golmana od šutera ima VIF preko 25 zbog korelacije sa udaljenosti šutera od gola. VIF za i-ti atribut se računa kao:</w:t>
      </w:r>
    </w:p>
    <w:p w14:paraId="23B39BC9" w14:textId="77777777" w:rsidR="00532EE1" w:rsidRDefault="00000000">
      <w:pPr>
        <w:tabs>
          <w:tab w:val="right" w:pos="9000"/>
        </w:tabs>
        <w:spacing w:before="160" w:after="200"/>
        <w:jc w:val="center"/>
      </w:pPr>
      <m:oMath>
        <m:sSub>
          <m:sSubPr>
            <m:ctrlPr>
              <w:rPr>
                <w:rFonts w:ascii="Cambria Math" w:hAnsi="Cambria Math"/>
              </w:rPr>
            </m:ctrlPr>
          </m:sSubPr>
          <m:e>
            <m:r>
              <w:rPr>
                <w:rFonts w:ascii="Cambria Math" w:hAnsi="Cambria Math"/>
              </w:rPr>
              <m:t>VIF</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 xml:space="preserve">1 - </m:t>
            </m:r>
            <m:sSup>
              <m:sSupPr>
                <m:ctrlPr>
                  <w:rPr>
                    <w:rFonts w:ascii="Cambria Math" w:hAnsi="Cambria Math"/>
                  </w:rPr>
                </m:ctrlPr>
              </m:sSupPr>
              <m:e>
                <m:sSub>
                  <m:sSubPr>
                    <m:ctrlPr>
                      <w:rPr>
                        <w:rFonts w:ascii="Cambria Math" w:hAnsi="Cambria Math"/>
                      </w:rPr>
                    </m:ctrlPr>
                  </m:sSubPr>
                  <m:e>
                    <m:r>
                      <w:rPr>
                        <w:rFonts w:ascii="Cambria Math" w:hAnsi="Cambria Math"/>
                      </w:rPr>
                      <m:t>R</m:t>
                    </m:r>
                  </m:e>
                  <m:sub>
                    <m:r>
                      <w:rPr>
                        <w:rFonts w:ascii="Cambria Math" w:hAnsi="Cambria Math"/>
                      </w:rPr>
                      <m:t>i</m:t>
                    </m:r>
                  </m:sub>
                </m:sSub>
              </m:e>
              <m:sup>
                <m:r>
                  <w:rPr>
                    <w:rFonts w:ascii="Cambria Math" w:hAnsi="Cambria Math"/>
                  </w:rPr>
                  <m:t>2</m:t>
                </m:r>
              </m:sup>
            </m:sSup>
          </m:den>
        </m:f>
      </m:oMath>
      <w:r>
        <w:rPr>
          <w:sz w:val="20"/>
          <w:szCs w:val="20"/>
        </w:rPr>
        <w:tab/>
        <w:t>(9)</w:t>
      </w:r>
    </w:p>
    <w:p w14:paraId="3C6C3893" w14:textId="77777777" w:rsidR="00532EE1" w:rsidRDefault="00000000">
      <w:pPr>
        <w:spacing w:after="160" w:line="276" w:lineRule="auto"/>
        <w:ind w:firstLine="397"/>
        <w:jc w:val="both"/>
      </w:pPr>
      <w:r>
        <w:t>gde je Rᵢ² koeficijent determinacije iz regresije i-tog atributa na sve ostale atribute u modelu. Vrednost VIF preko 5 do 10 se uobičajeno smatra znakom problematične multikolinearnosti. Problem je rešen zamenom apsolutne udaljenosti golmana sa rezidualom (anomalijom) u odnosu na očekivanu poziciju golmana za datu udaljenost šuta:</w:t>
      </w:r>
    </w:p>
    <w:p w14:paraId="1EC32EFB" w14:textId="77777777" w:rsidR="00532EE1" w:rsidRDefault="00000000">
      <w:pPr>
        <w:tabs>
          <w:tab w:val="right" w:pos="9000"/>
        </w:tabs>
        <w:spacing w:before="160" w:after="200"/>
        <w:jc w:val="center"/>
      </w:pPr>
      <m:oMath>
        <m:r>
          <w:rPr>
            <w:rFonts w:ascii="Cambria Math" w:hAnsi="Cambria Math"/>
          </w:rPr>
          <m:t xml:space="preserve">anomaly = </m:t>
        </m:r>
        <m:sSub>
          <m:sSubPr>
            <m:ctrlPr>
              <w:rPr>
                <w:rFonts w:ascii="Cambria Math" w:hAnsi="Cambria Math"/>
              </w:rPr>
            </m:ctrlPr>
          </m:sSubPr>
          <m:e>
            <m:r>
              <w:rPr>
                <w:rFonts w:ascii="Cambria Math" w:hAnsi="Cambria Math"/>
              </w:rPr>
              <m:t>d</m:t>
            </m:r>
          </m:e>
          <m:sub>
            <m:r>
              <w:rPr>
                <w:rFonts w:ascii="Cambria Math" w:hAnsi="Cambria Math"/>
              </w:rPr>
              <m:t>gk</m:t>
            </m:r>
          </m:sub>
        </m:sSub>
        <m:r>
          <w:rPr>
            <w:rFonts w:ascii="Cambria Math" w:hAnsi="Cambria Math"/>
          </w:rPr>
          <m:t xml:space="preserve"> - (a·</m:t>
        </m:r>
        <m:sSub>
          <m:sSubPr>
            <m:ctrlPr>
              <w:rPr>
                <w:rFonts w:ascii="Cambria Math" w:hAnsi="Cambria Math"/>
              </w:rPr>
            </m:ctrlPr>
          </m:sSubPr>
          <m:e>
            <m:r>
              <w:rPr>
                <w:rFonts w:ascii="Cambria Math" w:hAnsi="Cambria Math"/>
              </w:rPr>
              <m:t>d</m:t>
            </m:r>
          </m:e>
          <m:sub>
            <m:r>
              <w:rPr>
                <w:rFonts w:ascii="Cambria Math" w:hAnsi="Cambria Math"/>
              </w:rPr>
              <m:t>shot</m:t>
            </m:r>
          </m:sub>
        </m:sSub>
        <m:r>
          <w:rPr>
            <w:rFonts w:ascii="Cambria Math" w:hAnsi="Cambria Math"/>
          </w:rPr>
          <m:t xml:space="preserve"> + b)</m:t>
        </m:r>
      </m:oMath>
      <w:r>
        <w:rPr>
          <w:sz w:val="20"/>
          <w:szCs w:val="20"/>
        </w:rPr>
        <w:tab/>
        <w:t>(16)</w:t>
      </w:r>
    </w:p>
    <w:p w14:paraId="40EE02EA" w14:textId="77777777" w:rsidR="00532EE1" w:rsidRDefault="00000000">
      <w:pPr>
        <w:spacing w:after="160" w:line="276" w:lineRule="auto"/>
        <w:ind w:firstLine="397"/>
        <w:jc w:val="both"/>
      </w:pPr>
      <w:r>
        <w:t>gde su a i b koeficijenti proste linearne regresije udaljenosti golmana (d_gk) na udaljenost šuta (d_shot), procenjeni na celom skupu podataka. Ovom transformacijom VIF je spušten ispod 2.</w:t>
      </w:r>
    </w:p>
    <w:p w14:paraId="05F29989" w14:textId="77777777" w:rsidR="00532EE1" w:rsidRDefault="00000000">
      <w:pPr>
        <w:spacing w:after="160" w:line="276" w:lineRule="auto"/>
        <w:ind w:firstLine="397"/>
        <w:jc w:val="both"/>
      </w:pPr>
      <w:r>
        <w:t>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14:paraId="46F8DE08" w14:textId="77777777" w:rsidR="00532EE1" w:rsidRDefault="00000000">
      <w:pPr>
        <w:pStyle w:val="ListParagraph"/>
        <w:numPr>
          <w:ilvl w:val="0"/>
          <w:numId w:val="3"/>
        </w:numPr>
        <w:spacing w:after="80"/>
      </w:pPr>
      <w:r>
        <w:t>Linearnost logita (Box-Tidwell test): utvrđeno je da udaljenost od gola i ugao šuta narušavaju pretpostavku linearnosti logita. Box-Tidwell test se sprovodi dodavanjem interakcionog člana x·ln(x) u logistički model:</w:t>
      </w:r>
    </w:p>
    <w:p w14:paraId="546ABAC3" w14:textId="77777777" w:rsidR="00532EE1" w:rsidRDefault="00000000">
      <w:pPr>
        <w:tabs>
          <w:tab w:val="right" w:pos="9000"/>
        </w:tabs>
        <w:spacing w:before="160" w:after="200"/>
        <w:jc w:val="center"/>
      </w:pPr>
      <m:oMath>
        <m:r>
          <w:rPr>
            <w:rFonts w:ascii="Cambria Math" w:hAnsi="Cambria Math"/>
          </w:rPr>
          <m:t>logit(p) = β₀ + β₁x + β₂ x·ln(x)</m:t>
        </m:r>
      </m:oMath>
      <w:r>
        <w:rPr>
          <w:sz w:val="20"/>
          <w:szCs w:val="20"/>
        </w:rPr>
        <w:tab/>
        <w:t>(10)</w:t>
      </w:r>
    </w:p>
    <w:p w14:paraId="1D8BAD39" w14:textId="77777777" w:rsidR="00532EE1" w:rsidRDefault="00000000">
      <w:pPr>
        <w:spacing w:after="160" w:line="276" w:lineRule="auto"/>
        <w:ind w:firstLine="397"/>
        <w:jc w:val="both"/>
      </w:pPr>
      <w:r>
        <w:t>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14:paraId="12812A25" w14:textId="77777777" w:rsidR="00532EE1" w:rsidRDefault="00000000">
      <w:pPr>
        <w:pStyle w:val="ListParagraph"/>
        <w:numPr>
          <w:ilvl w:val="0"/>
          <w:numId w:val="3"/>
        </w:numPr>
        <w:spacing w:after="80"/>
      </w:pPr>
      <w:r>
        <w:t>Neuravnoteženost klasa: odnos ne-gol prema gol je približno 9,7 prema 1, što je ocenjeno kao umerena, ne ekstremna neuravnoteženost. Rešeno je ponderisanjem klasa (class_weight u logističkoj regresiji, scale_pos_weight u XGBoost-u) izvedenim direktno iz stvarnog odnosa klasa u podacima, bez veštačkog resampling-a.</w:t>
      </w:r>
    </w:p>
    <w:p w14:paraId="003A7708" w14:textId="77777777" w:rsidR="00532EE1" w:rsidRDefault="00000000">
      <w:pPr>
        <w:pStyle w:val="ListParagraph"/>
        <w:numPr>
          <w:ilvl w:val="0"/>
          <w:numId w:val="3"/>
        </w:numPr>
        <w:spacing w:after="80"/>
      </w:pPr>
      <w:r>
        <w:lastRenderedPageBreak/>
        <w:t>Retke kategorije: tipovi šuta Corner (6 opservacija, 0 golova) i Free Kick (130 opservacija, 3 gola) uzrokovali su kvazi-savršenu separaciju u logističkoj regresiji. Rešeno je agregacijom u jedinstvenu kategoriju Set Piece pre kodiranja.</w:t>
      </w:r>
    </w:p>
    <w:p w14:paraId="5DF51A1D" w14:textId="77777777" w:rsidR="00532EE1" w:rsidRDefault="00000000">
      <w:pPr>
        <w:pStyle w:val="Heading2"/>
      </w:pPr>
      <w:r>
        <w:t>3.4. Definisanje dva skupa atributa</w:t>
      </w:r>
    </w:p>
    <w:p w14:paraId="1EF7AAD2" w14:textId="77777777" w:rsidR="00532EE1" w:rsidRDefault="00000000">
      <w:pPr>
        <w:spacing w:after="160" w:line="276" w:lineRule="auto"/>
        <w:ind w:firstLine="397"/>
        <w:jc w:val="both"/>
      </w:pPr>
      <w:r>
        <w:t>Centralna teza rada zahteva eksplicitno poređenje dva modela, ne samo apsolutnu procenu jednog modela. Model A koristi isključivo klasične event atribute: udaljenost od gola, ugao šuta, minut meča, deo tela, tehniku, tip akcije, tip šuta, stanje rezultata, da li je šut izveden pod pritiskom i da li je prvim dodirom. Model B sadrži sve atribute Modela A, uz dodatak StatsBomb 360 prostornih atributa: broj branilaca u liniji šuta, broj saigrača u istoj zoni, broj protivnika u krugu od 5 metara, otvorenost ugla ka golu (udeo gol-okvira koji nije zaklonjen), anomaliju pozicije golmana, najbližu udaljenost branioca od linije šuta i kontinuiranu meru defanzivnog pritiska.</w:t>
      </w:r>
    </w:p>
    <w:p w14:paraId="1E610BD0" w14:textId="77777777" w:rsidR="00532EE1" w:rsidRDefault="00000000">
      <w:pPr>
        <w:spacing w:after="160" w:line="276" w:lineRule="auto"/>
        <w:ind w:firstLine="397"/>
        <w:jc w:val="both"/>
      </w:pPr>
      <w:r>
        <w:t>Razlika u performansu i interpretaciji između ova dva modela predstavlja glavni rezultat rada, jer direktno odgovara na pitanje koliko prostorni podaci doprinose proceni.</w:t>
      </w:r>
    </w:p>
    <w:p w14:paraId="0C0EF605" w14:textId="77777777" w:rsidR="00532EE1" w:rsidRDefault="00000000">
      <w:pPr>
        <w:pStyle w:val="Heading2"/>
      </w:pPr>
      <w:r>
        <w:t>3.5. Razvoj prediktivnih modela</w:t>
      </w:r>
    </w:p>
    <w:p w14:paraId="3500CDEC" w14:textId="77777777" w:rsidR="00532EE1" w:rsidRDefault="00000000">
      <w:pPr>
        <w:spacing w:after="160" w:line="276" w:lineRule="auto"/>
        <w:ind w:firstLine="397"/>
        <w:jc w:val="both"/>
      </w:pPr>
      <w:r>
        <w:t>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14:paraId="7AE8A1BC" w14:textId="77777777" w:rsidR="00532EE1" w:rsidRDefault="00000000">
      <w:pPr>
        <w:tabs>
          <w:tab w:val="right" w:pos="9000"/>
        </w:tabs>
        <w:spacing w:before="160" w:after="200"/>
        <w:jc w:val="center"/>
      </w:pPr>
      <m:oMath>
        <m:r>
          <w:rPr>
            <w:rFonts w:ascii="Cambria Math" w:hAnsi="Cambria Math"/>
          </w:rPr>
          <m:t>logit(p) = ln</m:t>
        </m:r>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1 - p</m:t>
                </m:r>
              </m:den>
            </m:f>
          </m:e>
        </m:d>
        <m:r>
          <w:rPr>
            <w:rFonts w:ascii="Cambria Math" w:hAnsi="Cambria Math"/>
          </w:rPr>
          <m:t xml:space="preserve"> = </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 ⋯ + </m:t>
        </m:r>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x</m:t>
            </m:r>
          </m:e>
          <m:sub>
            <m:r>
              <w:rPr>
                <w:rFonts w:ascii="Cambria Math" w:hAnsi="Cambria Math"/>
              </w:rPr>
              <m:t>k</m:t>
            </m:r>
          </m:sub>
        </m:sSub>
      </m:oMath>
      <w:r>
        <w:rPr>
          <w:sz w:val="20"/>
          <w:szCs w:val="20"/>
        </w:rPr>
        <w:tab/>
        <w:t>(6)</w:t>
      </w:r>
    </w:p>
    <w:p w14:paraId="4991A2AE" w14:textId="77777777" w:rsidR="00532EE1" w:rsidRDefault="00000000">
      <w:pPr>
        <w:spacing w:after="160" w:line="276" w:lineRule="auto"/>
        <w:ind w:firstLine="397"/>
        <w:jc w:val="both"/>
      </w:pPr>
      <w:r>
        <w:t>gde je p verovatnoća gola, a β₀, β₁, ..., βₖ koeficijenti modela procenjeni metodom maksimalne verodostojnosti. Predviđena verovatnoća se zatim dobija primenom sigmoid (logističke) funkcije na linearnu kombinaciju z:</w:t>
      </w:r>
    </w:p>
    <w:p w14:paraId="731AD0F0" w14:textId="77777777" w:rsidR="00532EE1" w:rsidRDefault="00000000">
      <w:pPr>
        <w:tabs>
          <w:tab w:val="right" w:pos="9000"/>
        </w:tabs>
        <w:spacing w:before="160" w:after="200"/>
        <w:jc w:val="center"/>
      </w:pPr>
      <m:oMath>
        <m:r>
          <w:rPr>
            <w:rFonts w:ascii="Cambria Math" w:hAnsi="Cambria Math"/>
          </w:rPr>
          <m:t xml:space="preserve">p = </m:t>
        </m:r>
        <m:f>
          <m:fPr>
            <m:ctrlPr>
              <w:rPr>
                <w:rFonts w:ascii="Cambria Math" w:hAnsi="Cambria Math"/>
              </w:rPr>
            </m:ctrlPr>
          </m:fPr>
          <m:num>
            <m:r>
              <w:rPr>
                <w:rFonts w:ascii="Cambria Math" w:hAnsi="Cambria Math"/>
              </w:rPr>
              <m:t>1</m:t>
            </m:r>
          </m:num>
          <m:den>
            <m:r>
              <w:rPr>
                <w:rFonts w:ascii="Cambria Math" w:hAnsi="Cambria Math"/>
              </w:rPr>
              <m:t xml:space="preserve">1 + </m:t>
            </m:r>
            <m:sSup>
              <m:sSupPr>
                <m:ctrlPr>
                  <w:rPr>
                    <w:rFonts w:ascii="Cambria Math" w:hAnsi="Cambria Math"/>
                  </w:rPr>
                </m:ctrlPr>
              </m:sSupPr>
              <m:e>
                <m:r>
                  <w:rPr>
                    <w:rFonts w:ascii="Cambria Math" w:hAnsi="Cambria Math"/>
                  </w:rPr>
                  <m:t>e</m:t>
                </m:r>
              </m:e>
              <m:sup>
                <m:r>
                  <w:rPr>
                    <w:rFonts w:ascii="Cambria Math" w:hAnsi="Cambria Math"/>
                  </w:rPr>
                  <m:t>-z</m:t>
                </m:r>
              </m:sup>
            </m:sSup>
          </m:den>
        </m:f>
        <m:r>
          <w:rPr>
            <w:rFonts w:ascii="Cambria Math" w:hAnsi="Cambria Math"/>
          </w:rPr>
          <m:t xml:space="preserve">,   z = </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β</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e>
        </m:nary>
      </m:oMath>
      <w:r>
        <w:rPr>
          <w:sz w:val="20"/>
          <w:szCs w:val="20"/>
        </w:rPr>
        <w:tab/>
        <w:t>(7)</w:t>
      </w:r>
    </w:p>
    <w:p w14:paraId="66CE7E52" w14:textId="77777777" w:rsidR="00532EE1" w:rsidRDefault="00000000">
      <w:pPr>
        <w:spacing w:after="160" w:line="276" w:lineRule="auto"/>
        <w:ind w:firstLine="397"/>
        <w:jc w:val="both"/>
      </w:pPr>
      <w:r>
        <w:t>Hiperparametri su podešavani metodom Randomized Search uz unutrašnju petokratnu Stratified K-Fold unakrsnu validaciju, čime je obezbeđeno da test podaci nikada nisu učestvovali u procesu podešavanja.</w:t>
      </w:r>
    </w:p>
    <w:p w14:paraId="1AD108A7" w14:textId="77777777" w:rsidR="00532EE1" w:rsidRDefault="00000000">
      <w:pPr>
        <w:pStyle w:val="Heading2"/>
      </w:pPr>
      <w:r>
        <w:t>3.6. Validacija modela</w:t>
      </w:r>
    </w:p>
    <w:p w14:paraId="6045A19E" w14:textId="77777777" w:rsidR="00532EE1" w:rsidRDefault="00000000">
      <w:pPr>
        <w:spacing w:after="160" w:line="276" w:lineRule="auto"/>
        <w:ind w:firstLine="397"/>
        <w:jc w:val="both"/>
      </w:pPr>
      <w:r>
        <w:t>Validacija je sprovedena u dva nivoa koji odgovaraju na različita pitanja:</w:t>
      </w:r>
    </w:p>
    <w:p w14:paraId="6A561804" w14:textId="77777777" w:rsidR="00532EE1" w:rsidRDefault="00000000">
      <w:pPr>
        <w:pStyle w:val="ListParagraph"/>
        <w:numPr>
          <w:ilvl w:val="0"/>
          <w:numId w:val="2"/>
        </w:numPr>
        <w:spacing w:after="80"/>
      </w:pPr>
      <w:r>
        <w:t>Stratified K-Fold (5 foldova): koliko model radi na podacima iz iste distribucije kao i podaci za treniranje.</w:t>
      </w:r>
    </w:p>
    <w:p w14:paraId="03E447B2" w14:textId="77777777" w:rsidR="00532EE1" w:rsidRDefault="00000000">
      <w:pPr>
        <w:pStyle w:val="ListParagraph"/>
        <w:numPr>
          <w:ilvl w:val="0"/>
          <w:numId w:val="2"/>
        </w:numPr>
        <w:spacing w:after="80"/>
      </w:pPr>
      <w:r>
        <w:t>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14:paraId="679F1CE7" w14:textId="77777777" w:rsidR="00532EE1" w:rsidRDefault="00000000">
      <w:pPr>
        <w:spacing w:after="160" w:line="276" w:lineRule="auto"/>
        <w:ind w:firstLine="397"/>
        <w:jc w:val="both"/>
      </w:pPr>
      <w:r>
        <w:lastRenderedPageBreak/>
        <w:t>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14:paraId="5E24AE52" w14:textId="77777777" w:rsidR="00532EE1" w:rsidRDefault="00000000">
      <w:pPr>
        <w:pStyle w:val="Heading2"/>
      </w:pPr>
      <w:r>
        <w:t>3.7. Evaluacija diskriminacije i kalibracije</w:t>
      </w:r>
    </w:p>
    <w:p w14:paraId="404068EA" w14:textId="77777777" w:rsidR="00532EE1" w:rsidRDefault="00000000">
      <w:pPr>
        <w:spacing w:after="160" w:line="276" w:lineRule="auto"/>
        <w:ind w:firstLine="397"/>
        <w:jc w:val="both"/>
      </w:pPr>
      <w:r>
        <w:t>Modeli su evaluirani po dve nezavisne dimenzije kvaliteta. Diskriminacija, odnosno da li model ispravno rangira šuteve po riziku, merena je preko ROC AUC, Precision-Recall AUC (PR AUC, posebno informativan kod neuravnoteženih klasa), preciznosti, odziva, F1 mere i matrice konfuzije. Kalibracija, odnosno da li predviđena verovatnoća brojčano odgovara stvarnoj frekvenciji ishoda, merena je preko Brier skora, koji predstavlja srednju kvadratnu grešku između predviđene verovatnoće pᵢ i stvarnog binarnog ishoda oᵢ za svih N opservacija:</w:t>
      </w:r>
    </w:p>
    <w:p w14:paraId="0205ACC8" w14:textId="77777777" w:rsidR="00532EE1" w:rsidRDefault="00000000">
      <w:pPr>
        <w:tabs>
          <w:tab w:val="right" w:pos="9000"/>
        </w:tabs>
        <w:spacing w:before="160" w:after="200"/>
        <w:jc w:val="center"/>
      </w:pPr>
      <m:oMath>
        <m:r>
          <w:rPr>
            <w:rFonts w:ascii="Cambria Math" w:hAnsi="Cambria Math"/>
          </w:rPr>
          <m:t xml:space="preserve">BS = </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r>
                      <w:rPr>
                        <w:rFonts w:ascii="Cambria Math" w:hAnsi="Cambria Math"/>
                      </w:rPr>
                      <m:t>pᵢ - oᵢ</m:t>
                    </m:r>
                  </m:e>
                </m:d>
              </m:e>
              <m:sup>
                <m:r>
                  <w:rPr>
                    <w:rFonts w:ascii="Cambria Math" w:hAnsi="Cambria Math"/>
                  </w:rPr>
                  <m:t>2</m:t>
                </m:r>
              </m:sup>
            </m:sSup>
          </m:e>
        </m:nary>
      </m:oMath>
      <w:r>
        <w:rPr>
          <w:sz w:val="20"/>
          <w:szCs w:val="20"/>
        </w:rPr>
        <w:tab/>
        <w:t>(11)</w:t>
      </w:r>
    </w:p>
    <w:p w14:paraId="2EC22AFB" w14:textId="77777777" w:rsidR="00532EE1" w:rsidRDefault="00000000">
      <w:pPr>
        <w:spacing w:after="160" w:line="276" w:lineRule="auto"/>
        <w:ind w:firstLine="397"/>
        <w:jc w:val="both"/>
      </w:pPr>
      <w:r>
        <w:t>i preko kalibracione krive (reliability diagram), koja vizuelno prikazuje odnos predviđene verovatnoće i stvarne frekvencije ishoda po binovima.</w:t>
      </w:r>
    </w:p>
    <w:p w14:paraId="69F7AD1C" w14:textId="77777777" w:rsidR="00532EE1" w:rsidRDefault="00000000">
      <w:pPr>
        <w:spacing w:after="160" w:line="276" w:lineRule="auto"/>
        <w:ind w:firstLine="397"/>
        <w:jc w:val="both"/>
      </w:pPr>
      <w:r>
        <w:t>Vizuelna provera kalibracione krive otkrila je da sirovi modeli sistematski precenjuju verovatnoću gola u višem opsegu predviđenih vrednosti, što je očekivana posledica ponderisanja klasa radi poboljšanja diskriminacije manjinske klase. Stoga je primenjena post-hoc kalibracija metodom izotone regresije. Ključno: kalibraciona funkcija je naučena isključivo na trening delu svakog spoljnog folda (putem CalibratedClassifierCV sa unutrašnjom 3-fold validacijom), a nikada na test skupu na kome se izveštava finalni Brier skor. Ovim se izbegava optimistička pristrasnost koja bi nastala ako bi kalibrator video test labele tokom treniranja. Izveštavaju se i nekalibrisan i kalibrisan Brier skor, da bi čitalac mogao da proceni korist kalibracije nezavisno od leakage-a.</w:t>
      </w:r>
    </w:p>
    <w:p w14:paraId="5DB8F86A" w14:textId="77777777" w:rsidR="00532EE1" w:rsidRDefault="00000000">
      <w:pPr>
        <w:pStyle w:val="Heading2"/>
      </w:pPr>
      <w:r>
        <w:t>3.8. Interpretacija modela</w:t>
      </w:r>
    </w:p>
    <w:p w14:paraId="1C1EF445" w14:textId="77777777" w:rsidR="00532EE1" w:rsidRDefault="00000000">
      <w:pPr>
        <w:spacing w:after="160" w:line="276" w:lineRule="auto"/>
        <w:ind w:firstLine="397"/>
        <w:jc w:val="both"/>
      </w:pPr>
      <w:r>
        <w:t>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14:paraId="6A8DB4E9" w14:textId="77777777" w:rsidR="00532EE1" w:rsidRDefault="00000000">
      <w:pPr>
        <w:tabs>
          <w:tab w:val="right" w:pos="9000"/>
        </w:tabs>
        <w:spacing w:before="160" w:after="200"/>
        <w:jc w:val="center"/>
      </w:pPr>
      <m:oMath>
        <m:r>
          <w:rPr>
            <w:rFonts w:ascii="Cambria Math" w:hAnsi="Cambria Math"/>
          </w:rPr>
          <m:t xml:space="preserve">OR = </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β</m:t>
                </m:r>
              </m:e>
              <m:sub>
                <m:r>
                  <w:rPr>
                    <w:rFonts w:ascii="Cambria Math" w:hAnsi="Cambria Math"/>
                  </w:rPr>
                  <m:t>i</m:t>
                </m:r>
              </m:sub>
            </m:sSub>
          </m:sup>
        </m:sSup>
      </m:oMath>
      <w:r>
        <w:rPr>
          <w:sz w:val="20"/>
          <w:szCs w:val="20"/>
        </w:rPr>
        <w:tab/>
        <w:t>(8)</w:t>
      </w:r>
    </w:p>
    <w:p w14:paraId="5962312D" w14:textId="77777777" w:rsidR="00532EE1" w:rsidRDefault="00000000">
      <w:pPr>
        <w:spacing w:after="160" w:line="276" w:lineRule="auto"/>
        <w:ind w:firstLine="397"/>
        <w:jc w:val="both"/>
      </w:pPr>
      <w:r>
        <w:t>Vrednost OR veća od 1 ukazuje na pozitivan efekat atributa na šansu gola, a vrednost manja od 1 na negativan efekat.</w:t>
      </w:r>
    </w:p>
    <w:p w14:paraId="27055FB8" w14:textId="77777777" w:rsidR="00532EE1" w:rsidRDefault="00000000">
      <w:pPr>
        <w:spacing w:after="160" w:line="276" w:lineRule="auto"/>
        <w:ind w:firstLine="397"/>
        <w:jc w:val="both"/>
      </w:pPr>
      <w:r>
        <w:t>Za XGBoost je primenjena SHAP (SHapley Additive exPlanations) analiza, koja predikciju modela za konkretnu opservaciju f(x) rastavlja na zbir bazne vrednosti φ₀ (prosečna predikcija na celom skupu) i doprinosa svakog atributa φᵢ:</w:t>
      </w:r>
    </w:p>
    <w:p w14:paraId="1435DD8E" w14:textId="77777777" w:rsidR="00532EE1" w:rsidRDefault="00000000">
      <w:pPr>
        <w:tabs>
          <w:tab w:val="right" w:pos="9000"/>
        </w:tabs>
        <w:spacing w:before="160" w:after="200"/>
        <w:jc w:val="center"/>
      </w:pPr>
      <m:oMath>
        <m:r>
          <w:rPr>
            <w:rFonts w:ascii="Cambria Math" w:hAnsi="Cambria Math"/>
          </w:rPr>
          <w:lastRenderedPageBreak/>
          <m:t xml:space="preserve">f(x) = φ₀ + </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φ</m:t>
                </m:r>
              </m:e>
              <m:sub>
                <m:r>
                  <w:rPr>
                    <w:rFonts w:ascii="Cambria Math" w:hAnsi="Cambria Math"/>
                  </w:rPr>
                  <m:t>i</m:t>
                </m:r>
              </m:sub>
            </m:sSub>
          </m:e>
        </m:nary>
      </m:oMath>
      <w:r>
        <w:rPr>
          <w:sz w:val="20"/>
          <w:szCs w:val="20"/>
        </w:rPr>
        <w:tab/>
        <w:t>(12)</w:t>
      </w:r>
    </w:p>
    <w:p w14:paraId="71813D8A" w14:textId="77777777" w:rsidR="00532EE1" w:rsidRDefault="00000000">
      <w:pPr>
        <w:spacing w:after="160" w:line="276" w:lineRule="auto"/>
        <w:ind w:firstLine="397"/>
        <w:jc w:val="both"/>
      </w:pPr>
      <w:r>
        <w:t>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14:paraId="0622D6BD" w14:textId="77777777" w:rsidR="00532EE1" w:rsidRDefault="00000000">
      <w:pPr>
        <w:pStyle w:val="Heading2"/>
      </w:pPr>
      <w:r>
        <w:t>3.9. Diskusija</w:t>
      </w:r>
    </w:p>
    <w:p w14:paraId="0194D107" w14:textId="77777777" w:rsidR="00532EE1" w:rsidRDefault="00000000">
      <w:pPr>
        <w:spacing w:after="160" w:line="276" w:lineRule="auto"/>
        <w:ind w:firstLine="397"/>
        <w:jc w:val="both"/>
      </w:pPr>
      <w:r>
        <w:t>Završni korak metodologije objedinjuje nalaze iz prethodnih koraka u celovitu diskusiju o doprinosu StatsBomb 360 atributa, generalizaciji modela kroz turnire, praktičnoj primeni nalaza i ograničenjima istraživanja, što je detaljno razrađeno u poglavlju 5.</w:t>
      </w:r>
    </w:p>
    <w:p w14:paraId="4523AE25" w14:textId="77777777" w:rsidR="00532EE1" w:rsidRDefault="00000000">
      <w:pPr>
        <w:pStyle w:val="Heading1"/>
      </w:pPr>
      <w:r>
        <w:t>4. Rezultati</w:t>
      </w:r>
    </w:p>
    <w:p w14:paraId="04DC888E" w14:textId="77777777" w:rsidR="00532EE1" w:rsidRDefault="00000000">
      <w:pPr>
        <w:pStyle w:val="Heading2"/>
      </w:pPr>
      <w:r>
        <w:t>4.1. Deskriptivna statistika i testiranje hipoteza</w:t>
      </w:r>
    </w:p>
    <w:p w14:paraId="1B6F56A0" w14:textId="77777777" w:rsidR="00532EE1" w:rsidRDefault="00000000">
      <w:pPr>
        <w:spacing w:after="160" w:line="276" w:lineRule="auto"/>
        <w:ind w:firstLine="397"/>
        <w:jc w:val="both"/>
      </w:pPr>
      <w:r>
        <w:t>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14:paraId="195B03F5" w14:textId="77777777" w:rsidR="00532EE1" w:rsidRDefault="00000000">
      <w:pPr>
        <w:spacing w:after="160" w:line="276" w:lineRule="auto"/>
        <w:ind w:firstLine="397"/>
        <w:jc w:val="both"/>
      </w:pPr>
      <w:r>
        <w:t>Asocijacija između tipa akcije koja prethodi šutu i ishoda (H1) nije dostigla statističku značajnost na nivou α = 0,05 (hi-kvadrat = 14,996; p = 0,059), mada je rezultat granično blizu praga, što sugeriše mogući slab efekat koji bi veći uzorak mogao razjasniti.</w:t>
      </w:r>
    </w:p>
    <w:p w14:paraId="53B37A96" w14:textId="77777777" w:rsidR="00532EE1" w:rsidRDefault="00000000">
      <w:pPr>
        <w:spacing w:after="160" w:line="276" w:lineRule="auto"/>
        <w:ind w:firstLine="397"/>
        <w:jc w:val="both"/>
      </w:pPr>
      <w:r>
        <w:t>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14:paraId="2772A941" w14:textId="77777777" w:rsidR="00532EE1" w:rsidRDefault="00000000">
      <w:pPr>
        <w:spacing w:after="160" w:line="276" w:lineRule="auto"/>
        <w:ind w:firstLine="397"/>
        <w:jc w:val="both"/>
      </w:pPr>
      <w:r>
        <w:t>Stopa konverzije šuteva u gol statistički se značajno razlikuje između tri turnira (H4: hi-kvadrat = 8,336; p = 0,015), pri čemu Evropsko prvenstvo 2024 ima primetno nižu stopu (7,5%) u odnosu na Svetsko prvenstvo 2022 (10,6%) i Evropsko prvenstvo 2020 (9,9%).</w:t>
      </w:r>
    </w:p>
    <w:p w14:paraId="74D3F781" w14:textId="77777777" w:rsidR="00532EE1" w:rsidRDefault="00000000">
      <w:pPr>
        <w:spacing w:after="160" w:line="276" w:lineRule="auto"/>
        <w:ind w:firstLine="397"/>
        <w:jc w:val="both"/>
      </w:pPr>
      <w:r>
        <w:t>Formalni Kolmogorov-Smirnov test pokazao je da se raspodela udaljenosti od gola i ugla šuta statistički ne razlikuju značajno između bilo koja dva turnira (p &gt; 0,05 za sve parove). Ovo je ključan nalaz za tumačenje razlike u stopi konverzije: ako geometrija šuta, odnosno gde se šutira, nije različita na Evropskom prvenstvu 2024, a stopa konverzije jeste niža, razlika potiče iz finalizacije šanse (kvalitet izvedbe, slučajnost, golmani), a ne iz kvaliteta ili lokacije stvorenih šansi.</w:t>
      </w:r>
    </w:p>
    <w:p w14:paraId="02CB085A" w14:textId="77777777" w:rsidR="00532EE1" w:rsidRDefault="00000000">
      <w:pPr>
        <w:pStyle w:val="Heading2"/>
      </w:pPr>
      <w:r>
        <w:lastRenderedPageBreak/>
        <w:t>4.2. Performans modela: Stratified K-Fold validacija</w:t>
      </w:r>
    </w:p>
    <w:p w14:paraId="420C1B2B" w14:textId="77777777" w:rsidR="00532EE1" w:rsidRDefault="00000000">
      <w:pPr>
        <w:spacing w:before="60" w:after="240"/>
        <w:jc w:val="center"/>
      </w:pPr>
      <w:r>
        <w:rPr>
          <w:i/>
          <w:iCs/>
          <w:color w:val="444444"/>
          <w:sz w:val="18"/>
          <w:szCs w:val="18"/>
        </w:rPr>
        <w:t>Tabela 2. Rezultati Stratified K-Fold validacije (prosek kroz 5 foldova)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1500"/>
        <w:gridCol w:w="1500"/>
        <w:gridCol w:w="1500"/>
        <w:gridCol w:w="1500"/>
      </w:tblGrid>
      <w:tr w:rsidR="00532EE1" w14:paraId="3FA17114"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657B1C7C" w14:textId="77777777" w:rsidR="00532EE1" w:rsidRDefault="00000000">
            <w:pPr>
              <w:jc w:val="center"/>
            </w:pPr>
            <w:r>
              <w:rPr>
                <w:b/>
                <w:bCs/>
                <w:color w:val="FFFFFF"/>
                <w:sz w:val="19"/>
                <w:szCs w:val="19"/>
              </w:rPr>
              <w:t>Model</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F00A60D" w14:textId="77777777" w:rsidR="00532EE1" w:rsidRDefault="00000000">
            <w:pPr>
              <w:jc w:val="center"/>
            </w:pPr>
            <w:r>
              <w:rPr>
                <w:b/>
                <w:bCs/>
                <w:color w:val="FFFFFF"/>
                <w:sz w:val="19"/>
                <w:szCs w:val="19"/>
              </w:rPr>
              <w:t>ROC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16EF14DF" w14:textId="77777777" w:rsidR="00532EE1" w:rsidRDefault="00000000">
            <w:pPr>
              <w:jc w:val="center"/>
            </w:pPr>
            <w:r>
              <w:rPr>
                <w:b/>
                <w:bCs/>
                <w:color w:val="FFFFFF"/>
                <w:sz w:val="19"/>
                <w:szCs w:val="19"/>
              </w:rPr>
              <w:t>PR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6D0061D0" w14:textId="77777777" w:rsidR="00532EE1" w:rsidRDefault="00000000">
            <w:pPr>
              <w:jc w:val="center"/>
            </w:pPr>
            <w:r>
              <w:rPr>
                <w:b/>
                <w:bCs/>
                <w:color w:val="FFFFFF"/>
                <w:sz w:val="19"/>
                <w:szCs w:val="19"/>
              </w:rPr>
              <w:t>F1</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2B5483F" w14:textId="77777777" w:rsidR="00532EE1" w:rsidRDefault="00000000">
            <w:pPr>
              <w:jc w:val="center"/>
            </w:pPr>
            <w:r>
              <w:rPr>
                <w:b/>
                <w:bCs/>
                <w:color w:val="FFFFFF"/>
                <w:sz w:val="19"/>
                <w:szCs w:val="19"/>
              </w:rPr>
              <w:t>Brier skor</w:t>
            </w:r>
          </w:p>
        </w:tc>
      </w:tr>
      <w:tr w:rsidR="00532EE1" w14:paraId="4EA7D90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F7BDE17" w14:textId="77777777" w:rsidR="00532EE1" w:rsidRDefault="00000000">
            <w:r>
              <w:rPr>
                <w:sz w:val="19"/>
                <w:szCs w:val="19"/>
              </w:rPr>
              <w:t>Model A,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E03D952" w14:textId="77777777" w:rsidR="00532EE1" w:rsidRDefault="00000000">
            <w:pPr>
              <w:jc w:val="center"/>
            </w:pPr>
            <w:r>
              <w:rPr>
                <w:sz w:val="19"/>
                <w:szCs w:val="19"/>
              </w:rPr>
              <w:t>0,754</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4B4E4C6" w14:textId="77777777" w:rsidR="00532EE1" w:rsidRDefault="00000000">
            <w:pPr>
              <w:jc w:val="center"/>
            </w:pPr>
            <w:r>
              <w:rPr>
                <w:sz w:val="19"/>
                <w:szCs w:val="19"/>
              </w:rPr>
              <w:t>0,301</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1AB94C6F" w14:textId="77777777" w:rsidR="00532EE1" w:rsidRDefault="00000000">
            <w:pPr>
              <w:jc w:val="center"/>
            </w:pPr>
            <w:r>
              <w:rPr>
                <w:sz w:val="19"/>
                <w:szCs w:val="19"/>
              </w:rPr>
              <w:t>0,354</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1B60342" w14:textId="77777777" w:rsidR="00532EE1" w:rsidRDefault="00000000">
            <w:pPr>
              <w:jc w:val="center"/>
            </w:pPr>
            <w:r>
              <w:rPr>
                <w:sz w:val="19"/>
                <w:szCs w:val="19"/>
              </w:rPr>
              <w:t>0,076</w:t>
            </w:r>
          </w:p>
        </w:tc>
      </w:tr>
      <w:tr w:rsidR="00532EE1" w14:paraId="403FA94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83D205C" w14:textId="77777777" w:rsidR="00532EE1" w:rsidRDefault="00000000">
            <w:r>
              <w:rPr>
                <w:sz w:val="19"/>
                <w:szCs w:val="19"/>
              </w:rPr>
              <w:t>Model A,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C0F1BD8" w14:textId="77777777" w:rsidR="00532EE1" w:rsidRDefault="00000000">
            <w:pPr>
              <w:jc w:val="center"/>
            </w:pPr>
            <w:r>
              <w:rPr>
                <w:sz w:val="19"/>
                <w:szCs w:val="19"/>
              </w:rPr>
              <w:t>0,744</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6AAC3709" w14:textId="77777777" w:rsidR="00532EE1" w:rsidRDefault="00000000">
            <w:pPr>
              <w:jc w:val="center"/>
            </w:pPr>
            <w:r>
              <w:rPr>
                <w:sz w:val="19"/>
                <w:szCs w:val="19"/>
              </w:rPr>
              <w:t>0,289</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6BC840FD" w14:textId="77777777" w:rsidR="00532EE1" w:rsidRDefault="00000000">
            <w:pPr>
              <w:jc w:val="center"/>
            </w:pPr>
            <w:r>
              <w:rPr>
                <w:sz w:val="19"/>
                <w:szCs w:val="19"/>
              </w:rPr>
              <w:t>0,345</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C721940" w14:textId="77777777" w:rsidR="00532EE1" w:rsidRDefault="00000000">
            <w:pPr>
              <w:jc w:val="center"/>
            </w:pPr>
            <w:r>
              <w:rPr>
                <w:sz w:val="19"/>
                <w:szCs w:val="19"/>
              </w:rPr>
              <w:t>0,076</w:t>
            </w:r>
          </w:p>
        </w:tc>
      </w:tr>
      <w:tr w:rsidR="00532EE1" w14:paraId="4D6BDBF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54EF551" w14:textId="77777777" w:rsidR="00532EE1" w:rsidRDefault="00000000">
            <w:r>
              <w:rPr>
                <w:sz w:val="19"/>
                <w:szCs w:val="19"/>
              </w:rPr>
              <w:t>Model B,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126186B" w14:textId="77777777" w:rsidR="00532EE1" w:rsidRDefault="00000000">
            <w:pPr>
              <w:jc w:val="center"/>
            </w:pPr>
            <w:r>
              <w:rPr>
                <w:sz w:val="19"/>
                <w:szCs w:val="19"/>
              </w:rPr>
              <w:t>0,765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D837B3D" w14:textId="77777777" w:rsidR="00532EE1" w:rsidRDefault="00000000">
            <w:pPr>
              <w:jc w:val="center"/>
            </w:pPr>
            <w:r>
              <w:rPr>
                <w:sz w:val="19"/>
                <w:szCs w:val="19"/>
              </w:rPr>
              <w:t>0,309</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81BC01B" w14:textId="77777777" w:rsidR="00532EE1" w:rsidRDefault="00000000">
            <w:pPr>
              <w:jc w:val="center"/>
            </w:pPr>
            <w:r>
              <w:rPr>
                <w:sz w:val="19"/>
                <w:szCs w:val="19"/>
              </w:rPr>
              <w:t>0,383</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BA5A9B1" w14:textId="77777777" w:rsidR="00532EE1" w:rsidRDefault="00000000">
            <w:pPr>
              <w:jc w:val="center"/>
            </w:pPr>
            <w:r>
              <w:rPr>
                <w:sz w:val="19"/>
                <w:szCs w:val="19"/>
              </w:rPr>
              <w:t>0,076</w:t>
            </w:r>
          </w:p>
        </w:tc>
      </w:tr>
      <w:tr w:rsidR="00532EE1" w14:paraId="0AF377E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DE3804E" w14:textId="77777777" w:rsidR="00532EE1" w:rsidRDefault="00000000">
            <w:r>
              <w:rPr>
                <w:sz w:val="19"/>
                <w:szCs w:val="19"/>
              </w:rPr>
              <w:t>Model B,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BBE12CA" w14:textId="77777777" w:rsidR="00532EE1" w:rsidRDefault="00000000">
            <w:pPr>
              <w:jc w:val="center"/>
            </w:pPr>
            <w:r>
              <w:rPr>
                <w:sz w:val="19"/>
                <w:szCs w:val="19"/>
              </w:rPr>
              <w:t>0,758</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5E3C326" w14:textId="77777777" w:rsidR="00532EE1" w:rsidRDefault="00000000">
            <w:pPr>
              <w:jc w:val="center"/>
            </w:pPr>
            <w:r>
              <w:rPr>
                <w:sz w:val="19"/>
                <w:szCs w:val="19"/>
              </w:rPr>
              <w:t>0,294</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DC254A2" w14:textId="77777777" w:rsidR="00532EE1" w:rsidRDefault="00000000">
            <w:pPr>
              <w:jc w:val="center"/>
            </w:pPr>
            <w:r>
              <w:rPr>
                <w:sz w:val="19"/>
                <w:szCs w:val="19"/>
              </w:rPr>
              <w:t>0,376</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3359DCD" w14:textId="77777777" w:rsidR="00532EE1" w:rsidRDefault="00000000">
            <w:pPr>
              <w:jc w:val="center"/>
            </w:pPr>
            <w:r>
              <w:rPr>
                <w:sz w:val="19"/>
                <w:szCs w:val="19"/>
              </w:rPr>
              <w:t>0,159</w:t>
            </w:r>
          </w:p>
        </w:tc>
      </w:tr>
    </w:tbl>
    <w:p w14:paraId="394A7AE8" w14:textId="77777777" w:rsidR="00532EE1" w:rsidRDefault="00000000">
      <w:pPr>
        <w:spacing w:after="160" w:line="276" w:lineRule="auto"/>
        <w:ind w:firstLine="397"/>
        <w:jc w:val="both"/>
      </w:pPr>
      <w:r>
        <w:t>Model B nadmašuje Model A na svim metrikama, bez obzira na to koji algoritam je korišćen. Logistička regresija ostvaruje viši ROC AUC i PR AUC od XGBoost-a u oba slučaja, dok XGBoost ostvaruje niži, odnosno bolji Brier skor, što ukazuje da XGBoost ima blago slabiju diskriminaciju ali bolju kalibraciju u odnosu na logističku regresiju na ovom skupu podataka.</w:t>
      </w:r>
    </w:p>
    <w:p w14:paraId="7959E866" w14:textId="77777777" w:rsidR="00532EE1" w:rsidRDefault="00000000">
      <w:pPr>
        <w:pStyle w:val="Heading2"/>
      </w:pPr>
      <w:r>
        <w:t>4.3. Generalizacija kroz turnire: Leave-One-Tournament-Out validacija</w:t>
      </w:r>
    </w:p>
    <w:p w14:paraId="09359442" w14:textId="77777777" w:rsidR="00532EE1" w:rsidRDefault="00000000">
      <w:pPr>
        <w:spacing w:before="60" w:after="240"/>
        <w:jc w:val="center"/>
      </w:pPr>
      <w:r>
        <w:rPr>
          <w:i/>
          <w:iCs/>
          <w:color w:val="444444"/>
          <w:sz w:val="18"/>
          <w:szCs w:val="18"/>
        </w:rPr>
        <w:t>Tabela 3. Rezultati Leave-One-Tournament-Out validacije (prosek kroz tri turnira)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1500"/>
        <w:gridCol w:w="1500"/>
        <w:gridCol w:w="1500"/>
        <w:gridCol w:w="1500"/>
      </w:tblGrid>
      <w:tr w:rsidR="00532EE1" w14:paraId="2E749913"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67855D8C" w14:textId="77777777" w:rsidR="00532EE1" w:rsidRDefault="00000000">
            <w:pPr>
              <w:jc w:val="center"/>
            </w:pPr>
            <w:r>
              <w:rPr>
                <w:b/>
                <w:bCs/>
                <w:color w:val="FFFFFF"/>
                <w:sz w:val="19"/>
                <w:szCs w:val="19"/>
              </w:rPr>
              <w:t>Model</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262BF32" w14:textId="77777777" w:rsidR="00532EE1" w:rsidRDefault="00000000">
            <w:pPr>
              <w:jc w:val="center"/>
            </w:pPr>
            <w:r>
              <w:rPr>
                <w:b/>
                <w:bCs/>
                <w:color w:val="FFFFFF"/>
                <w:sz w:val="19"/>
                <w:szCs w:val="19"/>
              </w:rPr>
              <w:t>ROC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214D93E5" w14:textId="77777777" w:rsidR="00532EE1" w:rsidRDefault="00000000">
            <w:pPr>
              <w:jc w:val="center"/>
            </w:pPr>
            <w:r>
              <w:rPr>
                <w:b/>
                <w:bCs/>
                <w:color w:val="FFFFFF"/>
                <w:sz w:val="19"/>
                <w:szCs w:val="19"/>
              </w:rPr>
              <w:t>PR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82F6A8C" w14:textId="77777777" w:rsidR="00532EE1" w:rsidRDefault="00000000">
            <w:pPr>
              <w:jc w:val="center"/>
            </w:pPr>
            <w:r>
              <w:rPr>
                <w:b/>
                <w:bCs/>
                <w:color w:val="FFFFFF"/>
                <w:sz w:val="19"/>
                <w:szCs w:val="19"/>
              </w:rPr>
              <w:t>F1</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E1749BD" w14:textId="77777777" w:rsidR="00532EE1" w:rsidRDefault="00000000">
            <w:pPr>
              <w:jc w:val="center"/>
            </w:pPr>
            <w:r>
              <w:rPr>
                <w:b/>
                <w:bCs/>
                <w:color w:val="FFFFFF"/>
                <w:sz w:val="19"/>
                <w:szCs w:val="19"/>
              </w:rPr>
              <w:t>Brier skor</w:t>
            </w:r>
          </w:p>
        </w:tc>
      </w:tr>
      <w:tr w:rsidR="00532EE1" w14:paraId="0083C265"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A213755" w14:textId="77777777" w:rsidR="00532EE1" w:rsidRDefault="00000000">
            <w:r>
              <w:rPr>
                <w:sz w:val="19"/>
                <w:szCs w:val="19"/>
              </w:rPr>
              <w:t>Model A,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7549204" w14:textId="77777777" w:rsidR="00532EE1" w:rsidRDefault="00000000">
            <w:pPr>
              <w:jc w:val="center"/>
            </w:pPr>
            <w:r>
              <w:rPr>
                <w:sz w:val="19"/>
                <w:szCs w:val="19"/>
              </w:rPr>
              <w:t>0,760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2729101" w14:textId="77777777" w:rsidR="00532EE1" w:rsidRDefault="00000000">
            <w:pPr>
              <w:jc w:val="center"/>
            </w:pPr>
            <w:r>
              <w:rPr>
                <w:sz w:val="19"/>
                <w:szCs w:val="19"/>
              </w:rPr>
              <w:t>0,301</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03175E9" w14:textId="77777777" w:rsidR="00532EE1" w:rsidRDefault="00000000">
            <w:pPr>
              <w:jc w:val="center"/>
            </w:pPr>
            <w:r>
              <w:rPr>
                <w:sz w:val="19"/>
                <w:szCs w:val="19"/>
              </w:rPr>
              <w:t>0,350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4851503" w14:textId="77777777" w:rsidR="00532EE1" w:rsidRDefault="00000000">
            <w:pPr>
              <w:jc w:val="center"/>
            </w:pPr>
            <w:r>
              <w:rPr>
                <w:sz w:val="19"/>
                <w:szCs w:val="19"/>
              </w:rPr>
              <w:t>0,076</w:t>
            </w:r>
          </w:p>
        </w:tc>
      </w:tr>
      <w:tr w:rsidR="00532EE1" w14:paraId="03A34DB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9C549A8" w14:textId="77777777" w:rsidR="00532EE1" w:rsidRDefault="00000000">
            <w:r>
              <w:rPr>
                <w:sz w:val="19"/>
                <w:szCs w:val="19"/>
              </w:rPr>
              <w:t>Model A,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0A79A89" w14:textId="77777777" w:rsidR="00532EE1" w:rsidRDefault="00000000">
            <w:pPr>
              <w:jc w:val="center"/>
            </w:pPr>
            <w:r>
              <w:rPr>
                <w:sz w:val="19"/>
                <w:szCs w:val="19"/>
              </w:rPr>
              <w:t>0,760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8E019EA" w14:textId="77777777" w:rsidR="00532EE1" w:rsidRDefault="00000000">
            <w:pPr>
              <w:jc w:val="center"/>
            </w:pPr>
            <w:r>
              <w:rPr>
                <w:sz w:val="19"/>
                <w:szCs w:val="19"/>
              </w:rPr>
              <w:t>0,293</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84EFCEE" w14:textId="77777777" w:rsidR="00532EE1" w:rsidRDefault="00000000">
            <w:pPr>
              <w:jc w:val="center"/>
            </w:pPr>
            <w:r>
              <w:rPr>
                <w:sz w:val="19"/>
                <w:szCs w:val="19"/>
              </w:rPr>
              <w:t>0,354</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949EA03" w14:textId="77777777" w:rsidR="00532EE1" w:rsidRDefault="00000000">
            <w:pPr>
              <w:jc w:val="center"/>
            </w:pPr>
            <w:r>
              <w:rPr>
                <w:sz w:val="19"/>
                <w:szCs w:val="19"/>
              </w:rPr>
              <w:t>0,076</w:t>
            </w:r>
          </w:p>
        </w:tc>
      </w:tr>
      <w:tr w:rsidR="00532EE1" w14:paraId="2F43FAE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AE9D434" w14:textId="77777777" w:rsidR="00532EE1" w:rsidRDefault="00000000">
            <w:r>
              <w:rPr>
                <w:sz w:val="19"/>
                <w:szCs w:val="19"/>
              </w:rPr>
              <w:t>Model B,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77E9D7D" w14:textId="77777777" w:rsidR="00532EE1" w:rsidRDefault="00000000">
            <w:pPr>
              <w:jc w:val="center"/>
            </w:pPr>
            <w:r>
              <w:rPr>
                <w:sz w:val="19"/>
                <w:szCs w:val="19"/>
              </w:rPr>
              <w:t>0,769</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F6CB300" w14:textId="77777777" w:rsidR="00532EE1" w:rsidRDefault="00000000">
            <w:pPr>
              <w:jc w:val="center"/>
            </w:pPr>
            <w:r>
              <w:rPr>
                <w:sz w:val="19"/>
                <w:szCs w:val="19"/>
              </w:rPr>
              <w:t>0,320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81C0B1A" w14:textId="77777777" w:rsidR="00532EE1" w:rsidRDefault="00000000">
            <w:pPr>
              <w:jc w:val="center"/>
            </w:pPr>
            <w:r>
              <w:rPr>
                <w:sz w:val="19"/>
                <w:szCs w:val="19"/>
              </w:rPr>
              <w:t>0,372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6E2A0EA" w14:textId="77777777" w:rsidR="00532EE1" w:rsidRDefault="00000000">
            <w:pPr>
              <w:jc w:val="center"/>
            </w:pPr>
            <w:r>
              <w:rPr>
                <w:sz w:val="19"/>
                <w:szCs w:val="19"/>
              </w:rPr>
              <w:t>0,074</w:t>
            </w:r>
          </w:p>
        </w:tc>
      </w:tr>
      <w:tr w:rsidR="00532EE1" w14:paraId="38C1868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DFCB40C" w14:textId="77777777" w:rsidR="00532EE1" w:rsidRDefault="00000000">
            <w:r>
              <w:rPr>
                <w:sz w:val="19"/>
                <w:szCs w:val="19"/>
              </w:rPr>
              <w:t>Model B,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2942B8B" w14:textId="77777777" w:rsidR="00532EE1" w:rsidRDefault="00000000">
            <w:pPr>
              <w:jc w:val="center"/>
            </w:pPr>
            <w:r>
              <w:rPr>
                <w:sz w:val="19"/>
                <w:szCs w:val="19"/>
              </w:rPr>
              <w:t>0,770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9573EA6" w14:textId="77777777" w:rsidR="00532EE1" w:rsidRDefault="00000000">
            <w:pPr>
              <w:jc w:val="center"/>
            </w:pPr>
            <w:r>
              <w:rPr>
                <w:sz w:val="19"/>
                <w:szCs w:val="19"/>
              </w:rPr>
              <w:t>0,310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30B4743" w14:textId="77777777" w:rsidR="00532EE1" w:rsidRDefault="00000000">
            <w:pPr>
              <w:jc w:val="center"/>
            </w:pPr>
            <w:r>
              <w:rPr>
                <w:sz w:val="19"/>
                <w:szCs w:val="19"/>
              </w:rPr>
              <w:t>0,389</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2B9B0D4" w14:textId="77777777" w:rsidR="00532EE1" w:rsidRDefault="00000000">
            <w:pPr>
              <w:jc w:val="center"/>
            </w:pPr>
            <w:r>
              <w:rPr>
                <w:sz w:val="19"/>
                <w:szCs w:val="19"/>
              </w:rPr>
              <w:t>0,149</w:t>
            </w:r>
          </w:p>
        </w:tc>
      </w:tr>
    </w:tbl>
    <w:p w14:paraId="73532795" w14:textId="77777777" w:rsidR="00532EE1" w:rsidRDefault="00000000">
      <w:pPr>
        <w:spacing w:after="160" w:line="276" w:lineRule="auto"/>
        <w:ind w:firstLine="397"/>
        <w:jc w:val="both"/>
      </w:pPr>
      <w:r>
        <w:t>Rezultati Leave-One-Tournament-Out validacije su gotovo identični rezultatima Stratified K-Fold validacije za sve četiri kombinacije modela i algoritma. Razlika u ROC AUC između dve validacione šeme ne prelazi 0,002 za bilo koju kombinaciju. Ovo je značajan nalaz: model ne pokazuje znake prenaučenosti specifičnostima jednog turnira, već generalizuje na turnir koji nikada nije vidio tokom treninga skoro identično dobro kao na podacima iz iste distribucije.</w:t>
      </w:r>
    </w:p>
    <w:p w14:paraId="58227BF5" w14:textId="77777777" w:rsidR="00532EE1" w:rsidRDefault="00000000">
      <w:pPr>
        <w:spacing w:after="160" w:line="276" w:lineRule="auto"/>
        <w:ind w:firstLine="397"/>
        <w:jc w:val="both"/>
      </w:pPr>
      <w:r>
        <w:t>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14:paraId="3DFA575F" w14:textId="77777777" w:rsidR="00532EE1" w:rsidRDefault="00000000">
      <w:pPr>
        <w:pStyle w:val="Heading2"/>
      </w:pPr>
      <w:r>
        <w:t>4.3a. Formalno testiranje statističke značajnosti razlike Model A i Model B</w:t>
      </w:r>
    </w:p>
    <w:p w14:paraId="47F6AA88" w14:textId="77777777" w:rsidR="00532EE1" w:rsidRDefault="00000000">
      <w:pPr>
        <w:spacing w:after="160" w:line="276" w:lineRule="auto"/>
        <w:ind w:firstLine="397"/>
        <w:jc w:val="both"/>
      </w:pPr>
      <w:r>
        <w:t>Dosledna prednost Modela B kroz sve metrike i obe validacione šeme jeste snažan indirektan pokazatelj, ali ne predstavlja sama po sebi formalni statistički dokaz da razlika nije slučajna, odnosno posledica varijanse uzorka. Da bi se ova razlika formalno testirala, sprovedena su dva nezavisna testa, prilagođena svakom od dva algoritma.</w:t>
      </w:r>
    </w:p>
    <w:p w14:paraId="5CF90722" w14:textId="77777777" w:rsidR="00532EE1" w:rsidRDefault="00000000">
      <w:pPr>
        <w:spacing w:after="160" w:line="276" w:lineRule="auto"/>
        <w:ind w:firstLine="397"/>
        <w:jc w:val="both"/>
      </w:pPr>
      <w:r>
        <w:t xml:space="preserve">Za logističku regresiju, Model A je formalno ugnježden u Model B: svih 24 atributa Modela A predstavljaju tačan podskup 31 atributa Modela B, pri čemu su preostala 7 atributa StatsBomb 360 prostorni atributi (broj branilaca u liniji šuta, broj saigrača u istoj zoni, broj protivnika u krugu od 5 metara, otvorenost ugla ka golu, najbliža udaljenost branioca od linije šuta, defanzivni pritisak i anomalija pozicije </w:t>
      </w:r>
      <w:r>
        <w:lastRenderedPageBreak/>
        <w:t>golmana). Ugnježdena struktura modela dozvoljava primenu Likelihood Ratio (LR) testa, koji poredi logaritme verodostojnosti (log-likelihood) dva modela:</w:t>
      </w:r>
    </w:p>
    <w:p w14:paraId="58939A7D" w14:textId="77777777" w:rsidR="00532EE1" w:rsidRDefault="00000000">
      <w:pPr>
        <w:tabs>
          <w:tab w:val="right" w:pos="9000"/>
        </w:tabs>
        <w:spacing w:before="160" w:after="200"/>
        <w:jc w:val="center"/>
      </w:pPr>
      <m:oMath>
        <m:r>
          <w:rPr>
            <w:rFonts w:ascii="Cambria Math" w:hAnsi="Cambria Math"/>
          </w:rPr>
          <m:t>LR = 2</m:t>
        </m:r>
        <m:d>
          <m:dPr>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A</m:t>
                </m:r>
              </m:sub>
            </m:sSub>
          </m:e>
        </m:d>
        <m:r>
          <w:rPr>
            <w:rFonts w:ascii="Cambria Math" w:hAnsi="Cambria Math"/>
          </w:rPr>
          <m:t xml:space="preserve"> ~ χ²(df)</m:t>
        </m:r>
      </m:oMath>
      <w:r>
        <w:rPr>
          <w:sz w:val="20"/>
          <w:szCs w:val="20"/>
        </w:rPr>
        <w:tab/>
        <w:t>(17)</w:t>
      </w:r>
    </w:p>
    <w:p w14:paraId="319A7FE8" w14:textId="77777777" w:rsidR="00532EE1" w:rsidRDefault="00000000">
      <w:pPr>
        <w:spacing w:after="160" w:line="276" w:lineRule="auto"/>
        <w:ind w:firstLine="397"/>
        <w:jc w:val="both"/>
      </w:pPr>
      <w:r>
        <w:t>gde su ℓ_A i ℓ_B logaritmi verodostojnosti Modela A i Modela B, a LR statistika prati hi-kvadrat raspodelu sa brojem stepeni slobode jednakim broju dodatnih parametara u Modelu B. Oba modela su fitovana na identičnom skupu od 3.966 šuteva (zajednički podskup, nakon uklanjanja redova s nedostajućim vrednostima opisanih u nastavku), kako bi poređenje log-likelihood vrednosti bilo validno. Rezultat je LR = 64,80, sa 10 stepeni slobode, što odgovara p-vrednosti od približno 4,42×10⁻¹⁰, odlučno odbacujući nultu hipotezu da StatsBomb 360 atributi ne doprinose modelu. Ovaj nalaz je dodatno potkrepljen i informacionim kriterijumima: Akaikeov informacioni kriterijum (AIC) iznosi 2.141,44 za Model A i 2.096,63 za Model B, a Bajesov informacioni kriterijum (BIC) 2.204,30 za Model A naspram 2.222,35 za Model B, pri čemu BIC favorizuje Model A zbog strožeg penalizovanja 10 dodatnih parametara. Razlika između AIC i BIC je metodološki očekivana: AIC optimizuje predikcioni kvalitet, dok BIC ima agresivniju kaznu za kompleksnost. Zaključak o statistički značajnom doprinosu 360 atributa ostaje potvrđen LR testom i AIC-om; BIC ukazuje da marginalni doprinos svake od 10 promenljivih treba tumačiti sa oprezom.</w:t>
      </w:r>
    </w:p>
    <w:p w14:paraId="0F29C099" w14:textId="77777777" w:rsidR="00532EE1" w:rsidRDefault="00000000">
      <w:pPr>
        <w:spacing w:after="160" w:line="276" w:lineRule="auto"/>
        <w:ind w:firstLine="397"/>
        <w:jc w:val="both"/>
      </w:pPr>
      <w:r>
        <w:t>Za XGBoost, modeli nisu ugnježdeni na isti parametarski način, pa Likelihood Ratio test nije primenjiv. Umesto toga, sprovedena je bootstrap analiza razlike ROC AUC na kompletnim out-of-fold (OOF) predikcijama iz svih LOTO foldova. Za svaki šut u datasetu postoji tačno jedna predikcija dobijena iz modela koji ga nikada nije video tokom treninga. Na ovim parnim (shot-level) predikcijama sprovedeno je 2.000 bootstrap iteracija. Opažena razlika ROC AUC (Model B minus Model A) iznosi 0,061, a 95% interval poverenja dobijen iz bootstrap raspodele iznosi [0,043, 0,079]. Pošto interval ne sadrži nulu, razlika se smatra statistički značajnom (p &lt; 0,001). Ovaj pristup je metodološki jači od bootstrap-a na jednom train-test splitu jer koristi sve podatke kao genuino out-of-sample predikcije i čuva shot-level korelacionu strukturu.</w:t>
      </w:r>
    </w:p>
    <w:p w14:paraId="4FCE74D7" w14:textId="77777777" w:rsidR="00532EE1" w:rsidRDefault="00000000">
      <w:pPr>
        <w:spacing w:after="160" w:line="276" w:lineRule="auto"/>
        <w:ind w:firstLine="397"/>
        <w:jc w:val="both"/>
      </w:pPr>
      <w:r>
        <w:t>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14:paraId="3E652BFB" w14:textId="77777777" w:rsidR="00532EE1" w:rsidRDefault="00000000">
      <w:pPr>
        <w:spacing w:after="160" w:line="276" w:lineRule="auto"/>
        <w:ind w:firstLine="397"/>
        <w:jc w:val="both"/>
      </w:pPr>
      <w:r>
        <w:t>U pripremi ovih testova, iz analize su izbačena dva šuta (0,05% od 3.968) zbog rezidualne nedostajuće vrednosti u atributu otvorenosti ugla, nastale u ekstremnom geometrijskom slučaju gde je ugao šuta jednak nuli. Ovo je odvojeno i znatno manje od izdvajanja penala (135 šuteva) opisanog u poglavlju 2, i odnosi se isključivo na Model B varijante.</w:t>
      </w:r>
    </w:p>
    <w:p w14:paraId="6838A6A1" w14:textId="605D61BA" w:rsidR="00122DC2" w:rsidRDefault="00122DC2">
      <w:r>
        <w:br w:type="page"/>
      </w:r>
    </w:p>
    <w:p w14:paraId="797B0458" w14:textId="77777777" w:rsidR="00122DC2" w:rsidRDefault="00122DC2">
      <w:pPr>
        <w:spacing w:after="160" w:line="276" w:lineRule="auto"/>
        <w:ind w:firstLine="397"/>
        <w:jc w:val="both"/>
      </w:pPr>
    </w:p>
    <w:p w14:paraId="4A5507C9" w14:textId="77777777" w:rsidR="00532EE1" w:rsidRDefault="00000000">
      <w:pPr>
        <w:pStyle w:val="Heading2"/>
      </w:pPr>
      <w:r>
        <w:t>4.4. Kalibracija i post-hoc korekcija</w:t>
      </w:r>
    </w:p>
    <w:p w14:paraId="3B188E6D" w14:textId="77777777" w:rsidR="00532EE1" w:rsidRDefault="00000000">
      <w:pPr>
        <w:spacing w:before="60" w:after="240"/>
        <w:jc w:val="center"/>
      </w:pPr>
      <w:r>
        <w:rPr>
          <w:i/>
          <w:iCs/>
          <w:color w:val="444444"/>
          <w:sz w:val="18"/>
          <w:szCs w:val="18"/>
        </w:rPr>
        <w:t>Tabela 4. Brier skor pre i posle post-hoc kalibracije (izotona regresija)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30"/>
        <w:gridCol w:w="2430"/>
      </w:tblGrid>
      <w:tr w:rsidR="00532EE1" w14:paraId="6C7C1855" w14:textId="77777777">
        <w:tblPrEx>
          <w:tblCellMar>
            <w:top w:w="0" w:type="dxa"/>
            <w:bottom w:w="0" w:type="dxa"/>
          </w:tblCellMar>
        </w:tblPrEx>
        <w:trPr>
          <w:tblHeader/>
        </w:trPr>
        <w:tc>
          <w:tcPr>
            <w:tcW w:w="4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81CAE5C" w14:textId="77777777" w:rsidR="00532EE1" w:rsidRDefault="00000000">
            <w:pPr>
              <w:jc w:val="center"/>
            </w:pPr>
            <w:r>
              <w:rPr>
                <w:b/>
                <w:bCs/>
                <w:color w:val="FFFFFF"/>
                <w:sz w:val="19"/>
                <w:szCs w:val="19"/>
              </w:rPr>
              <w:t>Model</w:t>
            </w:r>
          </w:p>
        </w:tc>
        <w:tc>
          <w:tcPr>
            <w:tcW w:w="24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F59D331" w14:textId="77777777" w:rsidR="00532EE1" w:rsidRDefault="00000000">
            <w:pPr>
              <w:jc w:val="center"/>
            </w:pPr>
            <w:r>
              <w:rPr>
                <w:b/>
                <w:bCs/>
                <w:color w:val="FFFFFF"/>
                <w:sz w:val="19"/>
                <w:szCs w:val="19"/>
              </w:rPr>
              <w:t>Brier skor (sirovi model)</w:t>
            </w:r>
          </w:p>
        </w:tc>
        <w:tc>
          <w:tcPr>
            <w:tcW w:w="24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407DB7C" w14:textId="77777777" w:rsidR="00532EE1" w:rsidRDefault="00000000">
            <w:pPr>
              <w:jc w:val="center"/>
            </w:pPr>
            <w:r>
              <w:rPr>
                <w:b/>
                <w:bCs/>
                <w:color w:val="FFFFFF"/>
                <w:sz w:val="19"/>
                <w:szCs w:val="19"/>
              </w:rPr>
              <w:t>Brier skor (posle kalibracije)</w:t>
            </w:r>
          </w:p>
        </w:tc>
      </w:tr>
      <w:tr w:rsidR="00532EE1" w14:paraId="1CA72D1E"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FBE717B" w14:textId="77777777" w:rsidR="00532EE1" w:rsidRDefault="00000000">
            <w:r>
              <w:rPr>
                <w:sz w:val="19"/>
                <w:szCs w:val="19"/>
              </w:rPr>
              <w:t>Model A, logistička regresija</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8147E95" w14:textId="77777777" w:rsidR="00532EE1" w:rsidRDefault="00000000">
            <w:pPr>
              <w:jc w:val="center"/>
            </w:pPr>
            <w:r>
              <w:rPr>
                <w:sz w:val="19"/>
                <w:szCs w:val="19"/>
              </w:rPr>
              <w:t>0,121</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549008E" w14:textId="77777777" w:rsidR="00532EE1" w:rsidRDefault="00000000">
            <w:pPr>
              <w:jc w:val="center"/>
            </w:pPr>
            <w:r>
              <w:rPr>
                <w:sz w:val="19"/>
                <w:szCs w:val="19"/>
              </w:rPr>
              <w:t>0,076</w:t>
            </w:r>
          </w:p>
        </w:tc>
      </w:tr>
      <w:tr w:rsidR="00532EE1" w14:paraId="695CB13F"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47A9018" w14:textId="77777777" w:rsidR="00532EE1" w:rsidRDefault="00000000">
            <w:r>
              <w:rPr>
                <w:sz w:val="19"/>
                <w:szCs w:val="19"/>
              </w:rPr>
              <w:t>Model A, XGBoost</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CF6CB65" w14:textId="77777777" w:rsidR="00532EE1" w:rsidRDefault="00000000">
            <w:pPr>
              <w:jc w:val="center"/>
            </w:pPr>
            <w:r>
              <w:rPr>
                <w:sz w:val="19"/>
                <w:szCs w:val="19"/>
              </w:rPr>
              <w:t>0,109</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2E5EA5D" w14:textId="77777777" w:rsidR="00532EE1" w:rsidRDefault="00000000">
            <w:pPr>
              <w:jc w:val="center"/>
            </w:pPr>
            <w:r>
              <w:rPr>
                <w:sz w:val="19"/>
                <w:szCs w:val="19"/>
              </w:rPr>
              <w:t>0,076</w:t>
            </w:r>
          </w:p>
        </w:tc>
      </w:tr>
      <w:tr w:rsidR="00532EE1" w14:paraId="21DBCA70"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408B852" w14:textId="77777777" w:rsidR="00532EE1" w:rsidRDefault="00000000">
            <w:r>
              <w:rPr>
                <w:sz w:val="19"/>
                <w:szCs w:val="19"/>
              </w:rPr>
              <w:t>Model B, logistička regresija</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D93F3FB" w14:textId="77777777" w:rsidR="00532EE1" w:rsidRDefault="00000000">
            <w:pPr>
              <w:jc w:val="center"/>
            </w:pPr>
            <w:r>
              <w:rPr>
                <w:sz w:val="19"/>
                <w:szCs w:val="19"/>
              </w:rPr>
              <w:t>0,117</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003EE5A" w14:textId="77777777" w:rsidR="00532EE1" w:rsidRDefault="00000000">
            <w:pPr>
              <w:jc w:val="center"/>
            </w:pPr>
            <w:r>
              <w:rPr>
                <w:sz w:val="19"/>
                <w:szCs w:val="19"/>
              </w:rPr>
              <w:t>0,076</w:t>
            </w:r>
          </w:p>
        </w:tc>
      </w:tr>
      <w:tr w:rsidR="00532EE1" w14:paraId="2819DB37"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7F1F911" w14:textId="77777777" w:rsidR="00532EE1" w:rsidRDefault="00000000">
            <w:r>
              <w:rPr>
                <w:sz w:val="19"/>
                <w:szCs w:val="19"/>
              </w:rPr>
              <w:t>Model B, XGBoost</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68ECB480" w14:textId="77777777" w:rsidR="00532EE1" w:rsidRDefault="00000000">
            <w:pPr>
              <w:jc w:val="center"/>
            </w:pPr>
            <w:r>
              <w:rPr>
                <w:sz w:val="19"/>
                <w:szCs w:val="19"/>
              </w:rPr>
              <w:t>0,087</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BD57C99" w14:textId="77777777" w:rsidR="00532EE1" w:rsidRDefault="00000000">
            <w:pPr>
              <w:jc w:val="center"/>
            </w:pPr>
            <w:r>
              <w:rPr>
                <w:sz w:val="19"/>
                <w:szCs w:val="19"/>
              </w:rPr>
              <w:t>0,075</w:t>
            </w:r>
          </w:p>
        </w:tc>
      </w:tr>
    </w:tbl>
    <w:p w14:paraId="02FB9A76" w14:textId="77777777" w:rsidR="00532EE1" w:rsidRDefault="00000000">
      <w:pPr>
        <w:spacing w:after="160" w:line="276" w:lineRule="auto"/>
        <w:ind w:firstLine="397"/>
        <w:jc w:val="both"/>
      </w:pPr>
      <w:r>
        <w:t xml:space="preserve">Sirovi modeli, </w:t>
      </w:r>
      <w:proofErr w:type="gramStart"/>
      <w:r>
        <w:t>pre post-</w:t>
      </w:r>
      <w:proofErr w:type="gramEnd"/>
      <w:r>
        <w:t>hoc kalibracije, pokazuju sistematsku prekalibrisanost u višem opsegu predviđenih verovatnoća: model predviđa visoke verovatnoće gola (na primer, preko 0,6) za situacije koje se u stvarnosti dešavaju znatno reže. Ovo je direktna posledica ponderisanja klasa primenjenog radi poboljšanja diskriminacije manjinske klase. Primena izotone regresije kao post-hoc kalibracije drastično poboljšava Brier skor za sve četiri kombinacije modela, sa redukcijom od preko 50%.</w:t>
      </w:r>
    </w:p>
    <w:p w14:paraId="09614D4E" w14:textId="77777777" w:rsidR="00532EE1" w:rsidRDefault="00000000">
      <w:pPr>
        <w:pStyle w:val="Heading2"/>
      </w:pPr>
      <w:r>
        <w:t>4.5. Ablation analiza: doprinos pojedinačnih grupa 360 atributa</w:t>
      </w:r>
    </w:p>
    <w:p w14:paraId="74DF51CC" w14:textId="77777777" w:rsidR="00532EE1" w:rsidRDefault="00000000">
      <w:pPr>
        <w:spacing w:after="160" w:line="276" w:lineRule="auto"/>
        <w:ind w:firstLine="397"/>
        <w:jc w:val="both"/>
      </w:pPr>
      <w:r>
        <w:t>Da bi se preciziralo koji deo prostorne informacije proizvodi poboljšanje, sprovedena je ablation analiza u kojoj su 360 atributi podeljeni u četiri grupe: golman (GK - udaljenost golmana), konusni branioci (CONE - branioci u konusu šuta i između šutera i gola), defanzivni pritisak (PRESSURE - pressure_score, broj branilaca u blizini), i linija šuta (SHOT_LINE - najbliži branilac liniji šuter-gol). Za svaku grupu treniran je Model A sa jednom dodatom grupom, i merena je LOTO AUC razlika u odnosu na čist Model A.</w:t>
      </w:r>
    </w:p>
    <w:p w14:paraId="3651F33D" w14:textId="77777777" w:rsidR="00532EE1" w:rsidRDefault="00000000">
      <w:pPr>
        <w:spacing w:before="60" w:after="240"/>
        <w:jc w:val="center"/>
      </w:pPr>
      <w:r>
        <w:rPr>
          <w:i/>
          <w:iCs/>
          <w:color w:val="444444"/>
          <w:sz w:val="18"/>
          <w:szCs w:val="18"/>
        </w:rPr>
        <w:t>Tabela 5. Ablation analiza: inkrementalni doprinos svake grupe 360 atributa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532EE1" w14:paraId="0BC6CF1C"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0ED4A8C" w14:textId="77777777" w:rsidR="00532EE1" w:rsidRDefault="00000000">
            <w:pPr>
              <w:jc w:val="center"/>
            </w:pPr>
            <w:r>
              <w:rPr>
                <w:b/>
                <w:bCs/>
                <w:color w:val="FFFFFF"/>
                <w:sz w:val="19"/>
                <w:szCs w:val="19"/>
              </w:rPr>
              <w:t>Varijanta</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2A51991A" w14:textId="77777777" w:rsidR="00532EE1" w:rsidRDefault="00000000">
            <w:pPr>
              <w:jc w:val="center"/>
            </w:pPr>
            <w:r>
              <w:rPr>
                <w:b/>
                <w:bCs/>
                <w:color w:val="FFFFFF"/>
                <w:sz w:val="19"/>
                <w:szCs w:val="19"/>
              </w:rPr>
              <w:t>LOTO ROC AUC</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176B55C9" w14:textId="77777777" w:rsidR="00532EE1" w:rsidRDefault="00000000">
            <w:pPr>
              <w:jc w:val="center"/>
            </w:pPr>
            <w:r>
              <w:rPr>
                <w:b/>
                <w:bCs/>
                <w:color w:val="FFFFFF"/>
                <w:sz w:val="19"/>
                <w:szCs w:val="19"/>
              </w:rPr>
              <w:t>Delta vs Model A</w:t>
            </w:r>
          </w:p>
        </w:tc>
      </w:tr>
      <w:tr w:rsidR="00532EE1" w14:paraId="51AC65CA"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5042126" w14:textId="77777777" w:rsidR="00532EE1" w:rsidRDefault="00000000">
            <w:r>
              <w:rPr>
                <w:sz w:val="19"/>
                <w:szCs w:val="19"/>
              </w:rPr>
              <w:t>Model A (bez 360)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A78AB4C" w14:textId="77777777" w:rsidR="00532EE1" w:rsidRDefault="00000000">
            <w:pPr>
              <w:jc w:val="center"/>
            </w:pPr>
            <w:r>
              <w:rPr>
                <w:sz w:val="19"/>
                <w:szCs w:val="19"/>
              </w:rPr>
              <w:t>0,802</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25067D7" w14:textId="77777777" w:rsidR="00532EE1" w:rsidRDefault="00000000">
            <w:pPr>
              <w:jc w:val="center"/>
            </w:pPr>
            <w:r>
              <w:rPr>
                <w:sz w:val="19"/>
                <w:szCs w:val="19"/>
              </w:rPr>
              <w:t>-</w:t>
            </w:r>
          </w:p>
        </w:tc>
      </w:tr>
      <w:tr w:rsidR="00532EE1" w14:paraId="7B87B93F"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DC9E98C" w14:textId="77777777" w:rsidR="00532EE1" w:rsidRDefault="00000000">
            <w:r>
              <w:rPr>
                <w:sz w:val="19"/>
                <w:szCs w:val="19"/>
              </w:rPr>
              <w:t>Model A + SHOT_LINE</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61180AB" w14:textId="77777777" w:rsidR="00532EE1" w:rsidRDefault="00000000">
            <w:pPr>
              <w:jc w:val="center"/>
            </w:pPr>
            <w:r>
              <w:rPr>
                <w:sz w:val="19"/>
                <w:szCs w:val="19"/>
              </w:rPr>
              <w:t>0,802</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881EDAD" w14:textId="77777777" w:rsidR="00532EE1" w:rsidRDefault="00000000">
            <w:pPr>
              <w:jc w:val="center"/>
            </w:pPr>
            <w:r>
              <w:rPr>
                <w:sz w:val="19"/>
                <w:szCs w:val="19"/>
              </w:rPr>
              <w:t>+0,000</w:t>
            </w:r>
          </w:p>
        </w:tc>
      </w:tr>
      <w:tr w:rsidR="00532EE1" w14:paraId="193892FC"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0DA96F5" w14:textId="77777777" w:rsidR="00532EE1" w:rsidRDefault="00000000">
            <w:r>
              <w:rPr>
                <w:sz w:val="19"/>
                <w:szCs w:val="19"/>
              </w:rPr>
              <w:t>Model A + GK</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CDDEC39" w14:textId="77777777" w:rsidR="00532EE1" w:rsidRDefault="00000000">
            <w:pPr>
              <w:jc w:val="center"/>
            </w:pPr>
            <w:r>
              <w:rPr>
                <w:sz w:val="19"/>
                <w:szCs w:val="19"/>
              </w:rPr>
              <w:t>0,805</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8BC41E3" w14:textId="77777777" w:rsidR="00532EE1" w:rsidRDefault="00000000">
            <w:pPr>
              <w:jc w:val="center"/>
            </w:pPr>
            <w:r>
              <w:rPr>
                <w:sz w:val="19"/>
                <w:szCs w:val="19"/>
              </w:rPr>
              <w:t>+0,003</w:t>
            </w:r>
          </w:p>
        </w:tc>
      </w:tr>
      <w:tr w:rsidR="00532EE1" w14:paraId="005733FC"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A6B8824" w14:textId="77777777" w:rsidR="00532EE1" w:rsidRDefault="00000000">
            <w:r>
              <w:rPr>
                <w:sz w:val="19"/>
                <w:szCs w:val="19"/>
              </w:rPr>
              <w:t>Model A + PRESSURE</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A52A890" w14:textId="77777777" w:rsidR="00532EE1" w:rsidRDefault="00000000">
            <w:pPr>
              <w:jc w:val="center"/>
            </w:pPr>
            <w:r>
              <w:rPr>
                <w:sz w:val="19"/>
                <w:szCs w:val="19"/>
              </w:rPr>
              <w:t>0,807</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0199432" w14:textId="77777777" w:rsidR="00532EE1" w:rsidRDefault="00000000">
            <w:pPr>
              <w:jc w:val="center"/>
            </w:pPr>
            <w:r>
              <w:rPr>
                <w:sz w:val="19"/>
                <w:szCs w:val="19"/>
              </w:rPr>
              <w:t>+0,006</w:t>
            </w:r>
          </w:p>
        </w:tc>
      </w:tr>
      <w:tr w:rsidR="00532EE1" w14:paraId="578BAFC3"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C71FAA7" w14:textId="77777777" w:rsidR="00532EE1" w:rsidRDefault="00000000">
            <w:r>
              <w:rPr>
                <w:sz w:val="19"/>
                <w:szCs w:val="19"/>
              </w:rPr>
              <w:t>Model A + CONE</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BA9A3AD" w14:textId="77777777" w:rsidR="00532EE1" w:rsidRDefault="00000000">
            <w:pPr>
              <w:jc w:val="center"/>
            </w:pPr>
            <w:r>
              <w:rPr>
                <w:sz w:val="19"/>
                <w:szCs w:val="19"/>
              </w:rPr>
              <w:t>0,809</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5F8DEE5" w14:textId="77777777" w:rsidR="00532EE1" w:rsidRDefault="00000000">
            <w:pPr>
              <w:jc w:val="center"/>
            </w:pPr>
            <w:r>
              <w:rPr>
                <w:sz w:val="19"/>
                <w:szCs w:val="19"/>
              </w:rPr>
              <w:t>+0,007</w:t>
            </w:r>
          </w:p>
        </w:tc>
      </w:tr>
      <w:tr w:rsidR="00532EE1" w14:paraId="409EA665"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4E2AB00" w14:textId="77777777" w:rsidR="00532EE1" w:rsidRDefault="00000000">
            <w:r>
              <w:rPr>
                <w:sz w:val="19"/>
                <w:szCs w:val="19"/>
              </w:rPr>
              <w:t>Model B (sve 360 grupe)</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6C6ECB4" w14:textId="77777777" w:rsidR="00532EE1" w:rsidRDefault="00000000">
            <w:pPr>
              <w:jc w:val="center"/>
            </w:pPr>
            <w:r>
              <w:rPr>
                <w:sz w:val="19"/>
                <w:szCs w:val="19"/>
              </w:rPr>
              <w:t>0,812</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87376BB" w14:textId="77777777" w:rsidR="00532EE1" w:rsidRDefault="00000000">
            <w:pPr>
              <w:jc w:val="center"/>
            </w:pPr>
            <w:r>
              <w:rPr>
                <w:sz w:val="19"/>
                <w:szCs w:val="19"/>
              </w:rPr>
              <w:t>+0,010</w:t>
            </w:r>
          </w:p>
        </w:tc>
      </w:tr>
    </w:tbl>
    <w:p w14:paraId="21624EF4" w14:textId="77777777" w:rsidR="00532EE1" w:rsidRDefault="00000000">
      <w:pPr>
        <w:spacing w:after="160" w:line="276" w:lineRule="auto"/>
        <w:ind w:firstLine="397"/>
        <w:jc w:val="both"/>
      </w:pPr>
      <w:r>
        <w:t>Rezultati pokazuju da najveći deo inkrementalne vrednosti dolazi iz informacije o broju i rasporedu protivnika u konusu šuta (CONE, +0,007), zatim iz defanzivnog pritiska (PRESSURE, +0,006), dok pozicija golmana donosi manji, ali merljiv doprinos (+0,003). Udaljenost branioca od linije šuta (SHOT_LINE) ne donosi praktično nikakav inkrementalni doprinos (+0,000) kad se doda sama, bez ostalih 360 atributa. Zaključak je da nije ceo 360 sloj podjednako vredan: najveći deo poboljšanja dolazi iz geometrijske informacije o zagušenosti prostora između šutera i gola.</w:t>
      </w:r>
    </w:p>
    <w:p w14:paraId="03CB79FC" w14:textId="77777777" w:rsidR="00122DC2" w:rsidRDefault="00122DC2">
      <w:pPr>
        <w:spacing w:after="160" w:line="276" w:lineRule="auto"/>
        <w:ind w:firstLine="397"/>
        <w:jc w:val="both"/>
      </w:pPr>
    </w:p>
    <w:p w14:paraId="537BAD72" w14:textId="77777777" w:rsidR="00532EE1" w:rsidRDefault="00000000">
      <w:pPr>
        <w:pStyle w:val="Heading2"/>
      </w:pPr>
      <w:r>
        <w:lastRenderedPageBreak/>
        <w:t>4.6. Interpretacija modela: Odds Ratio i SHAP</w:t>
      </w:r>
    </w:p>
    <w:p w14:paraId="4AB9E134" w14:textId="77777777" w:rsidR="00532EE1" w:rsidRDefault="00000000">
      <w:pPr>
        <w:spacing w:after="160" w:line="276" w:lineRule="auto"/>
        <w:ind w:firstLine="397"/>
        <w:jc w:val="both"/>
      </w:pPr>
      <w:r>
        <w:t>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14:paraId="58016C38" w14:textId="77777777" w:rsidR="00532EE1" w:rsidRDefault="00000000">
      <w:pPr>
        <w:spacing w:after="160" w:line="276" w:lineRule="auto"/>
        <w:ind w:firstLine="397"/>
        <w:jc w:val="both"/>
      </w:pPr>
      <w:r>
        <w:t>Kao dodatna provera robusnosti, izračunate su cluster-robust standardne greške (grupisane po identifikatoru meča), koje uzimaju u obzir potencijalnu zavisnost između šuteva u istom meču (zajednički kontekst igre, umor, taktika). Poređenje standardnih i cluster-robust p-vrednosti za ključne atribute (udaljenost, ugao šuta, otvorenost ugla ka golu, defanzivni pritisak) pokazuje konzistentnost zaključaka: atributi koji su statistički značajni u standardnom modelu ostaju značajni i sa cluster-robust standardnim greškama, dok atributi koji nisu statistički značajni (na primer, najbliža udaljenost branioca od linije šuta, p = 0,645 standardni) to ostaju i sa robustnim greškama. Ovaj nalaz potvrđuje da zaključci o prediktivnoj asocijaciji prostornih atributa nisu artefakt ignorisanja korelacione strukture unutar meča.</w:t>
      </w:r>
    </w:p>
    <w:p w14:paraId="49A18280" w14:textId="77777777" w:rsidR="00532EE1" w:rsidRDefault="00000000">
      <w:pPr>
        <w:spacing w:after="160" w:line="276" w:lineRule="auto"/>
        <w:ind w:firstLine="397"/>
        <w:jc w:val="both"/>
      </w:pPr>
      <w:r>
        <w:t>SHAP analiza na Modelu B (XGBoost) pokazuje da je ugao šuta najuticajniji prediktor u fitovanom modelu, neposredno praćen otvorenošću ugla ka golu, izvedenom iz StatsBomb 360 podataka. Ovo je konkretan i merljiv nalaz o prediktivnoj asocijaciji prostornih atributa u modelu, ne o uzročnom efektu promene tih atributa na ishod.</w:t>
      </w:r>
    </w:p>
    <w:p w14:paraId="54184064" w14:textId="77777777" w:rsidR="00532EE1" w:rsidRDefault="00000000">
      <w:pPr>
        <w:spacing w:after="160" w:line="276" w:lineRule="auto"/>
        <w:ind w:firstLine="397"/>
        <w:jc w:val="both"/>
      </w:pPr>
      <w:r>
        <w:t>Zanimljiv je nesklad između dva pristupa interpretaciji za atribut najbliže udaljenosti branioca od linije šuta: u logističkoj regresiji ovaj atribut nije statistički značajan (p = 0,645), dok se u SHAP analizi XGBoost modela plasira na petom mestu po uticaju, odmah iza anomalije pozicije golmana. Ovaj nesklad sugeriše da efekat ovog atributa na verovatnoću gola nije linearan, odnosno da ga logistička regresija, koja pretpostavlja linearan odnos sa logitom, ne uspeva u potpunosti da uhvati, dok XGBoost, kroz stabla odluke, prirodno modeluje takav nelinearni ili interakcijski efekat, na primer da udaljenost branioca od linije šuta ima značajan utisak samo u kombinaciji sa malom udaljenošću od gola ili velikim otvorenim uglom. Ovo je dodatni argument u prilog korišćenju oba modela paralelno, jer se njihove interpretacije međusobno nadopunjuju, ne samo potvrđuju.</w:t>
      </w:r>
    </w:p>
    <w:p w14:paraId="416B18A4" w14:textId="77777777" w:rsidR="00532EE1" w:rsidRDefault="00000000">
      <w:pPr>
        <w:pStyle w:val="Heading1"/>
      </w:pPr>
      <w:r>
        <w:t>5. Diskusija</w:t>
      </w:r>
    </w:p>
    <w:p w14:paraId="449D1D06" w14:textId="77777777" w:rsidR="00532EE1" w:rsidRDefault="00000000">
      <w:pPr>
        <w:pStyle w:val="Heading2"/>
      </w:pPr>
      <w:r>
        <w:t>5.1. Doprinos StatsBomb 360 prostornih podataka</w:t>
      </w:r>
    </w:p>
    <w:p w14:paraId="5A6F5A07" w14:textId="77777777" w:rsidR="00532EE1" w:rsidRDefault="00000000">
      <w:pPr>
        <w:spacing w:after="160" w:line="276" w:lineRule="auto"/>
        <w:ind w:firstLine="397"/>
        <w:jc w:val="both"/>
      </w:pPr>
      <w:r>
        <w:t>Centralni nalaz rada je da Model B konzistentno i u svim primenjenim validacionim šemama nadmašuje Model A, i u pogledu diskriminacije i u pogledu kalibracije. Doprinos nije dramatičan u apsolutnom iznosu (na primer, oko 0,02 razlike u ROC AUC), ali je dosledan kroz sve kombinacije algoritma i validacione šeme, što povećava pouzdanost zaključka da je reč o stvarnom, ne slučajnom efektu. Konkretnija i možda informativnija potvrda dolazi iz SHAP analize, gde se otvorenost ugla ka golu, atribut koji ne postoji bez StatsBomb 360 podataka, plasira kao drugi najuticajniji atribut u celom modelu.</w:t>
      </w:r>
    </w:p>
    <w:p w14:paraId="7CDD9921" w14:textId="77777777" w:rsidR="00532EE1" w:rsidRDefault="00000000">
      <w:pPr>
        <w:spacing w:after="160" w:line="276" w:lineRule="auto"/>
        <w:ind w:firstLine="397"/>
        <w:jc w:val="both"/>
      </w:pPr>
      <w:r>
        <w:t xml:space="preserve">Ovaj nalaz je u skladu sa postojećom literaturom o doprinosu prostornih podataka xG modelima, uključujući i sopstvenu praksu kompanije StatsBomb. Rad ne tvrdi da je po prvi put otkrio da prostorni </w:t>
      </w:r>
      <w:r>
        <w:lastRenderedPageBreak/>
        <w:t>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14:paraId="5C4877FB" w14:textId="77777777" w:rsidR="00532EE1" w:rsidRDefault="00000000">
      <w:pPr>
        <w:pStyle w:val="Heading2"/>
      </w:pPr>
      <w:r>
        <w:t>5.2. Generalizacija kroz turnire</w:t>
      </w:r>
    </w:p>
    <w:p w14:paraId="632FAEB9" w14:textId="77777777" w:rsidR="00532EE1" w:rsidRDefault="00000000">
      <w:pPr>
        <w:spacing w:after="160" w:line="276" w:lineRule="auto"/>
        <w:ind w:firstLine="397"/>
        <w:jc w:val="both"/>
      </w:pPr>
      <w:r>
        <w:t>Nalaz da Stratified K-Fold i Leave-One-Tournament-Out validacija daju praktično identične rezultate je ohrabrujući u pogledu robusnosti modela, ali zahteva oprez u tumačenju. Formalni Kolmogorov-Smirnov test je potvrdio da je geometrija šuta (udaljenost, ugao) statistički slična kroz sva tri turnira, što je verovatno glavni razlog zašto model generalizuje tako dobro: model se u najvećoj meri oslanja na geometrijske obrasce koji su univerzalni za fudbalsku igru, a ne na specifičnosti pojedinačnog turnira.</w:t>
      </w:r>
    </w:p>
    <w:p w14:paraId="374EE78B" w14:textId="77777777" w:rsidR="00532EE1" w:rsidRDefault="00000000">
      <w:pPr>
        <w:spacing w:after="160" w:line="276" w:lineRule="auto"/>
        <w:ind w:firstLine="397"/>
        <w:jc w:val="both"/>
      </w:pPr>
      <w:r>
        <w:t>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14:paraId="69158E65" w14:textId="77777777" w:rsidR="00532EE1" w:rsidRDefault="00000000">
      <w:pPr>
        <w:pStyle w:val="Heading2"/>
      </w:pPr>
      <w:r>
        <w:t>5.3. Praktična primena</w:t>
      </w:r>
    </w:p>
    <w:p w14:paraId="7B049CCB" w14:textId="77777777" w:rsidR="00532EE1" w:rsidRDefault="00000000">
      <w:pPr>
        <w:spacing w:after="160" w:line="276" w:lineRule="auto"/>
        <w:ind w:firstLine="397"/>
        <w:jc w:val="both"/>
      </w:pPr>
      <w:r>
        <w:t>Nalazi rada imaju nekoliko mogućih praktičnih primena u fudbalskoj analitici. Trenerski štab i analitičari mogu koristiti razliku između Modela A i Modela B kao indikator koliko je konkretna šansa bila kvalitetnija ili lošija nego što čista geometrija šuta sugeriše, što je korisno za retrospektivnu analizu kvaliteta stvorenih šansi (na primer, da li je tim sistematski stvarao šanse iz situacija sa malo defanzivnog pritiska, ili obrnuto). U skautingu, SHAP interpretacija modela može pomoći u identifikaciji igrača koji konzistentno postižu golove iz situacija sa visokim defanzivnim pritiskom, što ukazuje na veštinu koja nadilazi čistu poziciju na terenu. U evaluaciji golmana, atribut anomalije pozicije golmana, koji meri odstupanje od očekivane pozicije za datu udaljenost šuta, može poslužiti kao osnova za dalju analizu pozicioniranja.</w:t>
      </w:r>
    </w:p>
    <w:p w14:paraId="7B000B5B" w14:textId="77777777" w:rsidR="00532EE1" w:rsidRDefault="00000000">
      <w:pPr>
        <w:pStyle w:val="Heading2"/>
      </w:pPr>
      <w:r>
        <w:t>5.4. Ograničenja istraživanja</w:t>
      </w:r>
    </w:p>
    <w:p w14:paraId="4BC0ACC0" w14:textId="77777777" w:rsidR="00532EE1" w:rsidRDefault="00000000">
      <w:pPr>
        <w:spacing w:after="160" w:line="276" w:lineRule="auto"/>
        <w:ind w:firstLine="397"/>
        <w:jc w:val="both"/>
      </w:pPr>
      <w:r>
        <w:t>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14:paraId="39B023FB" w14:textId="77777777" w:rsidR="00532EE1" w:rsidRDefault="00000000">
      <w:pPr>
        <w:spacing w:after="160" w:line="276" w:lineRule="auto"/>
        <w:ind w:firstLine="397"/>
        <w:jc w:val="both"/>
      </w:pPr>
      <w:r>
        <w:t>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14:paraId="3561330B" w14:textId="77777777" w:rsidR="00532EE1" w:rsidRDefault="00000000">
      <w:pPr>
        <w:spacing w:after="160" w:line="276" w:lineRule="auto"/>
        <w:ind w:firstLine="397"/>
        <w:jc w:val="both"/>
      </w:pPr>
      <w:r>
        <w:lastRenderedPageBreak/>
        <w:t>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14:paraId="6CF0052F" w14:textId="77777777" w:rsidR="00532EE1" w:rsidRDefault="00000000">
      <w:pPr>
        <w:spacing w:after="160" w:line="276" w:lineRule="auto"/>
        <w:ind w:firstLine="397"/>
        <w:jc w:val="both"/>
      </w:pPr>
      <w:r>
        <w:t>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14:paraId="4F03D442" w14:textId="77777777" w:rsidR="00532EE1" w:rsidRDefault="00000000">
      <w:pPr>
        <w:spacing w:after="160" w:line="276" w:lineRule="auto"/>
        <w:ind w:firstLine="397"/>
        <w:jc w:val="both"/>
      </w:pPr>
      <w:r>
        <w:t>Peto, atributi nisu skalirani pre primene L2-regularizovane logističke regresije, što znači da regularizacioni parametar C neravnomerno penalizuje koeficijente atributa različitih skala, na primer minut utakmice u opsegu od 0 do 120 naspram binarnog indikatora 0 ili 1. S obzirom na to da je optimalni C približno 0,85, što predstavlja relativno slabu regularizaciju, i da se interpretacija koeficijenata kroz Odds Ratio temelji na zasebnom fitovanju metodom maksimalne verodostojnosti bez penalizacije, efekat ovog propusta na konačne zaključke procenjuje se kao zanemarljiv, ali se navodi kao metodološka nepreciznost.</w:t>
      </w:r>
    </w:p>
    <w:p w14:paraId="60F2CF4D" w14:textId="77777777" w:rsidR="00532EE1" w:rsidRDefault="00000000">
      <w:pPr>
        <w:pStyle w:val="Heading1"/>
      </w:pPr>
      <w:r>
        <w:t>6. Zaključak</w:t>
      </w:r>
    </w:p>
    <w:p w14:paraId="5E07A951" w14:textId="77777777" w:rsidR="00532EE1" w:rsidRDefault="00000000">
      <w:pPr>
        <w:spacing w:after="160" w:line="276" w:lineRule="auto"/>
        <w:ind w:firstLine="397"/>
        <w:jc w:val="both"/>
      </w:pPr>
      <w:r>
        <w:t>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nadmašuje model bez njih, na svim metrikama diskriminacije i kalibracije, i u standardnoj unakrsnoj validaciji i u validaciji koja simulira primenu na potpuno nov turnir.</w:t>
      </w:r>
    </w:p>
    <w:p w14:paraId="66F77B4A" w14:textId="77777777" w:rsidR="00532EE1" w:rsidRDefault="00000000">
      <w:pPr>
        <w:spacing w:after="160" w:line="276" w:lineRule="auto"/>
        <w:ind w:firstLine="397"/>
        <w:jc w:val="both"/>
      </w:pPr>
      <w:r>
        <w:t>Otvorenost ugla ka golu, atribut izveden direktno iz StatsBomb 360 podataka, pokazala se kao drugi najuticajniji prediktor u fitovanom XGBoost modelu, odmah iza ugla šuta. Ovo je nalaz o prediktivnoj asocijaciji, ne o uzročnom efektu: SHAP objašnjava ponašanje konkretnog modela, ali ne dokazuje da promena otvorenosti gola uzrokuje promenu ishoda. Istovremeno, formalna provera distribucijskog pomaka (KS test) pokazala je da su marginalne raspodele udaljenosti i ugla šuta statistički slične kroz sva tri turnira, dok se stopa konverzije značajno razlikuje. Ovo ne dokazuje jednakost ukupnog kvaliteta šansi (mogu se razlikovati zajednička raspodela, tip asistencije, brzina lopte i drugi faktori), ali sugeriše da razlike u performansu modela između turnira ne potiču iz grubih razlika u geometrijskoj distribuciji šuteva.</w:t>
      </w:r>
    </w:p>
    <w:p w14:paraId="3F41B12E" w14:textId="77777777" w:rsidR="00532EE1" w:rsidRDefault="00000000">
      <w:pPr>
        <w:spacing w:after="160" w:line="276" w:lineRule="auto"/>
        <w:ind w:firstLine="397"/>
        <w:jc w:val="both"/>
      </w:pPr>
      <w:r>
        <w:t>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14:paraId="715B13EC" w14:textId="77777777" w:rsidR="00122DC2" w:rsidRDefault="00122DC2">
      <w:pPr>
        <w:spacing w:after="160" w:line="276" w:lineRule="auto"/>
        <w:ind w:firstLine="397"/>
        <w:jc w:val="both"/>
      </w:pPr>
    </w:p>
    <w:p w14:paraId="11F75582" w14:textId="77777777" w:rsidR="00122DC2" w:rsidRDefault="00122DC2">
      <w:pPr>
        <w:spacing w:after="160" w:line="276" w:lineRule="auto"/>
        <w:ind w:firstLine="397"/>
        <w:jc w:val="both"/>
      </w:pPr>
    </w:p>
    <w:p w14:paraId="5FF4F7A7" w14:textId="77777777" w:rsidR="00122DC2" w:rsidRDefault="00122DC2">
      <w:pPr>
        <w:spacing w:after="160" w:line="276" w:lineRule="auto"/>
        <w:ind w:firstLine="397"/>
        <w:jc w:val="both"/>
      </w:pPr>
    </w:p>
    <w:p w14:paraId="56370FBF" w14:textId="77777777" w:rsidR="00532EE1" w:rsidRDefault="00000000">
      <w:pPr>
        <w:pStyle w:val="Heading1"/>
      </w:pPr>
      <w:r>
        <w:lastRenderedPageBreak/>
        <w:t>7. Literatura</w:t>
      </w:r>
    </w:p>
    <w:p w14:paraId="1963EAA8" w14:textId="77777777" w:rsidR="00532EE1" w:rsidRDefault="00000000">
      <w:pPr>
        <w:spacing w:after="160" w:line="276" w:lineRule="auto"/>
        <w:jc w:val="both"/>
      </w:pPr>
      <w:r>
        <w:t>Degrenne, O., &amp; Carling, C. (2024). Comparison of goalscoring patterns between the 2018 and 2022 FIFA World Cups. Frontiers in Sports and Active Living, 6, 1394621. https://doi.org/10.3389/fspor.2024.1394621</w:t>
      </w:r>
    </w:p>
    <w:p w14:paraId="292DE176" w14:textId="77777777" w:rsidR="00532EE1" w:rsidRDefault="00000000">
      <w:pPr>
        <w:spacing w:after="160" w:line="276" w:lineRule="auto"/>
        <w:jc w:val="both"/>
      </w:pPr>
      <w:r>
        <w:t>Iapteff, L., Le Coz, S., Rioland, M., Houde, T., Carling, C., &amp; Imbach, F. (2025). Toward interpretable expected goals modeling using Bayesian mixed models. Frontiers in Sports and Active Living, 7, 1504362. https://doi.org/10.3389/fspor.2025.1504362</w:t>
      </w:r>
    </w:p>
    <w:p w14:paraId="602F28B5" w14:textId="77777777" w:rsidR="00532EE1" w:rsidRDefault="00000000">
      <w:pPr>
        <w:spacing w:after="160" w:line="276" w:lineRule="auto"/>
        <w:jc w:val="both"/>
      </w:pPr>
      <w:r>
        <w:t>Singh, S. (2025). Improving expected Goals (xG) models: methods, results, and novel extensions. Journal of High School Science, 9(3), 475-485. https://doi.org/10.64336/001c.144180</w:t>
      </w:r>
    </w:p>
    <w:p w14:paraId="0C39947A" w14:textId="77777777" w:rsidR="00532EE1" w:rsidRDefault="00000000">
      <w:pPr>
        <w:spacing w:after="160" w:line="276" w:lineRule="auto"/>
        <w:jc w:val="both"/>
      </w:pPr>
      <w:r>
        <w:t>StatsBomb. (2023). StatsBomb open data repozitorijum [skup podataka]. GitHub. https://github.com/statsbomb/open-data</w:t>
      </w:r>
    </w:p>
    <w:p w14:paraId="1801D54E" w14:textId="77777777" w:rsidR="00532EE1" w:rsidRDefault="00000000">
      <w:pPr>
        <w:spacing w:after="160" w:line="276" w:lineRule="auto"/>
        <w:jc w:val="both"/>
      </w:pPr>
      <w:r>
        <w:t>van der Wurp, H., Groll, A., Kneib, T., Marra, G., &amp; Radice, R. (2020). Generalised joint regression for count data: a penalty extension for competitive settings. Statistics and Computing, 30(5), 1419-1432. https://doi.org/10.1007/s11222-020-09953-7</w:t>
      </w:r>
    </w:p>
    <w:sectPr w:rsidR="00532EE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8CA89B" w14:textId="77777777" w:rsidR="0057589E" w:rsidRDefault="0057589E">
      <w:r>
        <w:separator/>
      </w:r>
    </w:p>
  </w:endnote>
  <w:endnote w:type="continuationSeparator" w:id="0">
    <w:p w14:paraId="0B4922BC" w14:textId="77777777" w:rsidR="0057589E" w:rsidRDefault="005758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0BDE16" w14:textId="77777777" w:rsidR="00532EE1" w:rsidRDefault="00000000">
    <w:pPr>
      <w:jc w:val="center"/>
    </w:pPr>
    <w:r>
      <w:rPr>
        <w:color w:val="666666"/>
        <w:sz w:val="16"/>
        <w:szCs w:val="16"/>
      </w:rPr>
      <w:t xml:space="preserve">Strana </w:t>
    </w:r>
    <w:r>
      <w:rPr>
        <w:color w:val="666666"/>
        <w:sz w:val="16"/>
        <w:szCs w:val="16"/>
      </w:rPr>
      <w:fldChar w:fldCharType="begin"/>
    </w:r>
    <w:r>
      <w:rPr>
        <w:color w:val="666666"/>
        <w:sz w:val="16"/>
        <w:szCs w:val="16"/>
      </w:rPr>
      <w:instrText>PAGE</w:instrText>
    </w:r>
    <w:r>
      <w:rPr>
        <w:color w:val="666666"/>
        <w:sz w:val="16"/>
        <w:szCs w:val="16"/>
      </w:rPr>
      <w:fldChar w:fldCharType="separate"/>
    </w:r>
    <w:r w:rsidR="00EE0C61">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9A9BF9" w14:textId="77777777" w:rsidR="0057589E" w:rsidRDefault="0057589E">
      <w:r>
        <w:separator/>
      </w:r>
    </w:p>
  </w:footnote>
  <w:footnote w:type="continuationSeparator" w:id="0">
    <w:p w14:paraId="47D86252" w14:textId="77777777" w:rsidR="0057589E" w:rsidRDefault="005758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1A6246" w14:textId="77777777" w:rsidR="00532EE1" w:rsidRDefault="00000000">
    <w:pPr>
      <w:pBdr>
        <w:bottom w:val="single" w:sz="4" w:space="4" w:color="BFBFBF"/>
      </w:pBdr>
      <w:jc w:val="right"/>
    </w:pPr>
    <w:r>
      <w:rPr>
        <w:i/>
        <w:iCs/>
        <w:color w:val="666666"/>
        <w:sz w:val="16"/>
        <w:szCs w:val="16"/>
      </w:rPr>
      <w:t>Doprinos StatsBomb 360 prostornih podataka u proceni verovatnoće gola (xG)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736AE4"/>
    <w:multiLevelType w:val="hybridMultilevel"/>
    <w:tmpl w:val="E42CF980"/>
    <w:lvl w:ilvl="0" w:tplc="31363F98">
      <w:start w:val="1"/>
      <w:numFmt w:val="bullet"/>
      <w:lvlText w:val="●"/>
      <w:lvlJc w:val="left"/>
      <w:pPr>
        <w:ind w:left="720" w:hanging="360"/>
      </w:pPr>
    </w:lvl>
    <w:lvl w:ilvl="1" w:tplc="2AE601DC">
      <w:start w:val="1"/>
      <w:numFmt w:val="bullet"/>
      <w:lvlText w:val="○"/>
      <w:lvlJc w:val="left"/>
      <w:pPr>
        <w:ind w:left="1440" w:hanging="360"/>
      </w:pPr>
    </w:lvl>
    <w:lvl w:ilvl="2" w:tplc="AF9EC0F2">
      <w:start w:val="1"/>
      <w:numFmt w:val="bullet"/>
      <w:lvlText w:val="■"/>
      <w:lvlJc w:val="left"/>
      <w:pPr>
        <w:ind w:left="2160" w:hanging="360"/>
      </w:pPr>
    </w:lvl>
    <w:lvl w:ilvl="3" w:tplc="C0587C7C">
      <w:start w:val="1"/>
      <w:numFmt w:val="bullet"/>
      <w:lvlText w:val="●"/>
      <w:lvlJc w:val="left"/>
      <w:pPr>
        <w:ind w:left="2880" w:hanging="360"/>
      </w:pPr>
    </w:lvl>
    <w:lvl w:ilvl="4" w:tplc="1C9CE49A">
      <w:start w:val="1"/>
      <w:numFmt w:val="bullet"/>
      <w:lvlText w:val="○"/>
      <w:lvlJc w:val="left"/>
      <w:pPr>
        <w:ind w:left="3600" w:hanging="360"/>
      </w:pPr>
    </w:lvl>
    <w:lvl w:ilvl="5" w:tplc="A666358C">
      <w:start w:val="1"/>
      <w:numFmt w:val="bullet"/>
      <w:lvlText w:val="■"/>
      <w:lvlJc w:val="left"/>
      <w:pPr>
        <w:ind w:left="4320" w:hanging="360"/>
      </w:pPr>
    </w:lvl>
    <w:lvl w:ilvl="6" w:tplc="BC42C186">
      <w:start w:val="1"/>
      <w:numFmt w:val="bullet"/>
      <w:lvlText w:val="●"/>
      <w:lvlJc w:val="left"/>
      <w:pPr>
        <w:ind w:left="5040" w:hanging="360"/>
      </w:pPr>
    </w:lvl>
    <w:lvl w:ilvl="7" w:tplc="B1D48ED6">
      <w:start w:val="1"/>
      <w:numFmt w:val="bullet"/>
      <w:lvlText w:val="●"/>
      <w:lvlJc w:val="left"/>
      <w:pPr>
        <w:ind w:left="5760" w:hanging="360"/>
      </w:pPr>
    </w:lvl>
    <w:lvl w:ilvl="8" w:tplc="4A4492C6">
      <w:start w:val="1"/>
      <w:numFmt w:val="bullet"/>
      <w:lvlText w:val="●"/>
      <w:lvlJc w:val="left"/>
      <w:pPr>
        <w:ind w:left="6480" w:hanging="360"/>
      </w:pPr>
    </w:lvl>
  </w:abstractNum>
  <w:abstractNum w:abstractNumId="1" w15:restartNumberingAfterBreak="0">
    <w:nsid w:val="3B404771"/>
    <w:multiLevelType w:val="hybridMultilevel"/>
    <w:tmpl w:val="E89EAF1A"/>
    <w:lvl w:ilvl="0" w:tplc="F5903E6C">
      <w:start w:val="1"/>
      <w:numFmt w:val="decimal"/>
      <w:lvlText w:val="%1."/>
      <w:lvlJc w:val="left"/>
      <w:pPr>
        <w:ind w:left="720" w:hanging="360"/>
      </w:pPr>
    </w:lvl>
    <w:lvl w:ilvl="1" w:tplc="2334E652">
      <w:numFmt w:val="decimal"/>
      <w:lvlText w:val=""/>
      <w:lvlJc w:val="left"/>
    </w:lvl>
    <w:lvl w:ilvl="2" w:tplc="92763070">
      <w:numFmt w:val="decimal"/>
      <w:lvlText w:val=""/>
      <w:lvlJc w:val="left"/>
    </w:lvl>
    <w:lvl w:ilvl="3" w:tplc="801C5252">
      <w:numFmt w:val="decimal"/>
      <w:lvlText w:val=""/>
      <w:lvlJc w:val="left"/>
    </w:lvl>
    <w:lvl w:ilvl="4" w:tplc="AF32B476">
      <w:numFmt w:val="decimal"/>
      <w:lvlText w:val=""/>
      <w:lvlJc w:val="left"/>
    </w:lvl>
    <w:lvl w:ilvl="5" w:tplc="BFE2D35A">
      <w:numFmt w:val="decimal"/>
      <w:lvlText w:val=""/>
      <w:lvlJc w:val="left"/>
    </w:lvl>
    <w:lvl w:ilvl="6" w:tplc="BCC4560A">
      <w:numFmt w:val="decimal"/>
      <w:lvlText w:val=""/>
      <w:lvlJc w:val="left"/>
    </w:lvl>
    <w:lvl w:ilvl="7" w:tplc="3CDA0536">
      <w:numFmt w:val="decimal"/>
      <w:lvlText w:val=""/>
      <w:lvlJc w:val="left"/>
    </w:lvl>
    <w:lvl w:ilvl="8" w:tplc="521EAB96">
      <w:numFmt w:val="decimal"/>
      <w:lvlText w:val=""/>
      <w:lvlJc w:val="left"/>
    </w:lvl>
  </w:abstractNum>
  <w:abstractNum w:abstractNumId="2" w15:restartNumberingAfterBreak="0">
    <w:nsid w:val="5F2C5835"/>
    <w:multiLevelType w:val="hybridMultilevel"/>
    <w:tmpl w:val="55284642"/>
    <w:lvl w:ilvl="0" w:tplc="B57AB23C">
      <w:start w:val="1"/>
      <w:numFmt w:val="bullet"/>
      <w:lvlText w:val="•"/>
      <w:lvlJc w:val="left"/>
      <w:pPr>
        <w:ind w:left="720" w:hanging="360"/>
      </w:pPr>
    </w:lvl>
    <w:lvl w:ilvl="1" w:tplc="490265E4">
      <w:numFmt w:val="decimal"/>
      <w:lvlText w:val=""/>
      <w:lvlJc w:val="left"/>
    </w:lvl>
    <w:lvl w:ilvl="2" w:tplc="5CCEC96A">
      <w:numFmt w:val="decimal"/>
      <w:lvlText w:val=""/>
      <w:lvlJc w:val="left"/>
    </w:lvl>
    <w:lvl w:ilvl="3" w:tplc="9D9626F0">
      <w:numFmt w:val="decimal"/>
      <w:lvlText w:val=""/>
      <w:lvlJc w:val="left"/>
    </w:lvl>
    <w:lvl w:ilvl="4" w:tplc="47EA2DA0">
      <w:numFmt w:val="decimal"/>
      <w:lvlText w:val=""/>
      <w:lvlJc w:val="left"/>
    </w:lvl>
    <w:lvl w:ilvl="5" w:tplc="B3F07CE6">
      <w:numFmt w:val="decimal"/>
      <w:lvlText w:val=""/>
      <w:lvlJc w:val="left"/>
    </w:lvl>
    <w:lvl w:ilvl="6" w:tplc="F9F029CA">
      <w:numFmt w:val="decimal"/>
      <w:lvlText w:val=""/>
      <w:lvlJc w:val="left"/>
    </w:lvl>
    <w:lvl w:ilvl="7" w:tplc="9632A4BA">
      <w:numFmt w:val="decimal"/>
      <w:lvlText w:val=""/>
      <w:lvlJc w:val="left"/>
    </w:lvl>
    <w:lvl w:ilvl="8" w:tplc="FBC41770">
      <w:numFmt w:val="decimal"/>
      <w:lvlText w:val=""/>
      <w:lvlJc w:val="left"/>
    </w:lvl>
  </w:abstractNum>
  <w:num w:numId="1" w16cid:durableId="256211336">
    <w:abstractNumId w:val="0"/>
    <w:lvlOverride w:ilvl="0">
      <w:startOverride w:val="1"/>
    </w:lvlOverride>
  </w:num>
  <w:num w:numId="2" w16cid:durableId="1678926421">
    <w:abstractNumId w:val="2"/>
    <w:lvlOverride w:ilvl="0">
      <w:startOverride w:val="1"/>
    </w:lvlOverride>
  </w:num>
  <w:num w:numId="3" w16cid:durableId="1754814427">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EE1"/>
    <w:rsid w:val="00122DC2"/>
    <w:rsid w:val="00510F24"/>
    <w:rsid w:val="00532EE1"/>
    <w:rsid w:val="0057589E"/>
    <w:rsid w:val="0070622C"/>
    <w:rsid w:val="00EE0C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1867314"/>
  <w15:docId w15:val="{AC0F3909-CAA5-1B4B-915A-F2A6C6139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28"/>
      <w:szCs w:val="28"/>
    </w:rPr>
  </w:style>
  <w:style w:type="paragraph" w:styleId="Heading2">
    <w:name w:val="heading 2"/>
    <w:uiPriority w:val="9"/>
    <w:unhideWhenUsed/>
    <w:qFormat/>
    <w:pPr>
      <w:spacing w:before="260" w:after="140"/>
      <w:outlineLvl w:val="1"/>
    </w:pPr>
    <w:rPr>
      <w:b/>
      <w:bCs/>
      <w:color w:val="2E75B6"/>
      <w:sz w:val="24"/>
      <w:szCs w:val="24"/>
    </w:rPr>
  </w:style>
  <w:style w:type="paragraph" w:styleId="Heading3">
    <w:name w:val="heading 3"/>
    <w:uiPriority w:val="9"/>
    <w:semiHidden/>
    <w:unhideWhenUsed/>
    <w:qFormat/>
    <w:pPr>
      <w:spacing w:before="200" w:after="120"/>
      <w:outlineLvl w:val="2"/>
    </w:pPr>
    <w:rPr>
      <w:b/>
      <w:bCs/>
      <w:i/>
      <w:i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6477</Words>
  <Characters>36925</Characters>
  <Application>Microsoft Office Word</Application>
  <DocSecurity>0</DocSecurity>
  <Lines>307</Lines>
  <Paragraphs>86</Paragraphs>
  <ScaleCrop>false</ScaleCrop>
  <Company/>
  <LinksUpToDate>false</LinksUpToDate>
  <CharactersWithSpaces>43316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Tomislav Fedek</cp:lastModifiedBy>
  <cp:revision>4</cp:revision>
  <dcterms:created xsi:type="dcterms:W3CDTF">2026-08-16T20:46:00Z</dcterms:created>
  <dcterms:modified xsi:type="dcterms:W3CDTF">2026-08-16T21:18:00Z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86492d6-3979-43e4-949e-6e3402943631_Enabled">
    <vt:lpwstr>true</vt:lpwstr>
  </property>
  <property fmtid="{D5CDD505-2E9C-101B-9397-08002B2CF9AE}" pid="3" name="MSIP_Label_986492d6-3979-43e4-949e-6e3402943631_SetDate">
    <vt:lpwstr>2026-08-16T21:17:36Z</vt:lpwstr>
  </property>
  <property fmtid="{D5CDD505-2E9C-101B-9397-08002B2CF9AE}" pid="4" name="MSIP_Label_986492d6-3979-43e4-949e-6e3402943631_Method">
    <vt:lpwstr>Standard</vt:lpwstr>
  </property>
  <property fmtid="{D5CDD505-2E9C-101B-9397-08002B2CF9AE}" pid="5" name="MSIP_Label_986492d6-3979-43e4-949e-6e3402943631_Name">
    <vt:lpwstr>Internal</vt:lpwstr>
  </property>
  <property fmtid="{D5CDD505-2E9C-101B-9397-08002B2CF9AE}" pid="6" name="MSIP_Label_986492d6-3979-43e4-949e-6e3402943631_SiteId">
    <vt:lpwstr>0acef020-dbe4-4221-99a6-c7c69dd68e89</vt:lpwstr>
  </property>
  <property fmtid="{D5CDD505-2E9C-101B-9397-08002B2CF9AE}" pid="7" name="MSIP_Label_986492d6-3979-43e4-949e-6e3402943631_ActionId">
    <vt:lpwstr>e9f0d4ed-9c71-418d-a50b-e8a2a62fbe8c</vt:lpwstr>
  </property>
  <property fmtid="{D5CDD505-2E9C-101B-9397-08002B2CF9AE}" pid="8" name="MSIP_Label_986492d6-3979-43e4-949e-6e3402943631_ContentBits">
    <vt:lpwstr>0</vt:lpwstr>
  </property>
  <property fmtid="{D5CDD505-2E9C-101B-9397-08002B2CF9AE}" pid="9" name="MSIP_Label_986492d6-3979-43e4-949e-6e3402943631_Tag">
    <vt:lpwstr>50, 3, 0, 1</vt:lpwstr>
  </property>
</Properties>
</file>