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color w:val="9a6b00"/>
          <w:sz w:val="18"/>
          <w:szCs w:val="18"/>
        </w:rPr>
        <w:t xml:space="preserve">GABARITO COMENTADO · PARA O ALUNO</w:t>
      </w:r>
    </w:p>
    <w:p>
      <w:pPr>
        <w:pStyle w:val="Heading1"/>
        <w:spacing w:after="60"/>
      </w:pPr>
      <w:r>
        <w:rPr>
          <w:b/>
          <w:bCs/>
          <w:color w:val="1d2330"/>
          <w:sz w:val="36"/>
          <w:szCs w:val="36"/>
        </w:rPr>
        <w:t xml:space="preserve">Caso ZapRango — passo a passo das respostas</w:t>
      </w:r>
    </w:p>
    <w:p>
      <w:pPr>
        <w:spacing w:after="120"/>
      </w:pPr>
      <w:r>
        <w:rPr>
          <w:color w:val="55606f"/>
          <w:sz w:val="21"/>
          <w:szCs w:val="21"/>
        </w:rPr>
        <w:t xml:space="preserve">Use este documento </w:t>
      </w:r>
      <w:r>
        <w:rPr>
          <w:b/>
          <w:bCs/>
          <w:color w:val="1d2330"/>
          <w:sz w:val="21"/>
          <w:szCs w:val="21"/>
        </w:rPr>
        <w:t xml:space="preserve">depois</w:t>
      </w:r>
      <w:r>
        <w:rPr>
          <w:color w:val="55606f"/>
          <w:sz w:val="21"/>
          <w:szCs w:val="21"/>
        </w:rPr>
        <w:t xml:space="preserve"> de tentar resolver sozinho. Para cada bloco você encontra: a cena, a conta feita passo a passo, a leitura do resultado e o que levar para o próximo bloco.</w:t>
      </w:r>
    </w:p>
    <w:p>
      <w:pPr>
        <w:pBdr>
          <w:bottom w:val="single" w:color="4a2eb0" w:sz="6" w:space="6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F90" w:sz="1"/>
              <w:left w:val="single" w:color="f6a609" w:sz="18"/>
              <w:bottom w:val="single" w:color="E8CF90" w:sz="1"/>
              <w:right w:val="single" w:color="E8CF90" w:sz="1"/>
            </w:tcBorders>
            <w:shd w:fill="FFF8E8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a6b00"/>
                <w:sz w:val="18"/>
                <w:szCs w:val="18"/>
              </w:rPr>
              <w:t xml:space="preserve">SOBRE ESTES RESULTADOS</w:t>
            </w:r>
          </w:p>
          <w:p>
            <w:r>
              <w:rPr>
                <w:color w:val="1d2330"/>
                <w:sz w:val="20"/>
                <w:szCs w:val="20"/>
              </w:rPr>
              <w:t xml:space="preserve">Os valores deste gabarito são as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contas corretas</w:t>
            </w:r>
            <w:r>
              <w:rPr>
                <w:color w:val="1d2330"/>
                <w:sz w:val="20"/>
                <w:szCs w:val="20"/>
              </w:rPr>
              <w:t xml:space="preserve">, calculadas pelas fórmulas. Quando os alunos colarem os prompts numa IA, a resposta pode variar na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forma e no arredondamento</w:t>
            </w:r>
            <w:r>
              <w:rPr>
                <w:color w:val="1d2330"/>
                <w:sz w:val="20"/>
                <w:szCs w:val="20"/>
              </w:rPr>
              <w:t xml:space="preserve"> — e a IA pode até errar uma conta. Use este documento como referência do resultado certo, e oriente os alunos a sempre conferir os números. (Há um material à parte com exemplos de resposta da IA.)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9EA" w:sz="1"/>
              <w:left w:val="single" w:color="2563a8" w:sz="18"/>
              <w:bottom w:val="single" w:color="CBD9EA" w:sz="1"/>
              <w:right w:val="single" w:color="CBD9EA" w:sz="1"/>
            </w:tcBorders>
            <w:shd w:fill="F3F7FC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8"/>
                <w:szCs w:val="18"/>
              </w:rPr>
              <w:t xml:space="preserve">O PROJETO EM POUCAS LINHAS</w:t>
            </w:r>
          </w:p>
          <w:p>
            <w:pPr>
              <w:spacing w:after="90"/>
            </w:pPr>
            <w:r>
              <w:rPr>
                <w:b/>
                <w:bCs/>
                <w:color w:val="1d2330"/>
                <w:sz w:val="21"/>
                <w:szCs w:val="21"/>
              </w:rPr>
              <w:t xml:space="preserve">ZapRango </w:t>
            </w:r>
            <w:r>
              <w:rPr>
                <w:color w:val="1d2330"/>
                <w:sz w:val="21"/>
                <w:szCs w:val="21"/>
              </w:rPr>
              <w:t xml:space="preserve">é o app de delivery de uma startup que quer conectar restaurantes de bairro a clientes de cidades médias — onde os grandes apps quase não entram.</w:t>
            </w:r>
          </w:p>
          <w:p>
            <w:pPr>
              <w:spacing w:after="50"/>
            </w:pPr>
            <w:r>
              <w:rPr>
                <w:b/>
                <w:bCs/>
                <w:color w:val="1d2330"/>
                <w:sz w:val="20"/>
                <w:szCs w:val="20"/>
              </w:rPr>
              <w:t xml:space="preserve">Objetivo: </w:t>
            </w:r>
            <w:r>
              <w:rPr>
                <w:color w:val="55606f"/>
                <w:sz w:val="20"/>
                <w:szCs w:val="20"/>
              </w:rPr>
              <w:t xml:space="preserve">lançar o app funcionando, com pedido e pagamento, e validar a operação em uma cidade-piloto.</w:t>
            </w:r>
          </w:p>
          <w:p>
            <w:pPr>
              <w:spacing w:after="50"/>
            </w:pPr>
            <w:r>
              <w:rPr>
                <w:b/>
                <w:bCs/>
                <w:color w:val="1d2330"/>
                <w:sz w:val="20"/>
                <w:szCs w:val="20"/>
              </w:rPr>
              <w:t xml:space="preserve">Escopo: </w:t>
            </w:r>
            <w:r>
              <w:rPr>
                <w:color w:val="55606f"/>
                <w:sz w:val="20"/>
                <w:szCs w:val="20"/>
              </w:rPr>
              <w:t xml:space="preserve">cadastro de restaurantes, app do cliente, sistema de pedidos, integração de pagamento e painel de entregas.</w:t>
            </w:r>
          </w:p>
          <w:p>
            <w:r>
              <w:rPr>
                <w:b/>
                <w:bCs/>
                <w:color w:val="1d2330"/>
                <w:sz w:val="20"/>
                <w:szCs w:val="20"/>
              </w:rPr>
              <w:t xml:space="preserve">Orçamento aprovado: </w:t>
            </w:r>
            <w:r>
              <w:rPr>
                <w:color w:val="55606f"/>
                <w:sz w:val="20"/>
                <w:szCs w:val="20"/>
              </w:rPr>
              <w:t xml:space="preserve">R$ 600.000  · 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Prazo: </w:t>
            </w:r>
            <w:r>
              <w:rPr>
                <w:color w:val="55606f"/>
                <w:sz w:val="20"/>
                <w:szCs w:val="20"/>
              </w:rPr>
              <w:t xml:space="preserve">~10 meses  · 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Seu papel: </w:t>
            </w:r>
            <w:r>
              <w:rPr>
                <w:color w:val="55606f"/>
                <w:sz w:val="20"/>
                <w:szCs w:val="20"/>
              </w:rPr>
              <w:t xml:space="preserve">consultor de custos chamado pelo investidor.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4a2eb0"/>
          <w:sz w:val="26"/>
          <w:szCs w:val="26"/>
        </w:rPr>
        <w:t xml:space="preserve">Bloco 1 · </w:t>
      </w:r>
      <w:r>
        <w:rPr>
          <w:b/>
          <w:bCs/>
          <w:color w:val="1d2330"/>
          <w:sz w:val="26"/>
          <w:szCs w:val="26"/>
        </w:rPr>
        <w:t xml:space="preserve">Como está o desempenho?</w:t>
      </w:r>
    </w:p>
    <w:p>
      <w:pPr>
        <w:spacing w:after="80"/>
      </w:pPr>
      <w:r>
        <w:rPr>
          <w:rFonts w:ascii="Consolas" w:cs="Consolas" w:eastAsia="Consolas" w:hAnsi="Consolas"/>
          <w:caps/>
          <w:color w:val="4a2eb0"/>
          <w:sz w:val="18"/>
          <w:szCs w:val="18"/>
        </w:rPr>
        <w:t xml:space="preserve">Prompt 1 · diagnóstico (IDP, IDC)</w:t>
      </w:r>
    </w:p>
    <w:p>
      <w:pPr>
        <w:pBdr>
          <w:left w:val="single" w:color="f6a609" w:sz="18" w:space="8"/>
        </w:pBdr>
        <w:shd w:fill="FDF6E3" w:val="clear"/>
        <w:spacing w:after="140" w:before="80"/>
      </w:pPr>
      <w:r>
        <w:rPr>
          <w:i/>
          <w:iCs/>
          <w:color w:val="5a4a2a"/>
          <w:sz w:val="21"/>
          <w:szCs w:val="21"/>
        </w:rPr>
        <w:t xml:space="preserve">9h02. A diretora abre a reunião de status sem rodeios: “Me dá um retrato do projeto antes que eu fale com o conselho.”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Dados: </w:t>
      </w:r>
      <w:r>
        <w:rPr>
          <w:rFonts w:ascii="Consolas" w:cs="Consolas" w:eastAsia="Consolas" w:hAnsi="Consolas"/>
          <w:sz w:val="20"/>
          <w:szCs w:val="20"/>
        </w:rPr>
        <w:t xml:space="preserve">VP = R$ 420.000 · VA = R$ 357.000 · CR = R$ 408.000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8" w:sz="1"/>
              <w:left w:val="single" w:color="3a4860" w:sz="18"/>
              <w:bottom w:val="single" w:color="D8D8D8" w:sz="1"/>
              <w:right w:val="single" w:color="D8D8D8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Variação de prazo = VA − VP = 357.000 − 420.000 = − R$ 63.000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Variação de custo = VA − CR = 357.000 − 408.000 = − R$ 51.000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IDP = VA ÷ VP = 357.000 ÷ 420.000 = 0,85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IDC = VA ÷ CR = 357.000 ÷ 408.000 = 0,875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6e3c" w:sz="18"/>
              <w:bottom w:val="none"/>
              <w:right w:val="none"/>
            </w:tcBorders>
            <w:shd w:fill="EEF4EC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6e3c"/>
                <w:sz w:val="20"/>
                <w:szCs w:val="20"/>
              </w:rPr>
              <w:t xml:space="preserve">Leitura: </w:t>
            </w:r>
            <w:r>
              <w:rPr>
                <w:color w:val="1d2330"/>
                <w:sz w:val="20"/>
                <w:szCs w:val="20"/>
              </w:rPr>
              <w:t xml:space="preserve">os dois índices estão abaixo de 1. IDP 0,85 significa que o projeto entregou só 85% do que deveria —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está atrasado</w:t>
            </w:r>
            <w:r>
              <w:rPr>
                <w:color w:val="1d2330"/>
                <w:sz w:val="20"/>
                <w:szCs w:val="20"/>
              </w:rPr>
              <w:t xml:space="preserve">. IDC 0,875 significa que, para cada R$ 1,00 gasto, agregou só R$ 0,875 —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está gastando mais do que entrega</w:t>
            </w:r>
            <w:r>
              <w:rPr>
                <w:color w:val="1d2330"/>
                <w:sz w:val="20"/>
                <w:szCs w:val="20"/>
              </w:rPr>
              <w:t xml:space="preserve">. É um alerta duplo: reportar com transparência e investigar a causa.</w:t>
            </w:r>
          </w:p>
        </w:tc>
      </w:tr>
    </w:tbl>
    <w:p>
      <w:pPr>
        <w:spacing w:after="120"/>
      </w:pPr>
      <w:r>
        <w:rPr>
          <w:b/>
          <w:bCs/>
          <w:color w:val="4a2eb0"/>
          <w:sz w:val="19"/>
          <w:szCs w:val="19"/>
        </w:rPr>
        <w:t xml:space="preserve">↪ Leve adiante: </w:t>
      </w:r>
      <w:r>
        <w:rPr>
          <w:color w:val="55606f"/>
          <w:sz w:val="19"/>
          <w:szCs w:val="19"/>
        </w:rPr>
        <w:t xml:space="preserve">o IDC = 0,875 entra no Bloco 2.</w:t>
      </w:r>
    </w:p>
    <w:p>
      <w:pPr>
        <w:pStyle w:val="Heading2"/>
        <w:spacing w:after="80" w:before="260"/>
      </w:pPr>
      <w:r>
        <w:rPr>
          <w:b/>
          <w:bCs/>
          <w:color w:val="4a2eb0"/>
          <w:sz w:val="26"/>
          <w:szCs w:val="26"/>
        </w:rPr>
        <w:t xml:space="preserve">Bloco 2 · </w:t>
      </w:r>
      <w:r>
        <w:rPr>
          <w:b/>
          <w:bCs/>
          <w:color w:val="1d2330"/>
          <w:sz w:val="26"/>
          <w:szCs w:val="26"/>
        </w:rPr>
        <w:t xml:space="preserve">Como o projeto vai terminar?</w:t>
      </w:r>
    </w:p>
    <w:p>
      <w:pPr>
        <w:spacing w:after="80"/>
      </w:pPr>
      <w:r>
        <w:rPr>
          <w:rFonts w:ascii="Consolas" w:cs="Consolas" w:eastAsia="Consolas" w:hAnsi="Consolas"/>
          <w:caps/>
          <w:color w:val="4a2eb0"/>
          <w:sz w:val="18"/>
          <w:szCs w:val="18"/>
        </w:rPr>
        <w:t xml:space="preserve">Prompt 2 · estimar resultados futuros (ENT)</w:t>
      </w:r>
    </w:p>
    <w:p>
      <w:pPr>
        <w:pBdr>
          <w:left w:val="single" w:color="f6a609" w:sz="18" w:space="8"/>
        </w:pBdr>
        <w:shd w:fill="FDF6E3" w:val="clear"/>
        <w:spacing w:after="140" w:before="80"/>
      </w:pPr>
      <w:r>
        <w:rPr>
          <w:i/>
          <w:iCs/>
          <w:color w:val="5a4a2a"/>
          <w:sz w:val="21"/>
          <w:szCs w:val="21"/>
        </w:rPr>
        <w:t xml:space="preserve">“Tudo bem, mas e no fim das contas?” — o financeiro cruza os braços. Ele quer um número de fechamento, não um talvez.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Dados: </w:t>
      </w:r>
      <w:r>
        <w:rPr>
          <w:rFonts w:ascii="Consolas" w:cs="Consolas" w:eastAsia="Consolas" w:hAnsi="Consolas"/>
          <w:sz w:val="20"/>
          <w:szCs w:val="20"/>
        </w:rPr>
        <w:t xml:space="preserve">ONT = R$ 600.000 · IDC = 0,875 (do Bloco 1) · VA = R$ 357.000 · CR = R$ 408.000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8" w:sz="1"/>
              <w:left w:val="single" w:color="3a4860" w:sz="18"/>
              <w:bottom w:val="single" w:color="D8D8D8" w:sz="1"/>
              <w:right w:val="single" w:color="D8D8D8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Premissa: o desempenho atual CONTINUA (desvio recorrente).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ENT = ONT ÷ IDC = 600.000 ÷ 0,875 = R$ 685.714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VNT = ONT − ENT = 600.000 − 685.714 = − R$ 85.714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EPT = ENT − CR = 685.714 − 408.000 = R$ 277.714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6e3c" w:sz="18"/>
              <w:bottom w:val="none"/>
              <w:right w:val="none"/>
            </w:tcBorders>
            <w:shd w:fill="EEF4EC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6e3c"/>
                <w:sz w:val="20"/>
                <w:szCs w:val="20"/>
              </w:rPr>
              <w:t xml:space="preserve">Leitura: </w:t>
            </w:r>
            <w:r>
              <w:rPr>
                <w:color w:val="1d2330"/>
                <w:sz w:val="20"/>
                <w:szCs w:val="20"/>
              </w:rPr>
              <w:t xml:space="preserve">mantido o ritmo, o projeto deve fechar em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R$ 685.714</w:t>
            </w:r>
            <w:r>
              <w:rPr>
                <w:color w:val="1d2330"/>
                <w:sz w:val="20"/>
                <w:szCs w:val="20"/>
              </w:rPr>
              <w:t xml:space="preserve"> — cerca de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R$ 86 mil acima do orçamento</w:t>
            </w:r>
            <w:r>
              <w:rPr>
                <w:color w:val="1d2330"/>
                <w:sz w:val="20"/>
                <w:szCs w:val="20"/>
              </w:rPr>
              <w:t xml:space="preserve"> (VNT negativa). Ainda faltam gastar R$ 277.714 (EPT). É hora de acionar reservas e um plano de correção.</w:t>
            </w:r>
          </w:p>
        </w:tc>
      </w:tr>
    </w:tbl>
    <w:p>
      <w:pPr>
        <w:spacing w:after="120"/>
      </w:pPr>
      <w:r>
        <w:rPr>
          <w:b/>
          <w:bCs/>
          <w:sz w:val="19"/>
          <w:szCs w:val="19"/>
        </w:rPr>
        <w:t xml:space="preserve">Observação: </w:t>
      </w:r>
      <w:r>
        <w:rPr>
          <w:color w:val="55606f"/>
          <w:sz w:val="19"/>
          <w:szCs w:val="19"/>
        </w:rPr>
        <w:t xml:space="preserve">se a causa fosse pontual (já resolvida), usaríamos ENT = CR + (ONT − VA) = 408.000 + 243.000 = R$ 651.000. A premissa muda o número — por isso é preciso conhecer a causa.</w:t>
      </w:r>
    </w:p>
    <w:p>
      <w:pPr>
        <w:pStyle w:val="Heading2"/>
        <w:spacing w:after="80" w:before="260"/>
      </w:pPr>
      <w:r>
        <w:rPr>
          <w:b/>
          <w:bCs/>
          <w:color w:val="4a2eb0"/>
          <w:sz w:val="26"/>
          <w:szCs w:val="26"/>
        </w:rPr>
        <w:t xml:space="preserve">Bloco 3 · </w:t>
      </w:r>
      <w:r>
        <w:rPr>
          <w:b/>
          <w:bCs/>
          <w:color w:val="1d2330"/>
          <w:sz w:val="26"/>
          <w:szCs w:val="26"/>
        </w:rPr>
        <w:t xml:space="preserve">Um risco virou custo. Como cobrir?</w:t>
      </w:r>
    </w:p>
    <w:p>
      <w:pPr>
        <w:spacing w:after="80"/>
      </w:pPr>
      <w:r>
        <w:rPr>
          <w:rFonts w:ascii="Consolas" w:cs="Consolas" w:eastAsia="Consolas" w:hAnsi="Consolas"/>
          <w:caps/>
          <w:color w:val="4a2eb0"/>
          <w:sz w:val="18"/>
          <w:szCs w:val="18"/>
        </w:rPr>
        <w:t xml:space="preserve">Prompt 3 · riscos e reservas</w:t>
      </w:r>
    </w:p>
    <w:p>
      <w:pPr>
        <w:pBdr>
          <w:left w:val="single" w:color="f6a609" w:sz="18" w:space="8"/>
        </w:pBdr>
        <w:shd w:fill="FDF6E3" w:val="clear"/>
        <w:spacing w:after="140" w:before="80"/>
      </w:pPr>
      <w:r>
        <w:rPr>
          <w:i/>
          <w:iCs/>
          <w:color w:val="5a4a2a"/>
          <w:sz w:val="21"/>
          <w:szCs w:val="21"/>
        </w:rPr>
        <w:t xml:space="preserve">Sexta, 17h40. Mensagem do líder técnico: “Deu problema na integração do pagamento. Vai custar mais.” O fim de semana já começou tenso.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Dados: </w:t>
      </w:r>
      <w:r>
        <w:rPr>
          <w:rFonts w:ascii="Consolas" w:cs="Consolas" w:eastAsia="Consolas" w:hAnsi="Consolas"/>
          <w:sz w:val="20"/>
          <w:szCs w:val="20"/>
        </w:rPr>
        <w:t xml:space="preserve">desvio R$ 90.000 · contingência R$ 60.000 · reserva gerencial R$ 50.000 · risco recorrente 40% × R$ 120.000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8" w:sz="1"/>
              <w:left w:val="single" w:color="3a4860" w:sz="18"/>
              <w:bottom w:val="single" w:color="D8D8D8" w:sz="1"/>
              <w:right w:val="single" w:color="D8D8D8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Contingência cobre: R$ 60.000 de R$ 90.000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Falta cobrir = 90.000 − 60.000 = R$ 30.000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Os R$ 30.000 restantes → acionar a reserva gerencial (R$ 50.000 disponíveis).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Nova contingência sugerida (VME) = 40% × 120.000 = R$ 48.000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6e3c" w:sz="18"/>
              <w:bottom w:val="none"/>
              <w:right w:val="none"/>
            </w:tcBorders>
            <w:shd w:fill="EEF4EC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6e3c"/>
                <w:sz w:val="20"/>
                <w:szCs w:val="20"/>
              </w:rPr>
              <w:t xml:space="preserve">Leitura: </w:t>
            </w:r>
            <w:r>
              <w:rPr>
                <w:color w:val="1d2330"/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reserva de contingência</w:t>
            </w:r>
            <w:r>
              <w:rPr>
                <w:color w:val="1d2330"/>
                <w:sz w:val="20"/>
                <w:szCs w:val="20"/>
              </w:rPr>
              <w:t xml:space="preserve"> cobre riscos já identificados e é da equipe; o que sobra (R$ 30.000) é imprevisto e exige a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reserva gerencial</w:t>
            </w:r>
            <w:r>
              <w:rPr>
                <w:color w:val="1d2330"/>
                <w:sz w:val="20"/>
                <w:szCs w:val="20"/>
              </w:rPr>
              <w:t xml:space="preserve">, liberada pelos patrocinadores. Comunicar cedo preserva a confiança. Como o risco pode se repetir, reforce a contingência em ~R$ 48.000 (probabilidade × impacto).</w:t>
            </w:r>
          </w:p>
        </w:tc>
      </w:tr>
    </w:tbl>
    <w:p>
      <w:pPr>
        <w:pStyle w:val="Heading2"/>
        <w:spacing w:after="80" w:before="260"/>
      </w:pPr>
      <w:r>
        <w:rPr>
          <w:b/>
          <w:bCs/>
          <w:color w:val="4a2eb0"/>
          <w:sz w:val="26"/>
          <w:szCs w:val="26"/>
        </w:rPr>
        <w:t xml:space="preserve">Bloco 4 · </w:t>
      </w:r>
      <w:r>
        <w:rPr>
          <w:b/>
          <w:bCs/>
          <w:color w:val="1d2330"/>
          <w:sz w:val="26"/>
          <w:szCs w:val="26"/>
        </w:rPr>
        <w:t xml:space="preserve">Vale investir no módulo novo?</w:t>
      </w:r>
    </w:p>
    <w:p>
      <w:pPr>
        <w:spacing w:after="80"/>
      </w:pPr>
      <w:r>
        <w:rPr>
          <w:rFonts w:ascii="Consolas" w:cs="Consolas" w:eastAsia="Consolas" w:hAnsi="Consolas"/>
          <w:caps/>
          <w:color w:val="4a2eb0"/>
          <w:sz w:val="18"/>
          <w:szCs w:val="18"/>
        </w:rPr>
        <w:t xml:space="preserve">Prompt 4 · viabilidade (VPL, TIR, payback)</w:t>
      </w:r>
    </w:p>
    <w:p>
      <w:pPr>
        <w:pBdr>
          <w:left w:val="single" w:color="f6a609" w:sz="18" w:space="8"/>
        </w:pBdr>
        <w:shd w:fill="FDF6E3" w:val="clear"/>
        <w:spacing w:after="140" w:before="80"/>
      </w:pPr>
      <w:r>
        <w:rPr>
          <w:i/>
          <w:iCs/>
          <w:color w:val="5a4a2a"/>
          <w:sz w:val="21"/>
          <w:szCs w:val="21"/>
        </w:rPr>
        <w:t xml:space="preserve">Almoço com o sócio investidor. Entre um café e outro, ele lança: “Topo botar mais dinheiro — se você me provar que volta.”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Dados: </w:t>
      </w:r>
      <w:r>
        <w:rPr>
          <w:rFonts w:ascii="Consolas" w:cs="Consolas" w:eastAsia="Consolas" w:hAnsi="Consolas"/>
          <w:sz w:val="20"/>
          <w:szCs w:val="20"/>
        </w:rPr>
        <w:t xml:space="preserve">investir R$ 500.000 · retorno R$ 165.000/ano · 5 anos · taxa exigida 14% a.a.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8" w:sz="1"/>
              <w:left w:val="single" w:color="3a4860" w:sz="18"/>
              <w:bottom w:val="single" w:color="D8D8D8" w:sz="1"/>
              <w:right w:val="single" w:color="D8D8D8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Soma simples = 165.000 × 5 = R$ 825.000 (sem descontar — engana!)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Ganhos trazidos a hoje (descontados a 14%) = R$ 566.458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VPL = 566.458 − 500.000 = + R$ 66.458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TIR ≈ 19,4%   |   Índice de lucratividade = 566.458 ÷ 500.000 = 1,13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Payback simples ≈ 500.000 ÷ 165.000 = 3,0 anos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6e3c" w:sz="18"/>
              <w:bottom w:val="none"/>
              <w:right w:val="none"/>
            </w:tcBorders>
            <w:shd w:fill="EEF4EC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6e3c"/>
                <w:sz w:val="20"/>
                <w:szCs w:val="20"/>
              </w:rPr>
              <w:t xml:space="preserve">Leitura: </w:t>
            </w:r>
            <w:r>
              <w:rPr>
                <w:color w:val="1d2330"/>
                <w:sz w:val="20"/>
                <w:szCs w:val="20"/>
              </w:rPr>
              <w:t xml:space="preserve">trazendo o futuro a valor de hoje, o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VPL é positivo (+R$ 66 mil)</w:t>
            </w:r>
            <w:r>
              <w:rPr>
                <w:color w:val="1d2330"/>
                <w:sz w:val="20"/>
                <w:szCs w:val="20"/>
              </w:rPr>
              <w:t xml:space="preserve"> e a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TIR (19,4%) supera os 14% exigidos</w:t>
            </w:r>
            <w:r>
              <w:rPr>
                <w:color w:val="1d2330"/>
                <w:sz w:val="20"/>
                <w:szCs w:val="20"/>
              </w:rPr>
              <w:t xml:space="preserve">. O investimento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cria valor</w:t>
            </w:r>
            <w:r>
              <w:rPr>
                <w:color w:val="1d2330"/>
                <w:sz w:val="20"/>
                <w:szCs w:val="20"/>
              </w:rPr>
              <w:t xml:space="preserve">. Cuidado: a soma simples de R$ 825 mil exagera o ganho — quem decide pelo VPL não cai nessa.</w:t>
            </w:r>
          </w:p>
        </w:tc>
      </w:tr>
    </w:tbl>
    <w:p>
      <w:pPr>
        <w:spacing w:after="120"/>
      </w:pPr>
      <w:r>
        <w:rPr>
          <w:b/>
          <w:bCs/>
          <w:color w:val="4a2eb0"/>
          <w:sz w:val="19"/>
          <w:szCs w:val="19"/>
        </w:rPr>
        <w:t xml:space="preserve">↪ Leve adiante: </w:t>
      </w:r>
      <w:r>
        <w:rPr>
          <w:color w:val="55606f"/>
          <w:sz w:val="19"/>
          <w:szCs w:val="19"/>
        </w:rPr>
        <w:t xml:space="preserve">a TIR = 19,4% entra no Bloco 5.</w:t>
      </w:r>
    </w:p>
    <w:p>
      <w:pPr>
        <w:pStyle w:val="Heading2"/>
        <w:spacing w:after="80" w:before="260"/>
      </w:pPr>
      <w:r>
        <w:rPr>
          <w:b/>
          <w:bCs/>
          <w:color w:val="4a2eb0"/>
          <w:sz w:val="26"/>
          <w:szCs w:val="26"/>
        </w:rPr>
        <w:t xml:space="preserve">Bloco 5 · </w:t>
      </w:r>
      <w:r>
        <w:rPr>
          <w:b/>
          <w:bCs/>
          <w:color w:val="1d2330"/>
          <w:sz w:val="26"/>
          <w:szCs w:val="26"/>
        </w:rPr>
        <w:t xml:space="preserve">Como financiar o investimento?</w:t>
      </w:r>
    </w:p>
    <w:p>
      <w:pPr>
        <w:spacing w:after="80"/>
      </w:pPr>
      <w:r>
        <w:rPr>
          <w:rFonts w:ascii="Consolas" w:cs="Consolas" w:eastAsia="Consolas" w:hAnsi="Consolas"/>
          <w:caps/>
          <w:color w:val="4a2eb0"/>
          <w:sz w:val="18"/>
          <w:szCs w:val="18"/>
        </w:rPr>
        <w:t xml:space="preserve">Prompt 5 · financiamento e custo de capital (CMPC)</w:t>
      </w:r>
    </w:p>
    <w:p>
      <w:pPr>
        <w:pBdr>
          <w:left w:val="single" w:color="f6a609" w:sz="18" w:space="8"/>
        </w:pBdr>
        <w:shd w:fill="FDF6E3" w:val="clear"/>
        <w:spacing w:after="140" w:before="80"/>
      </w:pPr>
      <w:r>
        <w:rPr>
          <w:i/>
          <w:iCs/>
          <w:color w:val="5a4a2a"/>
          <w:sz w:val="21"/>
          <w:szCs w:val="21"/>
        </w:rPr>
        <w:t xml:space="preserve">Reunião final, sala de vidro. “Capital próprio ou banco?”, pergunta o CFO. A resposta certa pode virar o projeto de inviável para aprovado.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Dados: </w:t>
      </w:r>
      <w:r>
        <w:rPr>
          <w:rFonts w:ascii="Consolas" w:cs="Consolas" w:eastAsia="Consolas" w:hAnsi="Consolas"/>
          <w:sz w:val="20"/>
          <w:szCs w:val="20"/>
        </w:rPr>
        <w:t xml:space="preserve">próprio 18% · terceiros 11% · imposto 34% · estrutura 60%/40% · TIR 19,4% (do Bloco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8" w:sz="1"/>
              <w:left w:val="single" w:color="3a4860" w:sz="18"/>
              <w:bottom w:val="single" w:color="D8D8D8" w:sz="1"/>
              <w:right w:val="single" w:color="D8D8D8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Custo da dívida após imposto = 11% × (1 − 0,34) = 7,26%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CMPC = (60% × 18%) + (40% × 7,26%)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CMPC = 10,8% + 2,9% = 13,7%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d2330"/>
                <w:sz w:val="19"/>
                <w:szCs w:val="19"/>
              </w:rPr>
              <w:t xml:space="preserve">Decisão: TIR (19,4%) &gt; CMPC (13,7%) → vale a pena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6e3c" w:sz="18"/>
              <w:bottom w:val="none"/>
              <w:right w:val="none"/>
            </w:tcBorders>
            <w:shd w:fill="EEF4EC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f6e3c"/>
                <w:sz w:val="20"/>
                <w:szCs w:val="20"/>
              </w:rPr>
              <w:t xml:space="preserve">Leitura: </w:t>
            </w:r>
            <w:r>
              <w:rPr>
                <w:color w:val="1d2330"/>
                <w:sz w:val="20"/>
                <w:szCs w:val="20"/>
              </w:rPr>
              <w:t xml:space="preserve">o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capital de terceiros é mais barato</w:t>
            </w:r>
            <w:r>
              <w:rPr>
                <w:color w:val="1d2330"/>
                <w:sz w:val="20"/>
                <w:szCs w:val="20"/>
              </w:rPr>
              <w:t xml:space="preserve"> e os juros abatem imposto (benefício fiscal), então misturar as fontes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derruba o custo do capital para 13,7%</w:t>
            </w:r>
            <w:r>
              <w:rPr>
                <w:color w:val="1d2330"/>
                <w:sz w:val="20"/>
                <w:szCs w:val="20"/>
              </w:rPr>
              <w:t xml:space="preserve">. Como a régua (CMPC) ficou bem abaixo da TIR (19,4%), </w:t>
            </w:r>
            <w:r>
              <w:rPr>
                <w:b/>
                <w:bCs/>
                <w:color w:val="1d2330"/>
                <w:sz w:val="20"/>
                <w:szCs w:val="20"/>
              </w:rPr>
              <w:t xml:space="preserve">financiar com estrutura mista viabiliza o investimento</w:t>
            </w:r>
            <w:r>
              <w:rPr>
                <w:color w:val="1d2330"/>
                <w:sz w:val="20"/>
                <w:szCs w:val="20"/>
              </w:rPr>
              <w:t xml:space="preserve">. Só com capital próprio (18%), a margem seria apertada.</w:t>
            </w:r>
          </w:p>
        </w:tc>
      </w:tr>
    </w:tbl>
    <w:p>
      <w:pPr>
        <w:pStyle w:val="Heading2"/>
        <w:spacing w:after="80" w:before="300"/>
      </w:pPr>
      <w:r>
        <w:rPr>
          <w:b/>
          <w:bCs/>
          <w:color w:val="4a2eb0"/>
          <w:sz w:val="28"/>
          <w:szCs w:val="28"/>
        </w:rPr>
        <w:t xml:space="preserve">Recomendação final ao patrocinador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eb0" w:sz="6"/>
              <w:left w:val="single" w:color="4a2eb0" w:sz="6"/>
              <w:bottom w:val="single" w:color="4a2eb0" w:sz="6"/>
              <w:right w:val="single" w:color="4a2eb0" w:sz="6"/>
            </w:tcBorders>
            <w:shd w:fill="F4F0FD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i/>
                <w:iCs/>
                <w:color w:val="1d2330"/>
                <w:sz w:val="22"/>
                <w:szCs w:val="22"/>
              </w:rPr>
              <w:t xml:space="preserve">“O projeto está </w:t>
            </w:r>
            <w:r>
              <w:rPr>
                <w:b/>
                <w:bCs/>
                <w:i/>
                <w:iCs/>
                <w:color w:val="1d2330"/>
                <w:sz w:val="22"/>
                <w:szCs w:val="22"/>
              </w:rPr>
              <w:t xml:space="preserve">atrasado e acima do custo</w:t>
            </w:r>
            <w:r>
              <w:rPr>
                <w:i/>
                <w:iCs/>
                <w:color w:val="1d2330"/>
                <w:sz w:val="22"/>
                <w:szCs w:val="22"/>
              </w:rPr>
              <w:t xml:space="preserve"> (IDP 0,85 · IDC 0,875) e, mantido o ritmo, deve encerrar em </w:t>
            </w:r>
            <w:r>
              <w:rPr>
                <w:b/>
                <w:bCs/>
                <w:i/>
                <w:iCs/>
                <w:color w:val="1d2330"/>
                <w:sz w:val="22"/>
                <w:szCs w:val="22"/>
              </w:rPr>
              <w:t xml:space="preserve">~R$ 686 mil</w:t>
            </w:r>
            <w:r>
              <w:rPr>
                <w:i/>
                <w:iCs/>
                <w:color w:val="1d2330"/>
                <w:sz w:val="22"/>
                <w:szCs w:val="22"/>
              </w:rPr>
              <w:t xml:space="preserve"> — cerca de R$ 86 mil acima do orçamento. Recomendo acionar a reserva gerencial para o desvio atual e reforçar a contingência. </w:t>
            </w:r>
            <w:r>
              <w:rPr>
                <w:b/>
                <w:bCs/>
                <w:i/>
                <w:iCs/>
                <w:color w:val="1d2330"/>
                <w:sz w:val="22"/>
                <w:szCs w:val="22"/>
              </w:rPr>
              <w:t xml:space="preserve">Apesar disso, o novo módulo vale a pena</w:t>
            </w:r>
            <w:r>
              <w:rPr>
                <w:i/>
                <w:iCs/>
                <w:color w:val="1d2330"/>
                <w:sz w:val="22"/>
                <w:szCs w:val="22"/>
              </w:rPr>
              <w:t xml:space="preserve">: VPL positivo (+R$ 66 mil) e TIR de 19,4%, acima dos 14% exigidos. </w:t>
            </w:r>
            <w:r>
              <w:rPr>
                <w:b/>
                <w:bCs/>
                <w:i/>
                <w:iCs/>
                <w:color w:val="1d2330"/>
                <w:sz w:val="22"/>
                <w:szCs w:val="22"/>
              </w:rPr>
              <w:t xml:space="preserve">Recomendo aprovar o investimento com financiamento misto</w:t>
            </w:r>
            <w:r>
              <w:rPr>
                <w:i/>
                <w:iCs/>
                <w:color w:val="1d2330"/>
                <w:sz w:val="22"/>
                <w:szCs w:val="22"/>
              </w:rPr>
              <w:t xml:space="preserve"> (CMPC de 13,7%, bem abaixo da TIR), que viabiliza o retorno com menor custo de capital.”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d2330"/>
          <w:sz w:val="26"/>
          <w:szCs w:val="26"/>
        </w:rPr>
        <w:t xml:space="preserve">Resumo dos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3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3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33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Conclusão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1 · Desempenho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IDP 0,85 · IDC 0,875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Atrasado e gastando demais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2 · Projeção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ENT R$ 685.714 · VNT −R$ 85.714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Vai estourar ~R$ 86 mil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3 · Risco/reserva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Falta R$ 30.000 · VME R$ 48.000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Acionar gerencial; reforçar contingência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4 · Viabilidade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VPL +R$ 66.458 · TIR 19,4%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Investimento cria 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5 · Financiamento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CMPC 13,7% (&lt; TIR)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d2330"/>
                <w:sz w:val="19"/>
                <w:szCs w:val="19"/>
              </w:rPr>
              <w:t xml:space="preserve">Aprovar com capital misto</w:t>
            </w:r>
          </w:p>
        </w:tc>
      </w:tr>
    </w:tbl>
    <w:p>
      <w:pPr>
        <w:spacing w:before="240"/>
      </w:pPr>
      <w:r>
        <w:rPr>
          <w:i/>
          <w:iCs/>
          <w:color w:val="55606f"/>
          <w:sz w:val="19"/>
          <w:szCs w:val="19"/>
        </w:rPr>
        <w:t xml:space="preserve">Dica: traga este gabarito só depois de tentar. O valor está em comparar o seu raciocínio com o caminho comentado.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color w:val="1d23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d23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2026-06-11T00:47:55.292Z</dcterms:created>
  <dcterms:modified xsi:type="dcterms:W3CDTF">2026-06-11T00:47:55.295Z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