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9C7A10"/>
          <w:sz w:val="20"/>
          <w:szCs w:val="20"/>
        </w:rPr>
        <w:t xml:space="preserve">OE GROUP  ·  TFML + OEA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8B1D1D"/>
          <w:sz w:val="44"/>
          <w:szCs w:val="44"/>
        </w:rPr>
        <w:t xml:space="preserve">Phase 1 — Production Build Roadmap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20202A"/>
          <w:sz w:val="24"/>
          <w:szCs w:val="24"/>
        </w:rPr>
        <w:t xml:space="preserve">AI-Led · 14-Day Workflow (10-day compression option)</w:t>
      </w:r>
    </w:p>
    <w:p>
      <w:pPr>
        <w:pBdr>
          <w:bottom w:val="single" w:color="9C7A10" w:sz="6" w:space="1"/>
        </w:pBdr>
        <w:spacing w:after="120"/>
      </w:pPr>
    </w:p>
    <w:p>
      <w:pPr>
        <w:spacing w:after="240"/>
      </w:pPr>
      <w:r>
        <w:rPr>
          <w:rFonts w:ascii="Calibri" w:cs="Calibri" w:eastAsia="Calibri" w:hAnsi="Calibri"/>
          <w:b/>
          <w:bCs/>
          <w:i w:val="false"/>
          <w:iCs w:val="false"/>
          <w:color w:val="5A5A66"/>
          <w:sz w:val="18"/>
          <w:szCs w:val="18"/>
        </w:rPr>
        <w:t xml:space="preserve">Board Confidential  ·  July 2026</w:t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1.  Objective</w:t>
      </w:r>
    </w:p>
    <w:p>
      <w:pPr>
        <w:spacing w:after="120" w:line="264"/>
      </w:pPr>
      <w:r>
        <w:rPr>
          <w:rFonts w:ascii="Calibri" w:cs="Calibri" w:eastAsia="Calibri" w:hAnsi="Calibri"/>
          <w:color w:val="20202A"/>
          <w:sz w:val="21"/>
          <w:szCs w:val="21"/>
        </w:rPr>
        <w:t xml:space="preserve">Phase 1 hardens the proven proof-of-concept into a production system for live client use. The POC already delivers all six AURA modules — resident portal, vendor management, service-charge administration, gated vendor payments, immutable audit, and a role-scoped BI dashboard — verified on managed cloud with dual-brand data isolation. Phase 1 does not re-build these; it makes them production-grade: real money movement, self-service onboarding, per-brand channels, richer vendor evaluation, personal reporting, a production UX, offline resilience, and full compliance and security.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0202A"/>
          <w:sz w:val="19"/>
          <w:szCs w:val="19"/>
        </w:rPr>
        <w:t xml:space="preserve">Build model: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02A"/>
          <w:sz w:val="19"/>
          <w:szCs w:val="19"/>
        </w:rPr>
        <w:t xml:space="preserve">in-house, AI-led end-to-end, mirroring the POC cadence. The plan is 14 days for the comprehensive scope; a 10-day compression (noted at the end) defers offline/PWA and some UX polish to a fast-follow.</w:t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2.  Guardrails (carried from the POC)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Human-in-the-loop for money — no vendor payment executes without service verification, performance validation and recorded approvals.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Row-Level Security is the enforced backstop; UI gating sits on top, never in place of it.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NDPA (2023) + GDPR alignment; immutable, append-only audit; soft-delete only.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No live payment credentials until the collection/remittance controls and daily reconciliation pass.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Evidence over assertion — every day has a verification gate that must pass before the next begins.</w:t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3.  Phase 1 scope — what we add</w:t>
      </w:r>
    </w:p>
    <w:p>
      <w:pPr>
        <w:spacing w:after="120" w:line="264"/>
      </w:pPr>
      <w:r>
        <w:rPr>
          <w:rFonts w:ascii="Calibri" w:cs="Calibri" w:eastAsia="Calibri" w:hAnsi="Calibri"/>
          <w:color w:val="20202A"/>
          <w:sz w:val="21"/>
          <w:szCs w:val="21"/>
        </w:rPr>
        <w:t xml:space="preserve">Twelve workstreams, drawn from the tracked gaps in the reconciled roadmap: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Production infrastructure &amp; environment isolation (separate from the POC).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Four-layer brand isolation — DNS/routing, JWT org-claims, API middleware, on top of DB RLS.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Self-service onboarding — orgs, staff, vendors, owners and tenants enrol in-app.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Live collections — Paystack (Naira) + Flutterwave (FX), segregated ledger, receipts.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Live remittance — Paystack Transfers through the B4 gate; daily bank-vs-ledger reconciliation.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Per-org inbound channel routing — each brand's WhatsApp/Telegram lands in its own org.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KPI/SLA-driven, dual-source vendor evaluation — tenant + FM/PM, computed not free-typed.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Role-appropriate personal reporting — tenant request-tracking, vendor performance &amp; pipeline.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Production UX pass — mobile navigation, accessibility (WCAG AA), toasts, PDF export.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Offline PWA — installable, resilient to Nigerian connectivity and power realities.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Compliance &amp; security hardening — NDPA/GDPR artifacts, rate-limiting, pen &amp; load testing.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UAT, staff training and go-live.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4.  The 14-day workflow</w:t>
      </w:r>
    </w:p>
    <w:p>
      <w:pPr>
        <w:spacing w:after="120" w:line="264"/>
      </w:pPr>
      <w:r>
        <w:rPr>
          <w:rFonts w:ascii="Calibri" w:cs="Calibri" w:eastAsia="Calibri" w:hAnsi="Calibri"/>
          <w:color w:val="20202A"/>
          <w:sz w:val="21"/>
          <w:szCs w:val="21"/>
        </w:rPr>
        <w:t xml:space="preserve">Grouped into three tracks. Each day is a self-contained deliverable behind a verification gate.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20202A"/>
          <w:sz w:val="24"/>
          <w:szCs w:val="24"/>
        </w:rPr>
        <w:t xml:space="preserve">Track A — Infrastructure, isolation &amp; onboarding (Days 1–4)</w:t>
      </w:r>
    </w:p>
    <w:tbl>
      <w:tblPr>
        <w:tblW w:type="dxa" w:w="10080"/>
        <w:tblBorders>
          <w:top w:val="single" w:color="D8D2D0" w:sz="4"/>
          <w:left w:val="single" w:color="D8D2D0" w:sz="4"/>
          <w:bottom w:val="single" w:color="D8D2D0" w:sz="4"/>
          <w:right w:val="single" w:color="D8D2D0" w:sz="4"/>
          <w:insideH w:val="single" w:color="D8D2D0" w:sz="4"/>
          <w:insideV w:val="single" w:color="D8D2D0" w:sz="4"/>
        </w:tblBorders>
      </w:tblPr>
      <w:tblGrid>
        <w:gridCol w:w="640"/>
        <w:gridCol w:w="1760"/>
        <w:gridCol w:w="4680"/>
        <w:gridCol w:w="3000"/>
      </w:tblGrid>
      <w:tr>
        <w:trPr>
          <w:tblHeader/>
        </w:trPr>
        <w:tc>
          <w:tcPr>
            <w:tcW w:type="dxa" w:w="64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Day</w:t>
            </w:r>
          </w:p>
        </w:tc>
        <w:tc>
          <w:tcPr>
            <w:tcW w:type="dxa" w:w="176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Focus</w:t>
            </w:r>
          </w:p>
        </w:tc>
        <w:tc>
          <w:tcPr>
            <w:tcW w:type="dxa" w:w="468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Key tasks</w:t>
            </w:r>
          </w:p>
        </w:tc>
        <w:tc>
          <w:tcPr>
            <w:tcW w:type="dxa" w:w="300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Production environment &amp; DevSecOps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Dedicated production Supabase project (isolated from POC data) + production Vercel project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Secrets in a managed vault (Infisical); activate webhook auth (WhatsApp app secret + Telegram secret token)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Error tracking (Sentry), uptime monitoring, automated backups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Production is a clean, isolated, monitored environment; no POC data shared.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Four-layer brand isolation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DNS/domain routing (tfmconsultant.com / oraegbunike.com); JWT org-claims; brand API middleware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Automated cross-brand access test as a repeatable artifact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Cross-brand test passes at all four layers; a TFML user cannot reach OEA data by any route.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Org &amp; member onboarding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Org creation/nesting (parent_org_id, delivery_brand); admin ‘add member’ + role assignment UI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Invite-by-email flow; onboarding actions audited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An admin onboards a new org and enrols a member end-to-end.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Vendor &amp; tenant self-service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Vendor self-registration with admin approval; tenant↔unit assignment; property/unit management UI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vendor self-registers (pending approval); a tenant is linked to a unit and sees their statement.</w:t>
            </w:r>
          </w:p>
        </w:tc>
      </w:tr>
    </w:tbl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20202A"/>
          <w:sz w:val="24"/>
          <w:szCs w:val="24"/>
        </w:rPr>
        <w:t xml:space="preserve">Track B — Money, channels &amp; evaluation (Days 5–9)</w:t>
      </w:r>
    </w:p>
    <w:tbl>
      <w:tblPr>
        <w:tblW w:type="dxa" w:w="10080"/>
        <w:tblBorders>
          <w:top w:val="single" w:color="D8D2D0" w:sz="4"/>
          <w:left w:val="single" w:color="D8D2D0" w:sz="4"/>
          <w:bottom w:val="single" w:color="D8D2D0" w:sz="4"/>
          <w:right w:val="single" w:color="D8D2D0" w:sz="4"/>
          <w:insideH w:val="single" w:color="D8D2D0" w:sz="4"/>
          <w:insideV w:val="single" w:color="D8D2D0" w:sz="4"/>
        </w:tblBorders>
      </w:tblPr>
      <w:tblGrid>
        <w:gridCol w:w="640"/>
        <w:gridCol w:w="1760"/>
        <w:gridCol w:w="4680"/>
        <w:gridCol w:w="3000"/>
      </w:tblGrid>
      <w:tr>
        <w:trPr>
          <w:tblHeader/>
        </w:trPr>
        <w:tc>
          <w:tcPr>
            <w:tcW w:type="dxa" w:w="64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Day</w:t>
            </w:r>
          </w:p>
        </w:tc>
        <w:tc>
          <w:tcPr>
            <w:tcW w:type="dxa" w:w="176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Focus</w:t>
            </w:r>
          </w:p>
        </w:tc>
        <w:tc>
          <w:tcPr>
            <w:tcW w:type="dxa" w:w="468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Key tasks</w:t>
            </w:r>
          </w:p>
        </w:tc>
        <w:tc>
          <w:tcPr>
            <w:tcW w:type="dxa" w:w="300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Live collections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Paystack (Naira) + Flutterwave (FX) checkout for SC invoices; HMAC-verified webhooks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In-app segregated ledger; branded receipts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test-mode collection posts, updates the ledger, and reconciles.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Live remittance &amp; funds control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Paystack Transfers for payouts through the existing B4 gate; segregated client-funds ledger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Daily bank-vs-ledger reconciliation job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gated test-mode transfer executes; daily reconciliation passes; no transfer without approvals.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Per-org inbound channel routing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Map inbound number/bot → org (or per-org numbers/bots); remove the POC single-org hardcoding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message to the TFML channel creates a TFML-org ticket; OEA is separate.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KPI/SLA evaluation foundation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Admin-editable rubric (criteria, points, SLA targets, effective-dating); ‘completed’ job status + completed_at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Auto-measurement of response/completion time vs SLA from timestamps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Admin edits the rubric; response/completion auto-computed, not typed.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Dual-source vendor scoring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Tenant satisfaction review on completion + FM/PM operational checklist, combined via AURA weights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Vendor sees the feedback that fed the score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tenant review + FM eval combine into the composite; no free-typed scores remain.</w:t>
            </w:r>
          </w:p>
        </w:tc>
      </w:tr>
    </w:tbl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20202A"/>
          <w:sz w:val="24"/>
          <w:szCs w:val="24"/>
        </w:rPr>
        <w:t xml:space="preserve">Track C — Reporting, experience, compliance &amp; go-live (Days 10–14)</w:t>
      </w:r>
    </w:p>
    <w:tbl>
      <w:tblPr>
        <w:tblW w:type="dxa" w:w="10080"/>
        <w:tblBorders>
          <w:top w:val="single" w:color="D8D2D0" w:sz="4"/>
          <w:left w:val="single" w:color="D8D2D0" w:sz="4"/>
          <w:bottom w:val="single" w:color="D8D2D0" w:sz="4"/>
          <w:right w:val="single" w:color="D8D2D0" w:sz="4"/>
          <w:insideH w:val="single" w:color="D8D2D0" w:sz="4"/>
          <w:insideV w:val="single" w:color="D8D2D0" w:sz="4"/>
        </w:tblBorders>
      </w:tblPr>
      <w:tblGrid>
        <w:gridCol w:w="640"/>
        <w:gridCol w:w="1760"/>
        <w:gridCol w:w="4680"/>
        <w:gridCol w:w="3000"/>
      </w:tblGrid>
      <w:tr>
        <w:trPr>
          <w:tblHeader/>
        </w:trPr>
        <w:tc>
          <w:tcPr>
            <w:tcW w:type="dxa" w:w="64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Day</w:t>
            </w:r>
          </w:p>
        </w:tc>
        <w:tc>
          <w:tcPr>
            <w:tcW w:type="dxa" w:w="176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Focus</w:t>
            </w:r>
          </w:p>
        </w:tc>
        <w:tc>
          <w:tcPr>
            <w:tcW w:type="dxa" w:w="468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Key tasks</w:t>
            </w:r>
          </w:p>
        </w:tc>
        <w:tc>
          <w:tcPr>
            <w:tcW w:type="dxa" w:w="300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Role-appropriate reporting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Tenant ‘Track my request’ status timeline + SC/payment history + notifications feed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Vendor ‘performance &amp; pipeline’ — score trend, job kanban, pay status, percentile band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 tenant tracks a request end-to-end; a vendor sees their trend + pipeline.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11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Production UX pass + PDF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Mobile drawer nav, password reveal, toasts, loading skeletons, empty states, confirmation dialogs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WCAG AA accessibility; branded PDF export (statements, remittance advice) via @react-pdf/renderer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Accessibility + mobile audits pass; PDFs generate correctly.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Offline PWA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Service worker, manifest, offline caching of key views, background sync for queued requests, web push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The portal is installable and usable offline; a request queued offline syncs on reconnect.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13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Compliance &amp; security hardening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NDPA/GDPR: DPO designation, DPAs with processors, privacy policy, consent, data-retention audit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Webhook rate-limiting (Upstash); automated pen test (OWASP ZAP); load test (k6) to target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No critical findings; load target met; compliance artifacts in place.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14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UAT, training &amp; go-live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Multi-role UAT script; staff training (TFML + OEA); user guides; production data migration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3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Final go/no-go; production deploy; rollback plan confirmed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6"/>
                <w:sz w:val="19"/>
                <w:szCs w:val="19"/>
              </w:rPr>
              <w:t xml:space="preserve">UAT sign-off across all roles; system live; rollback confirmed.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5.  Deliverables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A production deployment on isolated, monitored managed cloud with activated webhook authentication.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Live, reconciled collections and gated remittance in the payment provider's test/live mode.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Self-service onboarding for every role; per-brand channel routing; four-layer brand isolation with a passing cross-brand test.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KPI/SLA-driven, dual-source vendor evaluation and role-appropriate tenant/vendor reporting.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A production-grade, accessible, offline-capable UX with branded PDF outputs.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Compliance pack (DPO, DPAs, privacy, retention) and security evidence (pen test, load test).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UAT sign-off, staff training materials and user guides.</w:t>
      </w:r>
    </w:p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6.  Risks &amp; mitigations</w:t>
      </w:r>
    </w:p>
    <w:tbl>
      <w:tblPr>
        <w:tblW w:type="dxa" w:w="10080"/>
        <w:tblBorders>
          <w:top w:val="single" w:color="D8D2D0" w:sz="4"/>
          <w:left w:val="single" w:color="D8D2D0" w:sz="4"/>
          <w:bottom w:val="single" w:color="D8D2D0" w:sz="4"/>
          <w:right w:val="single" w:color="D8D2D0" w:sz="4"/>
          <w:insideH w:val="single" w:color="D8D2D0" w:sz="4"/>
          <w:insideV w:val="single" w:color="D8D2D0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Risk</w:t>
            </w:r>
          </w:p>
        </w:tc>
        <w:tc>
          <w:tcPr>
            <w:tcW w:type="dxa" w:w="5880"/>
            <w:shd w:fill="F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D1D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Payment provider onboarding/KYC delays (Paystack/Flutterwave, bank account)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Start provider verification on Day 1 in parallel; build against test mode; go live the moment KYC clears.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WhatsApp Business verification &amp; number health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Complete Meta business verification early; keep Telegram + SMS fallback proven as the B8 cascade.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Live money movement risk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Human-in-the-loop gate retained; segregated ledger; daily reconciliation; no keys until controls pass.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Compressed timeline vs scope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10-day compression defers PWA (Day 12) and some UX polish (Day 11) to a fast-follow, without touching money or isolation.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02A"/>
                <w:sz w:val="19"/>
                <w:szCs w:val="19"/>
              </w:rPr>
              <w:t xml:space="preserve">Data migration from POC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02A"/>
                <w:sz w:val="19"/>
                <w:szCs w:val="19"/>
              </w:rPr>
              <w:t xml:space="preserve">POC uses synthetic data; production starts clean with real onboarding — no risky migration of demo records.</w:t>
            </w:r>
          </w:p>
        </w:tc>
      </w:tr>
    </w:tbl>
    <w:p>
      <w:pPr>
        <w:pStyle w:val="Heading1"/>
        <w:spacing w:after="120" w:before="300"/>
      </w:pPr>
      <w:r>
        <w:rPr>
          <w:rFonts w:ascii="Cambria" w:cs="Cambria" w:eastAsia="Cambria" w:hAnsi="Cambria"/>
          <w:b/>
          <w:bCs/>
          <w:color w:val="8B1D1D"/>
          <w:sz w:val="30"/>
          <w:szCs w:val="30"/>
        </w:rPr>
        <w:t xml:space="preserve">7.  Exit gate — go-live criteria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Cross-brand isolation test passes at all four layers.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A collection and a gated remittance both reconcile in the provider environment.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Every role can be onboarded in-app and sees only its own correctly-scoped data.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No critical security findings; load target met; NDPA/GDPR artifacts signed off.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color w:val="20202A"/>
          <w:sz w:val="21"/>
          <w:szCs w:val="21"/>
        </w:rPr>
        <w:t xml:space="preserve">Multi-role UAT completed clean; rollback plan confirmed.</w:t>
      </w:r>
    </w:p>
    <w:p>
      <w:pPr>
        <w:pBdr>
          <w:bottom w:val="single" w:color="9C7A10" w:sz="6" w:space="1"/>
        </w:pBdr>
        <w:spacing w:after="120"/>
      </w:pPr>
    </w:p>
    <w:p>
      <w:p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0202A"/>
          <w:sz w:val="21"/>
          <w:szCs w:val="21"/>
        </w:rPr>
        <w:t xml:space="preserve">Compression to 10 days: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02A"/>
          <w:sz w:val="21"/>
          <w:szCs w:val="21"/>
        </w:rPr>
        <w:t xml:space="preserve">keep Days 1–10 and Days 13–14; fold Day 11 (UX polish) into a post-launch sprint and defer Day 12 (PWA) to a fast-follow. Money movement, brand isolation, onboarding, evaluation and compliance all remain in scope — only offline resilience and cosmetic polish move out.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5A66"/>
          <w:sz w:val="18"/>
          <w:szCs w:val="18"/>
        </w:rPr>
        <w:t xml:space="preserve">Companion documents (in the repository): </w:t>
      </w:r>
      <w:r>
        <w:rPr>
          <w:rFonts w:ascii="Calibri" w:cs="Calibri" w:eastAsia="Calibri" w:hAnsi="Calibri"/>
          <w:b w:val="false"/>
          <w:bCs w:val="false"/>
          <w:i/>
          <w:iCs/>
          <w:color w:val="5A5A66"/>
          <w:sz w:val="18"/>
          <w:szCs w:val="18"/>
        </w:rPr>
        <w:t xml:space="preserve">RECONCILED_ROADMAP.md, PHASE1_VENDOR_EVALUATION.md, SECURITY_REVIEW.md, UX_BACKLOG.md, DEPLOYMENT.md.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 Group — Phase 1 Production Build Roadmap</dc:title>
  <dc:creator>OE Group</dc:creator>
  <cp:lastModifiedBy>Un-named</cp:lastModifiedBy>
  <cp:revision>1</cp:revision>
  <dcterms:created xsi:type="dcterms:W3CDTF">2026-07-22T17:56:47.092Z</dcterms:created>
  <dcterms:modified xsi:type="dcterms:W3CDTF">2026-07-22T17:56:47.093Z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