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9C7A10"/>
          <w:sz w:val="20"/>
          <w:szCs w:val="20"/>
        </w:rPr>
        <w:t xml:space="preserve">OE GROUP  ·  TFML + OEA</w:t>
      </w:r>
    </w:p>
    <w:p>
      <w:pPr>
        <w:spacing w:after="40"/>
      </w:pPr>
      <w:r>
        <w:rPr>
          <w:rFonts w:ascii="Cambria" w:cs="Cambria" w:eastAsia="Cambria" w:hAnsi="Cambria"/>
          <w:b/>
          <w:bCs/>
          <w:color w:val="8B1D1D"/>
          <w:sz w:val="42"/>
          <w:szCs w:val="42"/>
        </w:rPr>
        <w:t xml:space="preserve">Phase 1 — Production Build Workplan &amp; Workflow</w:t>
      </w:r>
    </w:p>
    <w:p>
      <w:pPr>
        <w:spacing w:after="40"/>
      </w:pPr>
      <w:r>
        <w:rPr>
          <w:rFonts w:ascii="Calibri" w:cs="Calibri" w:eastAsia="Calibri" w:hAnsi="Calibri"/>
          <w:b w:val="false"/>
          <w:bCs w:val="false"/>
          <w:i/>
          <w:iCs/>
          <w:color w:val="20202A"/>
          <w:sz w:val="24"/>
          <w:szCs w:val="24"/>
        </w:rPr>
        <w:t xml:space="preserve">12 Days, AI-Led  ·  with a visible deliverable at every stage</w:t>
      </w:r>
    </w:p>
    <w:p>
      <w:pPr>
        <w:pBdr>
          <w:bottom w:val="single" w:color="9C7A10" w:sz="6" w:space="1"/>
        </w:pBdr>
        <w:spacing w:after="130"/>
      </w:pPr>
    </w:p>
    <w:p>
      <w:pPr>
        <w:spacing w:after="260"/>
      </w:pPr>
      <w:r>
        <w:rPr>
          <w:rFonts w:ascii="Calibri" w:cs="Calibri" w:eastAsia="Calibri" w:hAnsi="Calibri"/>
          <w:b/>
          <w:bCs/>
          <w:i w:val="false"/>
          <w:iCs w:val="false"/>
          <w:color w:val="5A5A66"/>
          <w:sz w:val="18"/>
          <w:szCs w:val="18"/>
        </w:rPr>
        <w:t xml:space="preserve">Board Confidential  ·  July 2026</w:t>
      </w:r>
    </w:p>
    <w:p>
      <w:pPr>
        <w:pStyle w:val="Heading1"/>
        <w:spacing w:after="130" w:before="320"/>
      </w:pPr>
      <w:r>
        <w:rPr>
          <w:rFonts w:ascii="Cambria" w:cs="Cambria" w:eastAsia="Cambria" w:hAnsi="Cambria"/>
          <w:b/>
          <w:bCs/>
          <w:color w:val="8B1D1D"/>
          <w:sz w:val="30"/>
          <w:szCs w:val="30"/>
        </w:rPr>
        <w:t xml:space="preserve">How to use this document</w:t>
      </w:r>
    </w:p>
    <w:p>
      <w:pPr>
        <w:spacing w:after="110" w:line="264"/>
      </w:pPr>
      <w:r>
        <w:rPr>
          <w:rFonts w:ascii="Calibri" w:cs="Calibri" w:eastAsia="Calibri" w:hAnsi="Calibri"/>
          <w:b w:val="false"/>
          <w:bCs w:val="false"/>
          <w:i w:val="false"/>
          <w:iCs w:val="false"/>
          <w:color w:val="20202A"/>
          <w:sz w:val="21"/>
          <w:szCs w:val="21"/>
        </w:rPr>
        <w:t xml:space="preserve">One deliverable per day, behind a verification gate, with a visible result you can open and show. Each day gives you the exact prompt to hand Claude Code, the steps only you can do (accounts, keys, approvals), how to verify it, and the gate that must pass before the next day begins.</w:t>
      </w:r>
    </w:p>
    <w:p>
      <w:pPr>
        <w:spacing w:after="110" w:line="264"/>
      </w:pPr>
      <w:r>
        <w:rPr>
          <w:rFonts w:ascii="Calibri" w:cs="Calibri" w:eastAsia="Calibri" w:hAnsi="Calibri"/>
          <w:b w:val="false"/>
          <w:bCs w:val="false"/>
          <w:i/>
          <w:iCs/>
          <w:color w:val="5A5A66"/>
          <w:sz w:val="19"/>
          <w:szCs w:val="19"/>
        </w:rPr>
        <w:t xml:space="preserve">Scope source of truth: RECONCILED_ROADMAP.md (including the locked OEA expansion and interactive-analytics items), OEA_TENANT_ONBOARDING.md, and PHASE1_VENDOR_EVALUATION.md.</w:t>
      </w:r>
    </w:p>
    <w:p>
      <w:pPr>
        <w:pStyle w:val="Heading1"/>
        <w:spacing w:after="130" w:before="320"/>
      </w:pPr>
      <w:r>
        <w:rPr>
          <w:rFonts w:ascii="Cambria" w:cs="Cambria" w:eastAsia="Cambria" w:hAnsi="Cambria"/>
          <w:b/>
          <w:bCs/>
          <w:color w:val="8B1D1D"/>
          <w:sz w:val="30"/>
          <w:szCs w:val="30"/>
        </w:rPr>
        <w:t xml:space="preserve">Standing rules</w:t>
      </w:r>
    </w:p>
    <w:p>
      <w:pPr>
        <w:pStyle w:val="ListParagraph"/>
        <w:numPr>
          <w:ilvl w:val="0"/>
          <w:numId w:val="1"/>
        </w:numPr>
        <w:spacing w:after="60" w:line="258"/>
      </w:pPr>
      <w:r>
        <w:rPr>
          <w:rFonts w:ascii="Calibri" w:cs="Calibri" w:eastAsia="Calibri" w:hAnsi="Calibri"/>
          <w:color w:val="20202A"/>
          <w:sz w:val="21"/>
          <w:szCs w:val="21"/>
        </w:rPr>
        <w:t xml:space="preserve">Never touch the demo. All work on the phase-1 branch against the dev Supabase; main and the live demo stay frozen at poc-demo-v1.</w:t>
      </w:r>
    </w:p>
    <w:p>
      <w:pPr>
        <w:pStyle w:val="ListParagraph"/>
        <w:numPr>
          <w:ilvl w:val="0"/>
          <w:numId w:val="1"/>
        </w:numPr>
        <w:spacing w:after="60" w:line="258"/>
      </w:pPr>
      <w:r>
        <w:rPr>
          <w:rFonts w:ascii="Calibri" w:cs="Calibri" w:eastAsia="Calibri" w:hAnsi="Calibri"/>
          <w:color w:val="20202A"/>
          <w:sz w:val="21"/>
          <w:szCs w:val="21"/>
        </w:rPr>
        <w:t xml:space="preserve">Human-in-the-loop for money and for tenant screening — no automated payouts, no automated tenant decisions.</w:t>
      </w:r>
    </w:p>
    <w:p>
      <w:pPr>
        <w:pStyle w:val="ListParagraph"/>
        <w:numPr>
          <w:ilvl w:val="0"/>
          <w:numId w:val="1"/>
        </w:numPr>
        <w:spacing w:after="60" w:line="258"/>
      </w:pPr>
      <w:r>
        <w:rPr>
          <w:rFonts w:ascii="Calibri" w:cs="Calibri" w:eastAsia="Calibri" w:hAnsi="Calibri"/>
          <w:color w:val="20202A"/>
          <w:sz w:val="21"/>
          <w:szCs w:val="21"/>
        </w:rPr>
        <w:t xml:space="preserve">RLS is the enforced backstop; UI gating sits on top, never instead of it.</w:t>
      </w:r>
    </w:p>
    <w:p>
      <w:pPr>
        <w:pStyle w:val="ListParagraph"/>
        <w:numPr>
          <w:ilvl w:val="0"/>
          <w:numId w:val="1"/>
        </w:numPr>
        <w:spacing w:after="60" w:line="258"/>
      </w:pPr>
      <w:r>
        <w:rPr>
          <w:rFonts w:ascii="Calibri" w:cs="Calibri" w:eastAsia="Calibri" w:hAnsi="Calibri"/>
          <w:color w:val="20202A"/>
          <w:sz w:val="21"/>
          <w:szCs w:val="21"/>
        </w:rPr>
        <w:t xml:space="preserve">No live payment keys until the ledger and reconciliation pass their gate on Day 4.</w:t>
      </w:r>
    </w:p>
    <w:p>
      <w:pPr>
        <w:pStyle w:val="ListParagraph"/>
        <w:numPr>
          <w:ilvl w:val="0"/>
          <w:numId w:val="1"/>
        </w:numPr>
        <w:spacing w:after="60" w:line="258"/>
      </w:pPr>
      <w:r>
        <w:rPr>
          <w:rFonts w:ascii="Calibri" w:cs="Calibri" w:eastAsia="Calibri" w:hAnsi="Calibri"/>
          <w:color w:val="20202A"/>
          <w:sz w:val="21"/>
          <w:szCs w:val="21"/>
        </w:rPr>
        <w:t xml:space="preserve">Verify before stacking — each day's gate must pass before the next begins.</w:t>
      </w:r>
    </w:p>
    <w:p>
      <w:pPr>
        <w:pStyle w:val="ListParagraph"/>
        <w:numPr>
          <w:ilvl w:val="0"/>
          <w:numId w:val="1"/>
        </w:numPr>
        <w:spacing w:after="60" w:line="258"/>
      </w:pPr>
      <w:r>
        <w:rPr>
          <w:rFonts w:ascii="Calibri" w:cs="Calibri" w:eastAsia="Calibri" w:hAnsi="Calibri"/>
          <w:color w:val="20202A"/>
          <w:sz w:val="21"/>
          <w:szCs w:val="21"/>
        </w:rPr>
        <w:t xml:space="preserve">Build every outbound JSON body as a real object serialised with JSON.stringify() — never a string template.</w:t>
      </w:r>
    </w:p>
    <w:p>
      <w:pPr>
        <w:pStyle w:val="Heading1"/>
        <w:spacing w:after="130" w:before="320"/>
      </w:pPr>
      <w:r>
        <w:rPr>
          <w:rFonts w:ascii="Cambria" w:cs="Cambria" w:eastAsia="Cambria" w:hAnsi="Cambria"/>
          <w:b/>
          <w:bCs/>
          <w:color w:val="8B1D1D"/>
          <w:sz w:val="30"/>
          <w:szCs w:val="30"/>
        </w:rPr>
        <w:t xml:space="preserve">Day 0 — Preconditions (before Day 1)</w:t>
      </w:r>
    </w:p>
    <w:p>
      <w:pPr>
        <w:spacing w:after="110" w:line="264"/>
      </w:pPr>
      <w:r>
        <w:rPr>
          <w:rFonts w:ascii="Calibri" w:cs="Calibri" w:eastAsia="Calibri" w:hAnsi="Calibri"/>
          <w:b w:val="false"/>
          <w:bCs w:val="false"/>
          <w:i w:val="false"/>
          <w:iCs w:val="false"/>
          <w:color w:val="5A5A66"/>
          <w:sz w:val="21"/>
          <w:szCs w:val="21"/>
        </w:rPr>
        <w:t xml:space="preserve">Accounts and assets to have ready. Test-mode keys are fine; start any KYC/verification now because it gates going live, not building.</w:t>
      </w:r>
    </w:p>
    <w:p>
      <w:pPr>
        <w:pStyle w:val="ListParagraph"/>
        <w:numPr>
          <w:ilvl w:val="0"/>
          <w:numId w:val="1"/>
        </w:numPr>
        <w:spacing w:after="60" w:line="258"/>
      </w:pPr>
      <w:r>
        <w:rPr>
          <w:rFonts w:ascii="Calibri" w:cs="Calibri" w:eastAsia="Calibri" w:hAnsi="Calibri"/>
          <w:color w:val="20202A"/>
          <w:sz w:val="21"/>
          <w:szCs w:val="21"/>
        </w:rPr>
        <w:t xml:space="preserve">☐  Supabase: create project oe-group-dev — copy Project URL, anon key, service_role key, and the session-pooler DB connection string.</w:t>
      </w:r>
    </w:p>
    <w:p>
      <w:pPr>
        <w:pStyle w:val="ListParagraph"/>
        <w:numPr>
          <w:ilvl w:val="0"/>
          <w:numId w:val="1"/>
        </w:numPr>
        <w:spacing w:after="60" w:line="258"/>
      </w:pPr>
      <w:r>
        <w:rPr>
          <w:rFonts w:ascii="Calibri" w:cs="Calibri" w:eastAsia="Calibri" w:hAnsi="Calibri"/>
          <w:color w:val="20202A"/>
          <w:sz w:val="21"/>
          <w:szCs w:val="21"/>
        </w:rPr>
        <w:t xml:space="preserve">☐  Paystack account (Naira collections + Transfers) — test keys; begin business verification.</w:t>
      </w:r>
    </w:p>
    <w:p>
      <w:pPr>
        <w:pStyle w:val="ListParagraph"/>
        <w:numPr>
          <w:ilvl w:val="0"/>
          <w:numId w:val="1"/>
        </w:numPr>
        <w:spacing w:after="60" w:line="258"/>
      </w:pPr>
      <w:r>
        <w:rPr>
          <w:rFonts w:ascii="Calibri" w:cs="Calibri" w:eastAsia="Calibri" w:hAnsi="Calibri"/>
          <w:color w:val="20202A"/>
          <w:sz w:val="21"/>
          <w:szCs w:val="21"/>
        </w:rPr>
        <w:t xml:space="preserve">☐  Flutterwave account (FX collections) — test keys.</w:t>
      </w:r>
    </w:p>
    <w:p>
      <w:pPr>
        <w:pStyle w:val="ListParagraph"/>
        <w:numPr>
          <w:ilvl w:val="0"/>
          <w:numId w:val="1"/>
        </w:numPr>
        <w:spacing w:after="60" w:line="258"/>
      </w:pPr>
      <w:r>
        <w:rPr>
          <w:rFonts w:ascii="Calibri" w:cs="Calibri" w:eastAsia="Calibri" w:hAnsi="Calibri"/>
          <w:color w:val="20202A"/>
          <w:sz w:val="21"/>
          <w:szCs w:val="21"/>
        </w:rPr>
        <w:t xml:space="preserve">☐  Bank: confirm the segregated client-funds account exists or is being opened.</w:t>
      </w:r>
    </w:p>
    <w:p>
      <w:pPr>
        <w:pStyle w:val="ListParagraph"/>
        <w:numPr>
          <w:ilvl w:val="0"/>
          <w:numId w:val="1"/>
        </w:numPr>
        <w:spacing w:after="60" w:line="258"/>
      </w:pPr>
      <w:r>
        <w:rPr>
          <w:rFonts w:ascii="Calibri" w:cs="Calibri" w:eastAsia="Calibri" w:hAnsi="Calibri"/>
          <w:color w:val="20202A"/>
          <w:sz w:val="21"/>
          <w:szCs w:val="21"/>
        </w:rPr>
        <w:t xml:space="preserve">☐  Domains: DNS access for tfmconsultant.com and oraegbunike.com.</w:t>
      </w:r>
    </w:p>
    <w:p>
      <w:pPr>
        <w:pStyle w:val="ListParagraph"/>
        <w:numPr>
          <w:ilvl w:val="0"/>
          <w:numId w:val="1"/>
        </w:numPr>
        <w:spacing w:after="60" w:line="258"/>
      </w:pPr>
      <w:r>
        <w:rPr>
          <w:rFonts w:ascii="Calibri" w:cs="Calibri" w:eastAsia="Calibri" w:hAnsi="Calibri"/>
          <w:color w:val="20202A"/>
          <w:sz w:val="21"/>
          <w:szCs w:val="21"/>
        </w:rPr>
        <w:t xml:space="preserve">☐  WhatsApp: a second number for OEA (TFML already live on +234 708 471 4148).</w:t>
      </w:r>
    </w:p>
    <w:p>
      <w:pPr>
        <w:pStyle w:val="ListParagraph"/>
        <w:numPr>
          <w:ilvl w:val="0"/>
          <w:numId w:val="1"/>
        </w:numPr>
        <w:spacing w:after="60" w:line="258"/>
      </w:pPr>
      <w:r>
        <w:rPr>
          <w:rFonts w:ascii="Calibri" w:cs="Calibri" w:eastAsia="Calibri" w:hAnsi="Calibri"/>
          <w:color w:val="20202A"/>
          <w:sz w:val="21"/>
          <w:szCs w:val="21"/>
        </w:rPr>
        <w:t xml:space="preserve">☐  Cloudflare R2 (or confirm Supabase Storage) for photo/video and documents.</w:t>
      </w:r>
    </w:p>
    <w:p>
      <w:pPr>
        <w:pStyle w:val="ListParagraph"/>
        <w:numPr>
          <w:ilvl w:val="0"/>
          <w:numId w:val="1"/>
        </w:numPr>
        <w:spacing w:after="60" w:line="258"/>
      </w:pPr>
      <w:r>
        <w:rPr>
          <w:rFonts w:ascii="Calibri" w:cs="Calibri" w:eastAsia="Calibri" w:hAnsi="Calibri"/>
          <w:color w:val="20202A"/>
          <w:sz w:val="21"/>
          <w:szCs w:val="21"/>
        </w:rPr>
        <w:t xml:space="preserve">☐  Decide the management/admin fee percentage OEA deducts from rent before remitting.</w:t>
      </w:r>
    </w:p>
    <w:p>
      <w:pPr>
        <w:spacing w:after="110" w:line="264"/>
      </w:pPr>
      <w:r>
        <w:rPr>
          <w:rFonts w:ascii="Calibri" w:cs="Calibri" w:eastAsia="Calibri" w:hAnsi="Calibri"/>
          <w:b/>
          <w:bCs/>
          <w:i w:val="false"/>
          <w:iCs w:val="false"/>
          <w:color w:val="20202A"/>
          <w:sz w:val="21"/>
          <w:szCs w:val="21"/>
        </w:rPr>
        <w:t xml:space="preserve">Done when: all keys are in hand and ready to paste on request. Nothing is built yet.</w:t>
      </w:r>
    </w:p>
    <w:p>
      <w:r>
        <w:br w:type="page"/>
      </w:r>
    </w:p>
    <w:p>
      <w:pPr>
        <w:pStyle w:val="Heading1"/>
        <w:spacing w:after="130" w:before="320"/>
      </w:pPr>
      <w:r>
        <w:rPr>
          <w:rFonts w:ascii="Cambria" w:cs="Cambria" w:eastAsia="Cambria" w:hAnsi="Cambria"/>
          <w:b/>
          <w:bCs/>
          <w:color w:val="8B1D1D"/>
          <w:sz w:val="30"/>
          <w:szCs w:val="30"/>
        </w:rPr>
        <w:t xml:space="preserve">TRACK A — Foundation &amp; isolation (Days 1–3)</w:t>
      </w:r>
    </w:p>
    <w:p>
      <w:pPr>
        <w:pStyle w:val="Heading2"/>
        <w:spacing w:after="90" w:before="240"/>
      </w:pPr>
      <w:r>
        <w:rPr>
          <w:rFonts w:ascii="Cambria" w:cs="Cambria" w:eastAsia="Cambria" w:hAnsi="Cambria"/>
          <w:b/>
          <w:bCs/>
          <w:color w:val="20202A"/>
          <w:sz w:val="25"/>
          <w:szCs w:val="25"/>
        </w:rPr>
        <w:t xml:space="preserve">Day 1 — Environment split, branch, production hardening</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A Phase-1 world that cannot touch the demo.</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Create the phase-1 branch. Point .env.local at the new oe-group-dev Supabase, run migrations + seed there. Add Upstash rate-limiting to both intake webhooks, wire Sentry error tracking and uptime monitoring, and confirm automated backups. Verify the demo database is untouched.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Paste the oe-group-dev Supabase keys.</w:t>
            </w:r>
          </w:p>
          <w:p>
            <w:pPr>
              <w:spacing w:after="30" w:line="250"/>
            </w:pPr>
            <w:r>
              <w:rPr>
                <w:rFonts w:ascii="Calibri" w:cs="Calibri" w:eastAsia="Calibri" w:hAnsi="Calibri"/>
                <w:b w:val="false"/>
                <w:bCs w:val="false"/>
                <w:i w:val="false"/>
                <w:iCs w:val="false"/>
                <w:color w:val="20202A"/>
                <w:sz w:val="20"/>
                <w:szCs w:val="20"/>
              </w:rPr>
              <w:t xml:space="preserve">Create Upstash + Sentry accounts (free tier) and paste those keys.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Open the demo URL — unchanged. Open the Phase-1 preview URL — same app, different (dev) data.</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Phase-1 preview URL running on its own database, with the demo provably untouched side-by-side.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Two independent environments; rate-limiting active; errors reporting.</w:t>
            </w:r>
          </w:p>
        </w:tc>
      </w:tr>
    </w:tbl>
    <w:p>
      <w:pPr>
        <w:pStyle w:val="Heading2"/>
        <w:spacing w:after="90" w:before="240"/>
      </w:pPr>
      <w:r>
        <w:rPr>
          <w:rFonts w:ascii="Cambria" w:cs="Cambria" w:eastAsia="Cambria" w:hAnsi="Cambria"/>
          <w:b/>
          <w:bCs/>
          <w:color w:val="20202A"/>
          <w:sz w:val="25"/>
          <w:szCs w:val="25"/>
        </w:rPr>
        <w:t xml:space="preserve">Day 2 — Four-layer brand isolation + per-org channel routing</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Each brand is isolated on the way in, not just at rest.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Implement the remaining B1 isolation layers: JWT org claims, brand API middleware, and DNS/domain routing for tfmconsultant.com and oraegbunike.com. Replace the hardcoded DEMO_ORG_ID in both webhooks with a channel-to-org mapping so each brand's WhatsApp/Telegram number lands in its own org. Extend verify-access-matrix.mjs to prove cross-brand isolation at all four layers.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Add the DNS records Claude gives you.</w:t>
            </w:r>
          </w:p>
          <w:p>
            <w:pPr>
              <w:spacing w:after="30" w:line="250"/>
            </w:pPr>
            <w:r>
              <w:rPr>
                <w:rFonts w:ascii="Calibri" w:cs="Calibri" w:eastAsia="Calibri" w:hAnsi="Calibri"/>
                <w:b w:val="false"/>
                <w:bCs w:val="false"/>
                <w:i w:val="false"/>
                <w:iCs w:val="false"/>
                <w:color w:val="20202A"/>
                <w:sz w:val="20"/>
                <w:szCs w:val="20"/>
              </w:rPr>
              <w:t xml:space="preserve">Register the OEA WhatsApp number and give Claude its Phone Number ID.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Message the TFML number — ticket appears under TFML only. Message the OEA number — under OEA only. Neither can see the other.</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Two branded portals on their own domains, and a passing cross-brand isolation test printed to screen.</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The 4-layer test passes; no DEMO_ORG_ID hardcoding remains.</w:t>
            </w:r>
          </w:p>
        </w:tc>
      </w:tr>
    </w:tbl>
    <w:p>
      <w:pPr>
        <w:pStyle w:val="Heading2"/>
        <w:spacing w:after="90" w:before="240"/>
      </w:pPr>
      <w:r>
        <w:rPr>
          <w:rFonts w:ascii="Cambria" w:cs="Cambria" w:eastAsia="Cambria" w:hAnsi="Cambria"/>
          <w:b/>
          <w:bCs/>
          <w:color w:val="20202A"/>
          <w:sz w:val="25"/>
          <w:szCs w:val="25"/>
        </w:rPr>
        <w:t xml:space="preserve">Day 3 — Self-service onboarding &amp; enrollment</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An org can enroll its own people without a script.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onboarding: invite-by-email for staff (admin adds member + assigns role), vendor self-registration with admin approval, and tenant-to-unit assignment UI. All org-scoped, all audited. Include an accept-invite signup flow.</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Confirm the sender email domain for invites (Resend).</w:t>
            </w:r>
          </w:p>
          <w:p>
            <w:pPr>
              <w:spacing w:after="30" w:line="250"/>
            </w:pPr>
            <w:r>
              <w:rPr>
                <w:rFonts w:ascii="Calibri" w:cs="Calibri" w:eastAsia="Calibri" w:hAnsi="Calibri"/>
                <w:b w:val="false"/>
                <w:bCs w:val="false"/>
                <w:i w:val="false"/>
                <w:iCs w:val="false"/>
                <w:color w:val="20202A"/>
                <w:sz w:val="20"/>
                <w:szCs w:val="20"/>
              </w:rPr>
              <w:t xml:space="preserve">Decide who may invite.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Invite yourself at a second email, accept, and land in the right org with the right role and nothing more.</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An invite email → signup → correctly-scoped login, performed live.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Every role can be enrolled in-app; seed scripts no longer required.</w:t>
            </w:r>
          </w:p>
        </w:tc>
      </w:tr>
    </w:tbl>
    <w:p>
      <w:pPr>
        <w:pStyle w:val="Heading1"/>
        <w:spacing w:after="130" w:before="320"/>
      </w:pPr>
      <w:r>
        <w:rPr>
          <w:rFonts w:ascii="Cambria" w:cs="Cambria" w:eastAsia="Cambria" w:hAnsi="Cambria"/>
          <w:b/>
          <w:bCs/>
          <w:color w:val="8B1D1D"/>
          <w:sz w:val="30"/>
          <w:szCs w:val="30"/>
        </w:rPr>
        <w:t xml:space="preserve">TRACK B — Money (Days 4–6) · highest compliance risk</w:t>
      </w:r>
    </w:p>
    <w:p>
      <w:pPr>
        <w:pStyle w:val="Heading2"/>
        <w:spacing w:after="90" w:before="240"/>
      </w:pPr>
      <w:r>
        <w:rPr>
          <w:rFonts w:ascii="Cambria" w:cs="Cambria" w:eastAsia="Cambria" w:hAnsi="Cambria"/>
          <w:b/>
          <w:bCs/>
          <w:color w:val="20202A"/>
          <w:sz w:val="25"/>
          <w:szCs w:val="25"/>
        </w:rPr>
        <w:t xml:space="preserve">Day 4 — Segregated client-funds ledger + reconciliation engine</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Close the biggest gap — money has a real, auditable ledger.</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the segregated client-funds ledger: double-entry postings, per-org and per-landlord/vendor balances, immutable entries, and a daily bank-vs-ledger reconciliation job that flags variances. Include a ledger view and a reconciliation report. No gateway yet.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Provide the client-funds bank account details (name/number only).</w:t>
            </w:r>
          </w:p>
          <w:p>
            <w:pPr>
              <w:spacing w:after="30" w:line="250"/>
            </w:pPr>
            <w:r>
              <w:rPr>
                <w:rFonts w:ascii="Calibri" w:cs="Calibri" w:eastAsia="Calibri" w:hAnsi="Calibri"/>
                <w:b w:val="false"/>
                <w:bCs w:val="false"/>
                <w:i w:val="false"/>
                <w:iCs w:val="false"/>
                <w:color w:val="20202A"/>
                <w:sz w:val="20"/>
                <w:szCs w:val="20"/>
              </w:rPr>
              <w:t xml:space="preserve">Provide the opening balance to reconcile from.</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Post test entries; confirm balances add up and reconciliation shows zero variance. Then deliberately introduce one and see it flagged.</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ledger screen with balances, and a daily reconciliation report showing matched vs flagged.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Ledger balances, reconciliation runs, variances surface. (This is the gate for live payment keys.)</w:t>
            </w:r>
          </w:p>
        </w:tc>
      </w:tr>
    </w:tbl>
    <w:p>
      <w:pPr>
        <w:pStyle w:val="Heading2"/>
        <w:spacing w:after="90" w:before="240"/>
      </w:pPr>
      <w:r>
        <w:rPr>
          <w:rFonts w:ascii="Cambria" w:cs="Cambria" w:eastAsia="Cambria" w:hAnsi="Cambria"/>
          <w:b/>
          <w:bCs/>
          <w:color w:val="20202A"/>
          <w:sz w:val="25"/>
          <w:szCs w:val="25"/>
        </w:rPr>
        <w:t xml:space="preserve">Day 5 — Live collections (rent + service charge)</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Money can come in, exactly once, and land in the ledger.</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Integrate Paystack (Naira) and Flutterwave (FX) collections for both service charge and rent invoices. HMAC-verified webhooks, idempotent posting to the ledger, branded receipt PDFs, and server-side amount verification.</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Paste Paystack + Flutterwave test keys.</w:t>
            </w:r>
          </w:p>
          <w:p>
            <w:pPr>
              <w:spacing w:after="30" w:line="250"/>
            </w:pPr>
            <w:r>
              <w:rPr>
                <w:rFonts w:ascii="Calibri" w:cs="Calibri" w:eastAsia="Calibri" w:hAnsi="Calibri"/>
                <w:b w:val="false"/>
                <w:bCs w:val="false"/>
                <w:i w:val="false"/>
                <w:iCs w:val="false"/>
                <w:color w:val="20202A"/>
                <w:sz w:val="20"/>
                <w:szCs w:val="20"/>
              </w:rPr>
              <w:t xml:space="preserve">Set the management/admin fee % applied to rent.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Pay a test invoice with a test card — receipt arrives, ledger posts, reconciliation still balances.</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real (test-mode) payment flowing from checkout → receipt → ledger, on screen.</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Collections post exactly once and reconcile.</w:t>
            </w:r>
          </w:p>
        </w:tc>
      </w:tr>
    </w:tbl>
    <w:p>
      <w:pPr>
        <w:pStyle w:val="Heading2"/>
        <w:spacing w:after="90" w:before="240"/>
      </w:pPr>
      <w:r>
        <w:rPr>
          <w:rFonts w:ascii="Cambria" w:cs="Cambria" w:eastAsia="Cambria" w:hAnsi="Cambria"/>
          <w:b/>
          <w:bCs/>
          <w:color w:val="20202A"/>
          <w:sz w:val="25"/>
          <w:szCs w:val="25"/>
        </w:rPr>
        <w:t xml:space="preserve">Day 6 — Live remittance (vendor payouts + landlord rent)</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Money goes out only through the gate, with fees correctly retained.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Wire Paystack Transfers behind the existing B4 gate for vendor payouts, and add custodial landlord rent remittance: collect rent, deduct management/admin fees, remit the balance — same gate, same ledger, with remittance advice PDFs. Support the per-landlord collection_mode = custodial | direct flag.</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Approve the fee model.</w:t>
            </w:r>
          </w:p>
          <w:p>
            <w:pPr>
              <w:spacing w:after="30" w:line="250"/>
            </w:pPr>
            <w:r>
              <w:rPr>
                <w:rFonts w:ascii="Calibri" w:cs="Calibri" w:eastAsia="Calibri" w:hAnsi="Calibri"/>
                <w:b w:val="false"/>
                <w:bCs w:val="false"/>
                <w:i w:val="false"/>
                <w:iCs w:val="false"/>
                <w:color w:val="20202A"/>
                <w:sz w:val="20"/>
                <w:szCs w:val="20"/>
              </w:rPr>
              <w:t xml:space="preserve">Add a test recipient/bank account.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Run a payout through verify → performance → approve → remit; confirm the ledger shows fee retained and balance remitted.</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gated landlord remittance with fees deducted and a remittance advice PDF, fully reconciled.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No transfer executes without the gate; ledger and bank agree.</w:t>
            </w:r>
          </w:p>
        </w:tc>
      </w:tr>
    </w:tbl>
    <w:p>
      <w:pPr>
        <w:pStyle w:val="Heading1"/>
        <w:spacing w:after="130" w:before="320"/>
      </w:pPr>
      <w:r>
        <w:rPr>
          <w:rFonts w:ascii="Cambria" w:cs="Cambria" w:eastAsia="Cambria" w:hAnsi="Cambria"/>
          <w:b/>
          <w:bCs/>
          <w:color w:val="8B1D1D"/>
          <w:sz w:val="30"/>
          <w:szCs w:val="30"/>
        </w:rPr>
        <w:t xml:space="preserve">TRACK C — OEA lettings (Days 7–9)</w:t>
      </w:r>
    </w:p>
    <w:p>
      <w:pPr>
        <w:pStyle w:val="Heading2"/>
        <w:spacing w:after="90" w:before="240"/>
      </w:pPr>
      <w:r>
        <w:rPr>
          <w:rFonts w:ascii="Cambria" w:cs="Cambria" w:eastAsia="Cambria" w:hAnsi="Cambria"/>
          <w:b/>
          <w:bCs/>
          <w:color w:val="20202A"/>
          <w:sz w:val="25"/>
          <w:szCs w:val="25"/>
        </w:rPr>
        <w:t xml:space="preserve">Day 7 — Tenant application &amp; KYC capture</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Prospective tenants apply online, individual or corporate.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the tenant application module per OEA_TENANT_ONBOARDING.md: individual and corporate (commercial) forms mirroring the three OEA forms, save-and-resume, document uploads (ID, CAC, TIN, passport photo) to R2, plus a download-fill-upload path. Explicit NDPA consent capture; special-category fields optional and access-gated.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Confirm the final field list per form.</w:t>
            </w:r>
          </w:p>
          <w:p>
            <w:pPr>
              <w:spacing w:after="30" w:line="250"/>
            </w:pPr>
            <w:r>
              <w:rPr>
                <w:rFonts w:ascii="Calibri" w:cs="Calibri" w:eastAsia="Calibri" w:hAnsi="Calibri"/>
                <w:b w:val="false"/>
                <w:bCs w:val="false"/>
                <w:i w:val="false"/>
                <w:iCs w:val="false"/>
                <w:color w:val="20202A"/>
                <w:sz w:val="20"/>
                <w:szCs w:val="20"/>
              </w:rPr>
              <w:t xml:space="preserve">Confirm which documents are mandatory.</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Complete an application as a prospective tenant on a phone; upload a document; resume a half-finished one.</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public application link a real prospect can fill on mobile, with documents attached.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Both individual and corporate applications submit cleanly.</w:t>
            </w:r>
          </w:p>
        </w:tc>
      </w:tr>
    </w:tbl>
    <w:p>
      <w:pPr>
        <w:pStyle w:val="Heading2"/>
        <w:spacing w:after="90" w:before="240"/>
      </w:pPr>
      <w:r>
        <w:rPr>
          <w:rFonts w:ascii="Cambria" w:cs="Cambria" w:eastAsia="Cambria" w:hAnsi="Cambria"/>
          <w:b/>
          <w:bCs/>
          <w:color w:val="20202A"/>
          <w:sz w:val="25"/>
          <w:szCs w:val="25"/>
        </w:rPr>
        <w:t xml:space="preserve">Day 8 — Human review, approval, and auto-onboarding</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Humans decide; the system provisions.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the two-tier review workflow: PM reviews/recommends (property-scoped), admin/finance approves; individual = single approval, corporate = dual; admin-configurable. On approval, automatically provision the tenant account, allocate the unit, and kick off onboarding. Immutably audited. Add the 90-day rejected-PII purge job.</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Name the reviewers and approvers.</w:t>
            </w:r>
          </w:p>
          <w:p>
            <w:pPr>
              <w:spacing w:after="30" w:line="250"/>
            </w:pPr>
            <w:r>
              <w:rPr>
                <w:rFonts w:ascii="Calibri" w:cs="Calibri" w:eastAsia="Calibri" w:hAnsi="Calibri"/>
                <w:b w:val="false"/>
                <w:bCs w:val="false"/>
                <w:i w:val="false"/>
                <w:iCs w:val="false"/>
                <w:color w:val="20202A"/>
                <w:sz w:val="20"/>
                <w:szCs w:val="20"/>
              </w:rPr>
              <w:t xml:space="preserve">Confirm the single vs dual approval thresholds.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Submit → review → approve → confirm a tenant login and unit allocation appear automatically. Then reject one and confirm the purge is scheduled.</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An application moving through review to approval, and a tenant account created automatically from it.</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No tenant exists without an approved application; all steps audited.</w:t>
            </w:r>
          </w:p>
        </w:tc>
      </w:tr>
    </w:tbl>
    <w:p>
      <w:pPr>
        <w:pStyle w:val="Heading2"/>
        <w:spacing w:after="90" w:before="240"/>
      </w:pPr>
      <w:r>
        <w:rPr>
          <w:rFonts w:ascii="Cambria" w:cs="Cambria" w:eastAsia="Cambria" w:hAnsi="Cambria"/>
          <w:b/>
          <w:bCs/>
          <w:color w:val="20202A"/>
          <w:sz w:val="25"/>
          <w:szCs w:val="25"/>
        </w:rPr>
        <w:t xml:space="preserve">Day 9 — Lease administration, rent billing &amp; rent roll</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The core lettings money-and-paper cycle runs itself.</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lease administration: lease creation + unit allocation, term/rent/escalation, automated renewal and demand notices via the B8 cascade, plus rent invoicing on schedule. Add the rent roll / tenancy schedule report, occupancy, net income (management + admin fees) and rental inflows.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Confirm notice lead times (e.g. renewal at 90/60/30 days).</w:t>
            </w:r>
          </w:p>
          <w:p>
            <w:pPr>
              <w:spacing w:after="30" w:line="250"/>
            </w:pPr>
            <w:r>
              <w:rPr>
                <w:rFonts w:ascii="Calibri" w:cs="Calibri" w:eastAsia="Calibri" w:hAnsi="Calibri"/>
                <w:b w:val="false"/>
                <w:bCs w:val="false"/>
                <w:i w:val="false"/>
                <w:iCs w:val="false"/>
                <w:color w:val="20202A"/>
                <w:sz w:val="20"/>
                <w:szCs w:val="20"/>
              </w:rPr>
              <w:t xml:space="preserve">Confirm the rent invoicing cadence.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Create a lease → rent invoice generates → rent roll shows the unit → a renewal notice is queued.</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rent roll / tenancy schedule you could hand a landlord, and an automated renewal notice.</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Lease → rent → roll → notice works end to end.</w:t>
            </w:r>
          </w:p>
        </w:tc>
      </w:tr>
    </w:tbl>
    <w:p>
      <w:pPr>
        <w:pStyle w:val="Heading1"/>
        <w:spacing w:after="130" w:before="320"/>
      </w:pPr>
      <w:r>
        <w:rPr>
          <w:rFonts w:ascii="Cambria" w:cs="Cambria" w:eastAsia="Cambria" w:hAnsi="Cambria"/>
          <w:b/>
          <w:bCs/>
          <w:color w:val="8B1D1D"/>
          <w:sz w:val="30"/>
          <w:szCs w:val="30"/>
        </w:rPr>
        <w:t xml:space="preserve">TRACK D — Intelligence &amp; experience (Days 10–11)</w:t>
      </w:r>
    </w:p>
    <w:p>
      <w:pPr>
        <w:pStyle w:val="Heading2"/>
        <w:spacing w:after="90" w:before="240"/>
      </w:pPr>
      <w:r>
        <w:rPr>
          <w:rFonts w:ascii="Cambria" w:cs="Cambria" w:eastAsia="Cambria" w:hAnsi="Cambria"/>
          <w:b/>
          <w:bCs/>
          <w:color w:val="20202A"/>
          <w:sz w:val="25"/>
          <w:szCs w:val="25"/>
        </w:rPr>
        <w:t xml:space="preserve">Day 10 — Interactive analytics dashboard + role reporting</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Turn data into service-improvement decisions.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Build the locked interactive analytics dashboard for both brands: filters (date range, vendor, classification, property, status); completion rate % by vendor and by classification; best/worst performer; average time-to-resolve; weekly/monthly/quarterly/yearly toggles with trends and period-over-period. Materialised aggregates for speed, RLS preserved on every filtered view, CSV/PDF export. Then add the tenant 'Track my request' timeline and the vendor 'performance &amp; pipeline' view.</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Confirm the default period (e.g. monthly).</w:t>
            </w:r>
          </w:p>
          <w:p>
            <w:pPr>
              <w:spacing w:after="30" w:line="250"/>
            </w:pPr>
            <w:r>
              <w:rPr>
                <w:rFonts w:ascii="Calibri" w:cs="Calibri" w:eastAsia="Calibri" w:hAnsi="Calibri"/>
                <w:b w:val="false"/>
                <w:bCs w:val="false"/>
                <w:i w:val="false"/>
                <w:iCs w:val="false"/>
                <w:color w:val="20202A"/>
                <w:sz w:val="20"/>
                <w:szCs w:val="20"/>
              </w:rPr>
              <w:t xml:space="preserve">Confirm which KPIs lead the dashboard.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Filter to one vendor and one quarter — numbers change coherently. Log in as FM and confirm you still only see your properties.</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filterable analytics console answering 'which vendor completes fastest this quarter?' live, plus a tenant request tracker.</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Filters work, scoping holds, exports produce a file.</w:t>
            </w:r>
          </w:p>
        </w:tc>
      </w:tr>
    </w:tbl>
    <w:p>
      <w:pPr>
        <w:pStyle w:val="Heading2"/>
        <w:spacing w:after="90" w:before="240"/>
      </w:pPr>
      <w:r>
        <w:rPr>
          <w:rFonts w:ascii="Cambria" w:cs="Cambria" w:eastAsia="Cambria" w:hAnsi="Cambria"/>
          <w:b/>
          <w:bCs/>
          <w:color w:val="20202A"/>
          <w:sz w:val="25"/>
          <w:szCs w:val="25"/>
        </w:rPr>
        <w:t xml:space="preserve">Day 11 — Vendor KPI/SLA evaluation, work-order media, UX pass</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Scores become evidence-based; the product feels finished.</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Implement the KPI/SLA dual-source vendor evaluation per PHASE1_VENDOR_EVALUATION.md: admin-editable rubric, auto-measured response/completion vs SLA, tenant review on completion + PM evaluation combined via the AURA weights. Add photo/video uploads to work orders. Then the production UX pass: mobile drawer nav, password reveal, toasts, loading skeletons, empty states, confirmation dialogs on money actions, WCAG AA, and branded PDF exports.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Provide/approve the KPI &amp; SLA checklist (criteria, points, targets) for FM and vendor.</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Complete a job → tenant rates it → score updates from both sources. Upload a photo to a work order. Run the app one-handed on your phone.</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vendor score built from a real tenant review + PM checklist, and a visibly polished mobile UI.</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No free-typed scores remain; UI passes mobile + accessibility checks.</w:t>
            </w:r>
          </w:p>
        </w:tc>
      </w:tr>
    </w:tbl>
    <w:p>
      <w:pPr>
        <w:pStyle w:val="Heading1"/>
        <w:spacing w:after="130" w:before="320"/>
      </w:pPr>
      <w:r>
        <w:rPr>
          <w:rFonts w:ascii="Cambria" w:cs="Cambria" w:eastAsia="Cambria" w:hAnsi="Cambria"/>
          <w:b/>
          <w:bCs/>
          <w:color w:val="8B1D1D"/>
          <w:sz w:val="30"/>
          <w:szCs w:val="30"/>
        </w:rPr>
        <w:t xml:space="preserve">TRACK E — Harden &amp; launch (Day 12)</w:t>
      </w:r>
    </w:p>
    <w:p>
      <w:pPr>
        <w:pStyle w:val="Heading2"/>
        <w:spacing w:after="90" w:before="240"/>
      </w:pPr>
      <w:r>
        <w:rPr>
          <w:rFonts w:ascii="Cambria" w:cs="Cambria" w:eastAsia="Cambria" w:hAnsi="Cambria"/>
          <w:b/>
          <w:bCs/>
          <w:color w:val="20202A"/>
          <w:sz w:val="25"/>
          <w:szCs w:val="25"/>
        </w:rPr>
        <w:t xml:space="preserve">Day 12 — Security, compliance, UAT, training, go-live</w:t>
      </w:r>
    </w:p>
    <w:tbl>
      <w:tblPr>
        <w:tblW w:type="dxa" w:w="10080"/>
        <w:tblBorders>
          <w:top w:val="single" w:color="D8D2D0" w:sz="4"/>
          <w:left w:val="single" w:color="D8D2D0" w:sz="4"/>
          <w:bottom w:val="single" w:color="D8D2D0" w:sz="4"/>
          <w:right w:val="single" w:color="D8D2D0" w:sz="4"/>
          <w:insideH w:val="single" w:color="D8D2D0" w:sz="4"/>
          <w:insideV w:val="single" w:color="D8D2D0" w:sz="4"/>
        </w:tblBorders>
      </w:tblPr>
      <w:tblGrid>
        <w:gridCol w:w="2000"/>
        <w:gridCol w:w="8080"/>
      </w:tblGrid>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Goal</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Prove it is safe, lawful, and usable — then launch.</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Claude prompt</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iCs/>
                <w:color w:val="20202A"/>
                <w:sz w:val="20"/>
                <w:szCs w:val="20"/>
              </w:rPr>
              <w:t xml:space="preserve">Run the production security pass: dependency + secret scan, OWASP ZAP against the Phase-1 URL, k6 load test to target, and confirm rate limits. Produce the NDPA compliance pack (DPO, processor DPAs, privacy notice, consent records, retention jobs). Then generate the multi-role UAT script and user guides.</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do</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Designate the DPO.</w:t>
            </w:r>
          </w:p>
          <w:p>
            <w:pPr>
              <w:spacing w:after="30" w:line="250"/>
            </w:pPr>
            <w:r>
              <w:rPr>
                <w:rFonts w:ascii="Calibri" w:cs="Calibri" w:eastAsia="Calibri" w:hAnsi="Calibri"/>
                <w:b w:val="false"/>
                <w:bCs w:val="false"/>
                <w:i w:val="false"/>
                <w:iCs w:val="false"/>
                <w:color w:val="20202A"/>
                <w:sz w:val="20"/>
                <w:szCs w:val="20"/>
              </w:rPr>
              <w:t xml:space="preserve">Sign processor DPAs (Supabase, Vercel, Anthropic, Meta, Paystack, Flutterwave).</w:t>
            </w:r>
          </w:p>
          <w:p>
            <w:pPr>
              <w:spacing w:after="30" w:line="250"/>
            </w:pPr>
            <w:r>
              <w:rPr>
                <w:rFonts w:ascii="Calibri" w:cs="Calibri" w:eastAsia="Calibri" w:hAnsi="Calibri"/>
                <w:b w:val="false"/>
                <w:bCs w:val="false"/>
                <w:i w:val="false"/>
                <w:iCs w:val="false"/>
                <w:color w:val="20202A"/>
                <w:sz w:val="20"/>
                <w:szCs w:val="20"/>
              </w:rPr>
              <w:t xml:space="preserve">Publish the privacy notice.</w:t>
            </w:r>
          </w:p>
          <w:p>
            <w:pPr>
              <w:spacing w:after="30" w:line="250"/>
            </w:pPr>
            <w:r>
              <w:rPr>
                <w:rFonts w:ascii="Calibri" w:cs="Calibri" w:eastAsia="Calibri" w:hAnsi="Calibri"/>
                <w:b w:val="false"/>
                <w:bCs w:val="false"/>
                <w:i w:val="false"/>
                <w:iCs w:val="false"/>
                <w:color w:val="20202A"/>
                <w:sz w:val="20"/>
                <w:szCs w:val="20"/>
              </w:rPr>
              <w:t xml:space="preserve">Run UAT with real staff and give the go/no-go.</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You verify</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Complete the UAT script start to finish with no criticals.</w:t>
            </w:r>
          </w:p>
        </w:tc>
      </w:tr>
      <w:tr>
        <w:tc>
          <w:tcPr>
            <w:tcW w:type="dxa" w:w="2000"/>
            <w:shd w:fill="FBF4E2"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9C7A10"/>
                <w:sz w:val="20"/>
                <w:szCs w:val="20"/>
              </w:rPr>
              <w:t xml:space="preserve">Visible deliverable</w:t>
            </w:r>
          </w:p>
        </w:tc>
        <w:tc>
          <w:tcPr>
            <w:tcW w:type="dxa" w:w="8080"/>
            <w:shd w:fill="FBF4E2" w:color="auto" w:val="clear"/>
            <w:tcMar>
              <w:top w:type="dxa" w:w="70"/>
              <w:left w:type="dxa" w:w="110"/>
              <w:bottom w:type="dxa" w:w="70"/>
              <w:right w:type="dxa" w:w="110"/>
            </w:tcMar>
            <w:vAlign w:val="top"/>
          </w:tcPr>
          <w:p>
            <w:pPr>
              <w:spacing w:after="30" w:line="250"/>
            </w:pPr>
            <w:r>
              <w:rPr>
                <w:rFonts w:ascii="Calibri" w:cs="Calibri" w:eastAsia="Calibri" w:hAnsi="Calibri"/>
                <w:b/>
                <w:bCs/>
                <w:i w:val="false"/>
                <w:iCs w:val="false"/>
                <w:color w:val="20202A"/>
                <w:sz w:val="20"/>
                <w:szCs w:val="20"/>
              </w:rPr>
              <w:t xml:space="preserve">A clean security + load report, a compliance pack, and the production system live for TFML and OEA.</w:t>
            </w:r>
          </w:p>
        </w:tc>
      </w:tr>
      <w:tr>
        <w:tc>
          <w:tcPr>
            <w:tcW w:type="dxa" w:w="2000"/>
            <w:shd w:fill="F3ECE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8B1D1D"/>
                <w:sz w:val="20"/>
                <w:szCs w:val="20"/>
              </w:rPr>
              <w:t xml:space="preserve">Done when</w:t>
            </w:r>
          </w:p>
        </w:tc>
        <w:tc>
          <w:tcPr>
            <w:tcW w:type="dxa" w:w="8080"/>
            <w:tcMar>
              <w:top w:type="dxa" w:w="70"/>
              <w:left w:type="dxa" w:w="110"/>
              <w:bottom w:type="dxa" w:w="70"/>
              <w:right w:type="dxa" w:w="110"/>
            </w:tcMar>
            <w:vAlign w:val="top"/>
          </w:tcPr>
          <w:p>
            <w:pPr>
              <w:spacing w:after="30" w:line="250"/>
            </w:pPr>
            <w:r>
              <w:rPr>
                <w:rFonts w:ascii="Calibri" w:cs="Calibri" w:eastAsia="Calibri" w:hAnsi="Calibri"/>
                <w:b w:val="false"/>
                <w:bCs w:val="false"/>
                <w:i w:val="false"/>
                <w:iCs w:val="false"/>
                <w:color w:val="20202A"/>
                <w:sz w:val="20"/>
                <w:szCs w:val="20"/>
              </w:rPr>
              <w:t xml:space="preserve">No critical findings, UAT signed off, production deployed, rollback confirmed.</w:t>
            </w:r>
          </w:p>
        </w:tc>
      </w:tr>
    </w:tbl>
    <w:p>
      <w:r>
        <w:br w:type="page"/>
      </w:r>
    </w:p>
    <w:p>
      <w:pPr>
        <w:pStyle w:val="Heading1"/>
        <w:spacing w:after="130" w:before="320"/>
      </w:pPr>
      <w:r>
        <w:rPr>
          <w:rFonts w:ascii="Cambria" w:cs="Cambria" w:eastAsia="Cambria" w:hAnsi="Cambria"/>
          <w:b/>
          <w:bCs/>
          <w:color w:val="8B1D1D"/>
          <w:sz w:val="30"/>
          <w:szCs w:val="30"/>
        </w:rPr>
        <w:t xml:space="preserve">Compression to 10 days</w:t>
      </w:r>
    </w:p>
    <w:p>
      <w:pPr>
        <w:spacing w:after="110" w:line="264"/>
      </w:pPr>
      <w:r>
        <w:rPr>
          <w:rFonts w:ascii="Calibri" w:cs="Calibri" w:eastAsia="Calibri" w:hAnsi="Calibri"/>
          <w:b w:val="false"/>
          <w:bCs w:val="false"/>
          <w:i w:val="false"/>
          <w:iCs w:val="false"/>
          <w:color w:val="20202A"/>
          <w:sz w:val="21"/>
          <w:szCs w:val="21"/>
        </w:rPr>
        <w:t xml:space="preserve">Keep Days 1–10 and Day 12. Fold Day 11 into a fast-follow sprint: ship work-order media alongside Day 9, and hold the KPI/SLA evaluation and the full UX/PWA polish for the week after launch.</w:t>
      </w:r>
    </w:p>
    <w:p>
      <w:pPr>
        <w:spacing w:after="110" w:line="264"/>
      </w:pPr>
      <w:r>
        <w:rPr>
          <w:rFonts w:ascii="Calibri" w:cs="Calibri" w:eastAsia="Calibri" w:hAnsi="Calibri"/>
          <w:b/>
          <w:bCs/>
          <w:i w:val="false"/>
          <w:iCs w:val="false"/>
          <w:color w:val="8B1D1D"/>
          <w:sz w:val="21"/>
          <w:szCs w:val="21"/>
        </w:rPr>
        <w:t xml:space="preserve">Never compress Days 4–6 (money) or Day 12 (security and compliance). Those are the two places where shortcuts create real liability.</w:t>
      </w:r>
    </w:p>
    <w:p>
      <w:pPr>
        <w:pStyle w:val="Heading1"/>
        <w:spacing w:after="130" w:before="320"/>
      </w:pPr>
      <w:r>
        <w:rPr>
          <w:rFonts w:ascii="Cambria" w:cs="Cambria" w:eastAsia="Cambria" w:hAnsi="Cambria"/>
          <w:b/>
          <w:bCs/>
          <w:color w:val="8B1D1D"/>
          <w:sz w:val="30"/>
          <w:szCs w:val="30"/>
        </w:rPr>
        <w:t xml:space="preserve">Exit gate — Phase 1 is done when</w:t>
      </w:r>
    </w:p>
    <w:p>
      <w:pPr>
        <w:pStyle w:val="ListParagraph"/>
        <w:numPr>
          <w:ilvl w:val="0"/>
          <w:numId w:val="1"/>
        </w:numPr>
        <w:spacing w:after="60" w:line="258"/>
      </w:pPr>
      <w:r>
        <w:rPr>
          <w:rFonts w:ascii="Calibri" w:cs="Calibri" w:eastAsia="Calibri" w:hAnsi="Calibri"/>
          <w:color w:val="20202A"/>
          <w:sz w:val="21"/>
          <w:szCs w:val="21"/>
        </w:rPr>
        <w:t xml:space="preserve">Cross-brand isolation passes at all four layers, and per-org channels route correctly.</w:t>
      </w:r>
    </w:p>
    <w:p>
      <w:pPr>
        <w:pStyle w:val="ListParagraph"/>
        <w:numPr>
          <w:ilvl w:val="0"/>
          <w:numId w:val="1"/>
        </w:numPr>
        <w:spacing w:after="60" w:line="258"/>
      </w:pPr>
      <w:r>
        <w:rPr>
          <w:rFonts w:ascii="Calibri" w:cs="Calibri" w:eastAsia="Calibri" w:hAnsi="Calibri"/>
          <w:color w:val="20202A"/>
          <w:sz w:val="21"/>
          <w:szCs w:val="21"/>
        </w:rPr>
        <w:t xml:space="preserve">A collection and a gated remittance both reconcile against the bank.</w:t>
      </w:r>
    </w:p>
    <w:p>
      <w:pPr>
        <w:pStyle w:val="ListParagraph"/>
        <w:numPr>
          <w:ilvl w:val="0"/>
          <w:numId w:val="1"/>
        </w:numPr>
        <w:spacing w:after="60" w:line="258"/>
      </w:pPr>
      <w:r>
        <w:rPr>
          <w:rFonts w:ascii="Calibri" w:cs="Calibri" w:eastAsia="Calibri" w:hAnsi="Calibri"/>
          <w:color w:val="20202A"/>
          <w:sz w:val="21"/>
          <w:szCs w:val="21"/>
        </w:rPr>
        <w:t xml:space="preserve">A tenant is onboarded from application through human approval to lease and rent invoice.</w:t>
      </w:r>
    </w:p>
    <w:p>
      <w:pPr>
        <w:pStyle w:val="ListParagraph"/>
        <w:numPr>
          <w:ilvl w:val="0"/>
          <w:numId w:val="1"/>
        </w:numPr>
        <w:spacing w:after="60" w:line="258"/>
      </w:pPr>
      <w:r>
        <w:rPr>
          <w:rFonts w:ascii="Calibri" w:cs="Calibri" w:eastAsia="Calibri" w:hAnsi="Calibri"/>
          <w:color w:val="20202A"/>
          <w:sz w:val="21"/>
          <w:szCs w:val="21"/>
        </w:rPr>
        <w:t xml:space="preserve">The analytics console answers service-improvement questions with correct role scoping.</w:t>
      </w:r>
    </w:p>
    <w:p>
      <w:pPr>
        <w:pStyle w:val="ListParagraph"/>
        <w:numPr>
          <w:ilvl w:val="0"/>
          <w:numId w:val="1"/>
        </w:numPr>
        <w:spacing w:after="60" w:line="258"/>
      </w:pPr>
      <w:r>
        <w:rPr>
          <w:rFonts w:ascii="Calibri" w:cs="Calibri" w:eastAsia="Calibri" w:hAnsi="Calibri"/>
          <w:color w:val="20202A"/>
          <w:sz w:val="21"/>
          <w:szCs w:val="21"/>
        </w:rPr>
        <w:t xml:space="preserve">No critical security findings; the NDPA pack is signed off; multi-role UAT is clean.</w:t>
      </w:r>
    </w:p>
    <w:p>
      <w:pPr>
        <w:pStyle w:val="ListParagraph"/>
        <w:numPr>
          <w:ilvl w:val="0"/>
          <w:numId w:val="1"/>
        </w:numPr>
        <w:spacing w:after="60" w:line="258"/>
      </w:pPr>
      <w:r>
        <w:rPr>
          <w:rFonts w:ascii="Calibri" w:cs="Calibri" w:eastAsia="Calibri" w:hAnsi="Calibri"/>
          <w:color w:val="20202A"/>
          <w:sz w:val="21"/>
          <w:szCs w:val="21"/>
        </w:rPr>
        <w:t xml:space="preserve">The poc-demo-v1 client demo still runs untouched.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 Group — Phase 1 Production Build Workplan</dc:title>
  <dc:creator>OE Group</dc:creator>
  <cp:lastModifiedBy>Un-named</cp:lastModifiedBy>
  <cp:revision>1</cp:revision>
  <dcterms:created xsi:type="dcterms:W3CDTF">2026-07-24T01:25:20.498Z</dcterms:created>
  <dcterms:modified xsi:type="dcterms:W3CDTF">2026-07-24T01:25:20.517Z</dcterms:modified>
</cp:coreProperties>
</file>

<file path=docProps/custom.xml><?xml version="1.0" encoding="utf-8"?>
<Properties xmlns="http://schemas.openxmlformats.org/officeDocument/2006/custom-properties" xmlns:vt="http://schemas.openxmlformats.org/officeDocument/2006/docPropsVTypes"/>
</file>