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6B7280"/>
          <w:sz w:val="16"/>
          <w:szCs w:val="16"/>
        </w:rPr>
        <w:t xml:space="preserve">OE GROUP — FOR LEGAL REVIEW · generated from the repository, 24 September 2026</w:t>
      </w:r>
    </w:p>
    <w:p>
      <w:pPr>
        <w:pStyle w:val="Heading1"/>
        <w:spacing w:after="140" w:before="0"/>
      </w:pPr>
      <w:r>
        <w:t xml:space="preserve">NDPA Compliance Pack — OE Group IWMS</w:t>
      </w:r>
    </w:p>
    <w:p>
      <w:pPr>
        <w:spacing w:after="140" w:line="268"/>
      </w:pPr>
      <w:r>
        <w:rPr>
          <w:b/>
          <w:bCs/>
        </w:rPr>
        <w:t xml:space="preserve">Prepared:</w:t>
      </w:r>
      <w:r>
        <w:t xml:space="preserve"> 8 August 2026 · Day 12 · </w:t>
      </w:r>
      <w:r>
        <w:rPr>
          <w:b/>
          <w:bCs/>
        </w:rPr>
        <w:t xml:space="preserve">Status: draft for the board and for legal review.</w:t>
      </w:r>
    </w:p>
    <w:p>
      <w:pPr>
        <w:spacing w:after="140" w:line="268"/>
      </w:pPr>
      <w:r>
        <w:t xml:space="preserve">Written against the </w:t>
      </w:r>
      <w:r>
        <w:rPr>
          <w:b/>
          <w:bCs/>
        </w:rPr>
        <w:t xml:space="preserve">Nigeria Data Protection Act 2023</w:t>
      </w:r>
      <w:r>
        <w:t xml:space="preserve">, with GDPR alignment where international clients are in scope (</w:t>
      </w:r>
      <w:r>
        <w:rPr>
          <w:rFonts w:ascii="Consolas" w:cs="Consolas" w:eastAsia="Consolas" w:hAnsi="Consolas"/>
          <w:color w:val="9A3412"/>
          <w:sz w:val="18"/>
          <w:szCs w:val="18"/>
        </w:rPr>
        <w:t xml:space="preserve">CLAUDE.md</w:t>
      </w:r>
      <w:r>
        <w:t xml:space="preserve"> 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8FA" w:val="clear"/>
            <w:tcMar>
              <w:top w:type="dxa" w:w="140"/>
              <w:left w:type="dxa" w:w="180"/>
              <w:bottom w:type="dxa" w:w="140"/>
              <w:right w:type="dxa" w:w="180"/>
            </w:tcMar>
          </w:tcPr>
          <w:p>
            <w:pPr>
              <w:spacing w:after="100"/>
            </w:pPr>
            <w:r>
              <w:rPr>
                <w:b/>
                <w:bCs/>
                <w:sz w:val="19"/>
                <w:szCs w:val="19"/>
              </w:rPr>
              <w:t xml:space="preserve">What this document is.</w:t>
            </w:r>
            <w:r>
              <w:rPr>
                <w:sz w:val="19"/>
                <w:szCs w:val="19"/>
              </w:rPr>
              <w:t xml:space="preserve"> Every claim below is grounded in code that was checked while writing it, and each is marked ✅ </w:t>
            </w:r>
            <w:r>
              <w:rPr>
                <w:b/>
                <w:bCs/>
                <w:sz w:val="19"/>
                <w:szCs w:val="19"/>
              </w:rPr>
              <w:t xml:space="preserve">enforced</w:t>
            </w:r>
            <w:r>
              <w:rPr>
                <w:sz w:val="19"/>
                <w:szCs w:val="19"/>
              </w:rPr>
              <w:t xml:space="preserve"> (the system makes it true), 📄 </w:t>
            </w:r>
            <w:r>
              <w:rPr>
                <w:b/>
                <w:bCs/>
                <w:sz w:val="19"/>
                <w:szCs w:val="19"/>
              </w:rPr>
              <w:t xml:space="preserve">documented</w:t>
            </w:r>
            <w:r>
              <w:rPr>
                <w:sz w:val="19"/>
                <w:szCs w:val="19"/>
              </w:rPr>
              <w:t xml:space="preserve"> (written down, relies on people), or ⛔ </w:t>
            </w:r>
            <w:r>
              <w:rPr>
                <w:b/>
                <w:bCs/>
                <w:sz w:val="19"/>
                <w:szCs w:val="19"/>
              </w:rPr>
              <w:t xml:space="preserve">open</w:t>
            </w:r>
            <w:r>
              <w:rPr>
                <w:sz w:val="19"/>
                <w:szCs w:val="19"/>
              </w:rPr>
              <w:t xml:space="preserve"> (needs a decision or a signature). Nothing is asserted because it was intended.</w:t>
            </w:r>
          </w:p>
          <w:p>
            <w:pPr>
              <w:spacing w:after="0"/>
            </w:pPr>
            <w:r>
              <w:rPr>
                <w:b/>
                <w:bCs/>
                <w:sz w:val="19"/>
                <w:szCs w:val="19"/>
              </w:rPr>
              <w:t xml:space="preserve">What it is not.</w:t>
            </w:r>
            <w:r>
              <w:rPr>
                <w:sz w:val="19"/>
                <w:szCs w:val="19"/>
              </w:rPr>
              <w:t xml:space="preserve"> It is not legal advice and it is not a signed compliance statement. A Nigerian data-protection practitioner should review it before the board relies on it.</w:t>
            </w:r>
          </w:p>
        </w:tc>
      </w:tr>
    </w:tbl>
    <w:p>
      <w:pPr>
        <w:spacing w:after="160"/>
      </w:pPr>
    </w:p>
    <w:p>
      <w:pPr>
        <w:pBdr>
          <w:bottom w:val="single" w:color="D0D5DD" w:sz="6" w:space="6"/>
        </w:pBdr>
        <w:spacing w:after="120"/>
      </w:pPr>
    </w:p>
    <w:p>
      <w:pPr>
        <w:pStyle w:val="Heading2"/>
        <w:spacing w:after="140" w:before="300"/>
      </w:pPr>
      <w:r>
        <w:t xml:space="preserve">1. Controller, processors, and the DPO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AECF0" w:val="clear"/>
            <w:tcMar>
              <w:top w:type="dxa" w:w="70"/>
              <w:left w:type="dxa" w:w="110"/>
              <w:bottom w:type="dxa" w:w="70"/>
              <w:right w:type="dxa" w:w="110"/>
            </w:tcMar>
          </w:tcPr>
          <w:p>
            <w:pPr>
              <w:spacing w:after="0"/>
            </w:pPr>
            <w:r>
              <w:rPr>
                <w:b/>
                <w:bCs/>
                <w:sz w:val="18"/>
                <w:szCs w:val="18"/>
              </w:rPr>
              <w:t xml:space="preserve"/>
            </w:r>
          </w:p>
        </w:tc>
        <w:tc>
          <w:tcPr>
            <w:tcW w:type="dxa" w:w="4680"/>
            <w:shd w:fill="EAECF0" w:val="clear"/>
            <w:tcMar>
              <w:top w:type="dxa" w:w="70"/>
              <w:left w:type="dxa" w:w="110"/>
              <w:bottom w:type="dxa" w:w="70"/>
              <w:right w:type="dxa" w:w="110"/>
            </w:tcMar>
          </w:tcPr>
          <w:p>
            <w:pPr>
              <w:spacing w:after="0"/>
            </w:pPr>
            <w:r>
              <w:rPr>
                <w:b/>
                <w:bCs/>
                <w:sz w:val="18"/>
                <w:szCs w:val="18"/>
              </w:rPr>
              <w:t xml:space="preserve"/>
            </w:r>
          </w:p>
        </w:tc>
      </w:tr>
      <w:tr>
        <w:tc>
          <w:tcPr>
            <w:tcW w:type="dxa" w:w="4680"/>
            <w:tcMar>
              <w:top w:type="dxa" w:w="70"/>
              <w:left w:type="dxa" w:w="110"/>
              <w:bottom w:type="dxa" w:w="70"/>
              <w:right w:type="dxa" w:w="110"/>
            </w:tcMar>
          </w:tcPr>
          <w:p>
            <w:pPr>
              <w:spacing w:after="0"/>
            </w:pPr>
            <w:r>
              <w:rPr>
                <w:b/>
                <w:bCs/>
                <w:sz w:val="18"/>
                <w:szCs w:val="18"/>
              </w:rPr>
              <w:t xml:space="preserve">Data controller</w:t>
            </w:r>
          </w:p>
        </w:tc>
        <w:tc>
          <w:tcPr>
            <w:tcW w:type="dxa" w:w="4680"/>
            <w:tcMar>
              <w:top w:type="dxa" w:w="70"/>
              <w:left w:type="dxa" w:w="110"/>
              <w:bottom w:type="dxa" w:w="70"/>
              <w:right w:type="dxa" w:w="110"/>
            </w:tcMar>
          </w:tcPr>
          <w:p>
            <w:pPr>
              <w:spacing w:after="0"/>
            </w:pPr>
            <w:r>
              <w:rPr>
                <w:sz w:val="18"/>
                <w:szCs w:val="18"/>
              </w:rPr>
              <w:t xml:space="preserve">OE Group (TFML and OEA as brands; each client org's data is controlled by OE Group under its management agreement)</w:t>
            </w:r>
          </w:p>
        </w:tc>
      </w:tr>
      <w:tr>
        <w:tc>
          <w:tcPr>
            <w:tcW w:type="dxa" w:w="4680"/>
            <w:tcMar>
              <w:top w:type="dxa" w:w="70"/>
              <w:left w:type="dxa" w:w="110"/>
              <w:bottom w:type="dxa" w:w="70"/>
              <w:right w:type="dxa" w:w="110"/>
            </w:tcMar>
          </w:tcPr>
          <w:p>
            <w:pPr>
              <w:spacing w:after="0"/>
            </w:pPr>
            <w:r>
              <w:rPr>
                <w:b/>
                <w:bCs/>
                <w:sz w:val="18"/>
                <w:szCs w:val="18"/>
              </w:rPr>
              <w:t xml:space="preserve">Data Protection Officer</w:t>
            </w:r>
          </w:p>
        </w:tc>
        <w:tc>
          <w:tcPr>
            <w:tcW w:type="dxa" w:w="4680"/>
            <w:tcMar>
              <w:top w:type="dxa" w:w="70"/>
              <w:left w:type="dxa" w:w="110"/>
              <w:bottom w:type="dxa" w:w="70"/>
              <w:right w:type="dxa" w:w="110"/>
            </w:tcMar>
          </w:tcPr>
          <w:p>
            <w:pPr>
              <w:spacing w:after="0"/>
            </w:pPr>
            <w:r>
              <w:rPr>
                <w:sz w:val="18"/>
                <w:szCs w:val="18"/>
              </w:rPr>
              <w:t xml:space="preserve">✅ </w:t>
            </w:r>
            <w:r>
              <w:rPr>
                <w:b/>
                <w:bCs/>
                <w:sz w:val="18"/>
                <w:szCs w:val="18"/>
              </w:rPr>
              <w:t xml:space="preserve">Designated: Ebube Ikechwu</w:t>
            </w:r>
            <w:r>
              <w:rPr>
                <w:sz w:val="18"/>
                <w:szCs w:val="18"/>
              </w:rPr>
              <w:t xml:space="preserve"> (2026-08-19, board). NDPC registration of the DPO and publication of contact details are still open — see §11.</w:t>
            </w:r>
          </w:p>
        </w:tc>
      </w:tr>
      <w:tr>
        <w:tc>
          <w:tcPr>
            <w:tcW w:type="dxa" w:w="4680"/>
            <w:tcMar>
              <w:top w:type="dxa" w:w="70"/>
              <w:left w:type="dxa" w:w="110"/>
              <w:bottom w:type="dxa" w:w="70"/>
              <w:right w:type="dxa" w:w="110"/>
            </w:tcMar>
          </w:tcPr>
          <w:p>
            <w:pPr>
              <w:spacing w:after="0"/>
            </w:pPr>
            <w:r>
              <w:rPr>
                <w:b/>
                <w:bCs/>
                <w:sz w:val="18"/>
                <w:szCs w:val="18"/>
              </w:rPr>
              <w:t xml:space="preserve">Registration with the NDPC</w:t>
            </w:r>
          </w:p>
        </w:tc>
        <w:tc>
          <w:tcPr>
            <w:tcW w:type="dxa" w:w="4680"/>
            <w:tcMar>
              <w:top w:type="dxa" w:w="70"/>
              <w:left w:type="dxa" w:w="110"/>
              <w:bottom w:type="dxa" w:w="70"/>
              <w:right w:type="dxa" w:w="110"/>
            </w:tcMar>
          </w:tcPr>
          <w:p>
            <w:pPr>
              <w:spacing w:after="0"/>
            </w:pPr>
            <w:r>
              <w:rPr>
                <w:sz w:val="18"/>
                <w:szCs w:val="18"/>
              </w:rPr>
              <w:t xml:space="preserve">⛔ Confirm whether OE Group meets the data-controller-of-major-importance threshold. Board/legal action.</w:t>
            </w:r>
          </w:p>
        </w:tc>
      </w:tr>
    </w:tbl>
    <w:p>
      <w:pPr>
        <w:spacing w:after="160"/>
      </w:pPr>
    </w:p>
    <w:p>
      <w:pPr>
        <w:pBdr>
          <w:bottom w:val="single" w:color="D0D5DD" w:sz="6" w:space="6"/>
        </w:pBdr>
        <w:spacing w:after="120"/>
      </w:pPr>
    </w:p>
    <w:p>
      <w:pPr>
        <w:pStyle w:val="Heading2"/>
        <w:spacing w:after="140" w:before="300"/>
      </w:pPr>
      <w:r>
        <w:t xml:space="preserve">2. What personal data the system 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AECF0" w:val="clear"/>
            <w:tcMar>
              <w:top w:type="dxa" w:w="70"/>
              <w:left w:type="dxa" w:w="110"/>
              <w:bottom w:type="dxa" w:w="70"/>
              <w:right w:type="dxa" w:w="110"/>
            </w:tcMar>
          </w:tcPr>
          <w:p>
            <w:pPr>
              <w:spacing w:after="0"/>
            </w:pPr>
            <w:r>
              <w:rPr>
                <w:b/>
                <w:bCs/>
                <w:sz w:val="18"/>
                <w:szCs w:val="18"/>
              </w:rPr>
              <w:t xml:space="preserve">Category</w:t>
            </w:r>
          </w:p>
        </w:tc>
        <w:tc>
          <w:tcPr>
            <w:tcW w:type="dxa" w:w="3120"/>
            <w:shd w:fill="EAECF0" w:val="clear"/>
            <w:tcMar>
              <w:top w:type="dxa" w:w="70"/>
              <w:left w:type="dxa" w:w="110"/>
              <w:bottom w:type="dxa" w:w="70"/>
              <w:right w:type="dxa" w:w="110"/>
            </w:tcMar>
          </w:tcPr>
          <w:p>
            <w:pPr>
              <w:spacing w:after="0"/>
            </w:pPr>
            <w:r>
              <w:rPr>
                <w:b/>
                <w:bCs/>
                <w:sz w:val="18"/>
                <w:szCs w:val="18"/>
              </w:rPr>
              <w:t xml:space="preserve">Where</w:t>
            </w:r>
          </w:p>
        </w:tc>
        <w:tc>
          <w:tcPr>
            <w:tcW w:type="dxa" w:w="3120"/>
            <w:shd w:fill="EAECF0" w:val="clear"/>
            <w:tcMar>
              <w:top w:type="dxa" w:w="70"/>
              <w:left w:type="dxa" w:w="110"/>
              <w:bottom w:type="dxa" w:w="70"/>
              <w:right w:type="dxa" w:w="110"/>
            </w:tcMar>
          </w:tcPr>
          <w:p>
            <w:pPr>
              <w:spacing w:after="0"/>
            </w:pPr>
            <w:r>
              <w:rPr>
                <w:b/>
                <w:bCs/>
                <w:sz w:val="18"/>
                <w:szCs w:val="18"/>
              </w:rPr>
              <w:t xml:space="preserve">Who it is about</w:t>
            </w:r>
          </w:p>
        </w:tc>
      </w:tr>
      <w:tr>
        <w:tc>
          <w:tcPr>
            <w:tcW w:type="dxa" w:w="3120"/>
            <w:tcMar>
              <w:top w:type="dxa" w:w="70"/>
              <w:left w:type="dxa" w:w="110"/>
              <w:bottom w:type="dxa" w:w="70"/>
              <w:right w:type="dxa" w:w="110"/>
            </w:tcMar>
          </w:tcPr>
          <w:p>
            <w:pPr>
              <w:spacing w:after="0"/>
            </w:pPr>
            <w:r>
              <w:rPr>
                <w:sz w:val="18"/>
                <w:szCs w:val="18"/>
              </w:rPr>
              <w:t xml:space="preserve">Identity &amp; contact</w:t>
            </w:r>
          </w:p>
        </w:tc>
        <w:tc>
          <w:tcPr>
            <w:tcW w:type="dxa" w:w="3120"/>
            <w:tcMar>
              <w:top w:type="dxa" w:w="70"/>
              <w:left w:type="dxa" w:w="110"/>
              <w:bottom w:type="dxa" w:w="70"/>
              <w:right w:type="dxa" w:w="110"/>
            </w:tcMar>
          </w:tcPr>
          <w:p>
            <w:pPr>
              <w:spacing w:after="0"/>
            </w:pPr>
            <w:r>
              <w:rPr>
                <w:rFonts w:ascii="Consolas" w:cs="Consolas" w:eastAsia="Consolas" w:hAnsi="Consolas"/>
                <w:color w:val="9A3412"/>
                <w:sz w:val="18"/>
                <w:szCs w:val="18"/>
              </w:rPr>
              <w:t xml:space="preserve">users</w:t>
            </w:r>
            <w:r>
              <w:rPr>
                <w:sz w:val="18"/>
                <w:szCs w:val="18"/>
              </w:rPr>
              <w:t xml:space="preserve"> (name, email, phone, Telegram id)</w:t>
            </w:r>
          </w:p>
        </w:tc>
        <w:tc>
          <w:tcPr>
            <w:tcW w:type="dxa" w:w="3120"/>
            <w:tcMar>
              <w:top w:type="dxa" w:w="70"/>
              <w:left w:type="dxa" w:w="110"/>
              <w:bottom w:type="dxa" w:w="70"/>
              <w:right w:type="dxa" w:w="110"/>
            </w:tcMar>
          </w:tcPr>
          <w:p>
            <w:pPr>
              <w:spacing w:after="0"/>
            </w:pPr>
            <w:r>
              <w:rPr>
                <w:sz w:val="18"/>
                <w:szCs w:val="18"/>
              </w:rPr>
              <w:t xml:space="preserve">staff, tenants, vendors, landlords</w:t>
            </w:r>
          </w:p>
        </w:tc>
      </w:tr>
      <w:tr>
        <w:tc>
          <w:tcPr>
            <w:tcW w:type="dxa" w:w="3120"/>
            <w:tcMar>
              <w:top w:type="dxa" w:w="70"/>
              <w:left w:type="dxa" w:w="110"/>
              <w:bottom w:type="dxa" w:w="70"/>
              <w:right w:type="dxa" w:w="110"/>
            </w:tcMar>
          </w:tcPr>
          <w:p>
            <w:pPr>
              <w:spacing w:after="0"/>
            </w:pPr>
            <w:r>
              <w:rPr>
                <w:sz w:val="18"/>
                <w:szCs w:val="18"/>
              </w:rPr>
              <w:t xml:space="preserve">Tenancy application</w:t>
            </w:r>
          </w:p>
        </w:tc>
        <w:tc>
          <w:tcPr>
            <w:tcW w:type="dxa" w:w="3120"/>
            <w:tcMar>
              <w:top w:type="dxa" w:w="70"/>
              <w:left w:type="dxa" w:w="110"/>
              <w:bottom w:type="dxa" w:w="70"/>
              <w:right w:type="dxa" w:w="110"/>
            </w:tcMar>
          </w:tcPr>
          <w:p>
            <w:pPr>
              <w:spacing w:after="0"/>
            </w:pPr>
            <w:r>
              <w:rPr>
                <w:rFonts w:ascii="Consolas" w:cs="Consolas" w:eastAsia="Consolas" w:hAnsi="Consolas"/>
                <w:color w:val="9A3412"/>
                <w:sz w:val="18"/>
                <w:szCs w:val="18"/>
              </w:rPr>
              <w:t xml:space="preserve">tenant_applications.form</w:t>
            </w:r>
            <w:r>
              <w:rPr>
                <w:sz w:val="18"/>
                <w:szCs w:val="18"/>
              </w:rPr>
              <w:t xml:space="preserve"> — employment, address, next of kin, income</w:t>
            </w:r>
          </w:p>
        </w:tc>
        <w:tc>
          <w:tcPr>
            <w:tcW w:type="dxa" w:w="3120"/>
            <w:tcMar>
              <w:top w:type="dxa" w:w="70"/>
              <w:left w:type="dxa" w:w="110"/>
              <w:bottom w:type="dxa" w:w="70"/>
              <w:right w:type="dxa" w:w="110"/>
            </w:tcMar>
          </w:tcPr>
          <w:p>
            <w:pPr>
              <w:spacing w:after="0"/>
            </w:pPr>
            <w:r>
              <w:rPr>
                <w:sz w:val="18"/>
                <w:szCs w:val="18"/>
              </w:rPr>
              <w:t xml:space="preserve">applicants</w:t>
            </w:r>
          </w:p>
        </w:tc>
      </w:tr>
      <w:tr>
        <w:tc>
          <w:tcPr>
            <w:tcW w:type="dxa" w:w="3120"/>
            <w:tcMar>
              <w:top w:type="dxa" w:w="70"/>
              <w:left w:type="dxa" w:w="110"/>
              <w:bottom w:type="dxa" w:w="70"/>
              <w:right w:type="dxa" w:w="110"/>
            </w:tcMar>
          </w:tcPr>
          <w:p>
            <w:pPr>
              <w:spacing w:after="0"/>
            </w:pPr>
            <w:r>
              <w:rPr>
                <w:b/>
                <w:bCs/>
                <w:sz w:val="18"/>
                <w:szCs w:val="18"/>
              </w:rPr>
              <w:t xml:space="preserve">Special category</w:t>
            </w:r>
          </w:p>
        </w:tc>
        <w:tc>
          <w:tcPr>
            <w:tcW w:type="dxa" w:w="3120"/>
            <w:tcMar>
              <w:top w:type="dxa" w:w="70"/>
              <w:left w:type="dxa" w:w="110"/>
              <w:bottom w:type="dxa" w:w="70"/>
              <w:right w:type="dxa" w:w="110"/>
            </w:tcMar>
          </w:tcPr>
          <w:p>
            <w:pPr>
              <w:spacing w:after="0"/>
            </w:pPr>
            <w:r>
              <w:rPr>
                <w:rFonts w:ascii="Consolas" w:cs="Consolas" w:eastAsia="Consolas" w:hAnsi="Consolas"/>
                <w:color w:val="9A3412"/>
                <w:sz w:val="18"/>
                <w:szCs w:val="18"/>
              </w:rPr>
              <w:t xml:space="preserve">tenant_applications.sensitive</w:t>
            </w:r>
            <w:r>
              <w:rPr>
                <w:sz w:val="18"/>
                <w:szCs w:val="18"/>
              </w:rPr>
              <w:t xml:space="preserve"> — religion, marital status</w:t>
            </w:r>
          </w:p>
        </w:tc>
        <w:tc>
          <w:tcPr>
            <w:tcW w:type="dxa" w:w="3120"/>
            <w:tcMar>
              <w:top w:type="dxa" w:w="70"/>
              <w:left w:type="dxa" w:w="110"/>
              <w:bottom w:type="dxa" w:w="70"/>
              <w:right w:type="dxa" w:w="110"/>
            </w:tcMar>
          </w:tcPr>
          <w:p>
            <w:pPr>
              <w:spacing w:after="0"/>
            </w:pPr>
            <w:r>
              <w:rPr>
                <w:sz w:val="18"/>
                <w:szCs w:val="18"/>
              </w:rPr>
              <w:t xml:space="preserve">applicants</w:t>
            </w:r>
          </w:p>
        </w:tc>
      </w:tr>
      <w:tr>
        <w:tc>
          <w:tcPr>
            <w:tcW w:type="dxa" w:w="3120"/>
            <w:tcMar>
              <w:top w:type="dxa" w:w="70"/>
              <w:left w:type="dxa" w:w="110"/>
              <w:bottom w:type="dxa" w:w="70"/>
              <w:right w:type="dxa" w:w="110"/>
            </w:tcMar>
          </w:tcPr>
          <w:p>
            <w:pPr>
              <w:spacing w:after="0"/>
            </w:pPr>
            <w:r>
              <w:rPr>
                <w:sz w:val="18"/>
                <w:szCs w:val="18"/>
              </w:rPr>
              <w:t xml:space="preserve">Identity documents</w:t>
            </w:r>
          </w:p>
        </w:tc>
        <w:tc>
          <w:tcPr>
            <w:tcW w:type="dxa" w:w="3120"/>
            <w:tcMar>
              <w:top w:type="dxa" w:w="70"/>
              <w:left w:type="dxa" w:w="110"/>
              <w:bottom w:type="dxa" w:w="70"/>
              <w:right w:type="dxa" w:w="110"/>
            </w:tcMar>
          </w:tcPr>
          <w:p>
            <w:pPr>
              <w:spacing w:after="0"/>
            </w:pPr>
            <w:r>
              <w:rPr>
                <w:rFonts w:ascii="Consolas" w:cs="Consolas" w:eastAsia="Consolas" w:hAnsi="Consolas"/>
                <w:color w:val="9A3412"/>
                <w:sz w:val="18"/>
                <w:szCs w:val="18"/>
              </w:rPr>
              <w:t xml:space="preserve">application-documents</w:t>
            </w:r>
            <w:r>
              <w:rPr>
                <w:sz w:val="18"/>
                <w:szCs w:val="18"/>
              </w:rPr>
              <w:t xml:space="preserve"> bucket (private)</w:t>
            </w:r>
          </w:p>
        </w:tc>
        <w:tc>
          <w:tcPr>
            <w:tcW w:type="dxa" w:w="3120"/>
            <w:tcMar>
              <w:top w:type="dxa" w:w="70"/>
              <w:left w:type="dxa" w:w="110"/>
              <w:bottom w:type="dxa" w:w="70"/>
              <w:right w:type="dxa" w:w="110"/>
            </w:tcMar>
          </w:tcPr>
          <w:p>
            <w:pPr>
              <w:spacing w:after="0"/>
            </w:pPr>
            <w:r>
              <w:rPr>
                <w:sz w:val="18"/>
                <w:szCs w:val="18"/>
              </w:rPr>
              <w:t xml:space="preserve">applicants</w:t>
            </w:r>
          </w:p>
        </w:tc>
      </w:tr>
      <w:tr>
        <w:tc>
          <w:tcPr>
            <w:tcW w:type="dxa" w:w="3120"/>
            <w:tcMar>
              <w:top w:type="dxa" w:w="70"/>
              <w:left w:type="dxa" w:w="110"/>
              <w:bottom w:type="dxa" w:w="70"/>
              <w:right w:type="dxa" w:w="110"/>
            </w:tcMar>
          </w:tcPr>
          <w:p>
            <w:pPr>
              <w:spacing w:after="0"/>
            </w:pPr>
            <w:r>
              <w:rPr>
                <w:sz w:val="18"/>
                <w:szCs w:val="18"/>
              </w:rPr>
              <w:t xml:space="preserve">Property imagery</w:t>
            </w:r>
          </w:p>
        </w:tc>
        <w:tc>
          <w:tcPr>
            <w:tcW w:type="dxa" w:w="3120"/>
            <w:tcMar>
              <w:top w:type="dxa" w:w="70"/>
              <w:left w:type="dxa" w:w="110"/>
              <w:bottom w:type="dxa" w:w="70"/>
              <w:right w:type="dxa" w:w="110"/>
            </w:tcMar>
          </w:tcPr>
          <w:p>
            <w:pPr>
              <w:spacing w:after="0"/>
            </w:pPr>
            <w:r>
              <w:rPr>
                <w:rFonts w:ascii="Consolas" w:cs="Consolas" w:eastAsia="Consolas" w:hAnsi="Consolas"/>
                <w:color w:val="9A3412"/>
                <w:sz w:val="18"/>
                <w:szCs w:val="18"/>
              </w:rPr>
              <w:t xml:space="preserve">work-order-media</w:t>
            </w:r>
            <w:r>
              <w:rPr>
                <w:sz w:val="18"/>
                <w:szCs w:val="18"/>
              </w:rPr>
              <w:t xml:space="preserve"> bucket (private) — photographs taken </w:t>
            </w:r>
            <w:r>
              <w:rPr>
                <w:b/>
                <w:bCs/>
                <w:sz w:val="18"/>
                <w:szCs w:val="18"/>
              </w:rPr>
              <w:t xml:space="preserve">inside</w:t>
            </w:r>
            <w:r>
              <w:rPr>
                <w:sz w:val="18"/>
                <w:szCs w:val="18"/>
              </w:rPr>
              <w:t xml:space="preserve"> client homes</w:t>
            </w:r>
          </w:p>
        </w:tc>
        <w:tc>
          <w:tcPr>
            <w:tcW w:type="dxa" w:w="3120"/>
            <w:tcMar>
              <w:top w:type="dxa" w:w="70"/>
              <w:left w:type="dxa" w:w="110"/>
              <w:bottom w:type="dxa" w:w="70"/>
              <w:right w:type="dxa" w:w="110"/>
            </w:tcMar>
          </w:tcPr>
          <w:p>
            <w:pPr>
              <w:spacing w:after="0"/>
            </w:pPr>
            <w:r>
              <w:rPr>
                <w:sz w:val="18"/>
                <w:szCs w:val="18"/>
              </w:rPr>
              <w:t xml:space="preserve">tenants, incidentally</w:t>
            </w:r>
          </w:p>
        </w:tc>
      </w:tr>
      <w:tr>
        <w:tc>
          <w:tcPr>
            <w:tcW w:type="dxa" w:w="3120"/>
            <w:tcMar>
              <w:top w:type="dxa" w:w="70"/>
              <w:left w:type="dxa" w:w="110"/>
              <w:bottom w:type="dxa" w:w="70"/>
              <w:right w:type="dxa" w:w="110"/>
            </w:tcMar>
          </w:tcPr>
          <w:p>
            <w:pPr>
              <w:spacing w:after="0"/>
            </w:pPr>
            <w:r>
              <w:rPr>
                <w:sz w:val="18"/>
                <w:szCs w:val="18"/>
              </w:rPr>
              <w:t xml:space="preserve">Vendor due diligence</w:t>
            </w:r>
          </w:p>
        </w:tc>
        <w:tc>
          <w:tcPr>
            <w:tcW w:type="dxa" w:w="3120"/>
            <w:tcMar>
              <w:top w:type="dxa" w:w="70"/>
              <w:left w:type="dxa" w:w="110"/>
              <w:bottom w:type="dxa" w:w="70"/>
              <w:right w:type="dxa" w:w="110"/>
            </w:tcMar>
          </w:tcPr>
          <w:p>
            <w:pPr>
              <w:spacing w:after="0"/>
            </w:pPr>
            <w:r>
              <w:rPr>
                <w:rFonts w:ascii="Consolas" w:cs="Consolas" w:eastAsia="Consolas" w:hAnsi="Consolas"/>
                <w:color w:val="9A3412"/>
                <w:sz w:val="18"/>
                <w:szCs w:val="18"/>
              </w:rPr>
              <w:t xml:space="preserve">vendor-documents</w:t>
            </w:r>
            <w:r>
              <w:rPr>
                <w:sz w:val="18"/>
                <w:szCs w:val="18"/>
              </w:rPr>
              <w:t xml:space="preserve"> bucket (private) — CAC certificates, tax clearance, insurance</w:t>
            </w:r>
          </w:p>
        </w:tc>
        <w:tc>
          <w:tcPr>
            <w:tcW w:type="dxa" w:w="3120"/>
            <w:tcMar>
              <w:top w:type="dxa" w:w="70"/>
              <w:left w:type="dxa" w:w="110"/>
              <w:bottom w:type="dxa" w:w="70"/>
              <w:right w:type="dxa" w:w="110"/>
            </w:tcMar>
          </w:tcPr>
          <w:p>
            <w:pPr>
              <w:spacing w:after="0"/>
            </w:pPr>
            <w:r>
              <w:rPr>
                <w:sz w:val="18"/>
                <w:szCs w:val="18"/>
              </w:rPr>
              <w:t xml:space="preserve">vendors, and the named directors in them</w:t>
            </w:r>
          </w:p>
        </w:tc>
      </w:tr>
      <w:tr>
        <w:tc>
          <w:tcPr>
            <w:tcW w:type="dxa" w:w="3120"/>
            <w:tcMar>
              <w:top w:type="dxa" w:w="70"/>
              <w:left w:type="dxa" w:w="110"/>
              <w:bottom w:type="dxa" w:w="70"/>
              <w:right w:type="dxa" w:w="110"/>
            </w:tcMar>
          </w:tcPr>
          <w:p>
            <w:pPr>
              <w:spacing w:after="0"/>
            </w:pPr>
            <w:r>
              <w:rPr>
                <w:sz w:val="18"/>
                <w:szCs w:val="18"/>
              </w:rPr>
              <w:t xml:space="preserve">Invoices &amp; completion evidence</w:t>
            </w:r>
          </w:p>
        </w:tc>
        <w:tc>
          <w:tcPr>
            <w:tcW w:type="dxa" w:w="3120"/>
            <w:tcMar>
              <w:top w:type="dxa" w:w="70"/>
              <w:left w:type="dxa" w:w="110"/>
              <w:bottom w:type="dxa" w:w="70"/>
              <w:right w:type="dxa" w:w="110"/>
            </w:tcMar>
          </w:tcPr>
          <w:p>
            <w:pPr>
              <w:spacing w:after="0"/>
            </w:pPr>
            <w:r>
              <w:rPr>
                <w:rFonts w:ascii="Consolas" w:cs="Consolas" w:eastAsia="Consolas" w:hAnsi="Consolas"/>
                <w:color w:val="9A3412"/>
                <w:sz w:val="18"/>
                <w:szCs w:val="18"/>
              </w:rPr>
              <w:t xml:space="preserve">invoice-attachments</w:t>
            </w:r>
            <w:r>
              <w:rPr>
                <w:sz w:val="18"/>
                <w:szCs w:val="18"/>
              </w:rPr>
              <w:t xml:space="preserve"> bucket (private)</w:t>
            </w:r>
          </w:p>
        </w:tc>
        <w:tc>
          <w:tcPr>
            <w:tcW w:type="dxa" w:w="3120"/>
            <w:tcMar>
              <w:top w:type="dxa" w:w="70"/>
              <w:left w:type="dxa" w:w="110"/>
              <w:bottom w:type="dxa" w:w="70"/>
              <w:right w:type="dxa" w:w="110"/>
            </w:tcMar>
          </w:tcPr>
          <w:p>
            <w:pPr>
              <w:spacing w:after="0"/>
            </w:pPr>
            <w:r>
              <w:rPr>
                <w:sz w:val="18"/>
                <w:szCs w:val="18"/>
              </w:rPr>
              <w:t xml:space="preserve">vendors, tenants incidentally</w:t>
            </w:r>
          </w:p>
        </w:tc>
      </w:tr>
      <w:tr>
        <w:tc>
          <w:tcPr>
            <w:tcW w:type="dxa" w:w="3120"/>
            <w:tcMar>
              <w:top w:type="dxa" w:w="70"/>
              <w:left w:type="dxa" w:w="110"/>
              <w:bottom w:type="dxa" w:w="70"/>
              <w:right w:type="dxa" w:w="110"/>
            </w:tcMar>
          </w:tcPr>
          <w:p>
            <w:pPr>
              <w:spacing w:after="0"/>
            </w:pPr>
            <w:r>
              <w:rPr>
                <w:sz w:val="18"/>
                <w:szCs w:val="18"/>
              </w:rPr>
              <w:t xml:space="preserve">Proof of payment</w:t>
            </w:r>
          </w:p>
        </w:tc>
        <w:tc>
          <w:tcPr>
            <w:tcW w:type="dxa" w:w="3120"/>
            <w:tcMar>
              <w:top w:type="dxa" w:w="70"/>
              <w:left w:type="dxa" w:w="110"/>
              <w:bottom w:type="dxa" w:w="70"/>
              <w:right w:type="dxa" w:w="110"/>
            </w:tcMar>
          </w:tcPr>
          <w:p>
            <w:pPr>
              <w:spacing w:after="0"/>
            </w:pPr>
            <w:r>
              <w:rPr>
                <w:rFonts w:ascii="Consolas" w:cs="Consolas" w:eastAsia="Consolas" w:hAnsi="Consolas"/>
                <w:color w:val="9A3412"/>
                <w:sz w:val="18"/>
                <w:szCs w:val="18"/>
              </w:rPr>
              <w:t xml:space="preserve">payment-proofs</w:t>
            </w:r>
            <w:r>
              <w:rPr>
                <w:sz w:val="18"/>
                <w:szCs w:val="18"/>
              </w:rPr>
              <w:t xml:space="preserve"> bucket (private) — teller slips and transfer receipts</w:t>
            </w:r>
          </w:p>
        </w:tc>
        <w:tc>
          <w:tcPr>
            <w:tcW w:type="dxa" w:w="3120"/>
            <w:tcMar>
              <w:top w:type="dxa" w:w="70"/>
              <w:left w:type="dxa" w:w="110"/>
              <w:bottom w:type="dxa" w:w="70"/>
              <w:right w:type="dxa" w:w="110"/>
            </w:tcMar>
          </w:tcPr>
          <w:p>
            <w:pPr>
              <w:spacing w:after="0"/>
            </w:pPr>
            <w:r>
              <w:rPr>
                <w:sz w:val="18"/>
                <w:szCs w:val="18"/>
              </w:rPr>
              <w:t xml:space="preserve">tenants, and whoever's name is on the slip</w:t>
            </w:r>
          </w:p>
        </w:tc>
      </w:tr>
      <w:tr>
        <w:tc>
          <w:tcPr>
            <w:tcW w:type="dxa" w:w="3120"/>
            <w:tcMar>
              <w:top w:type="dxa" w:w="70"/>
              <w:left w:type="dxa" w:w="110"/>
              <w:bottom w:type="dxa" w:w="70"/>
              <w:right w:type="dxa" w:w="110"/>
            </w:tcMar>
          </w:tcPr>
          <w:p>
            <w:pPr>
              <w:spacing w:after="0"/>
            </w:pPr>
            <w:r>
              <w:rPr>
                <w:sz w:val="18"/>
                <w:szCs w:val="18"/>
              </w:rPr>
              <w:t xml:space="preserve">Proof of bank details &amp; payout</w:t>
            </w:r>
          </w:p>
        </w:tc>
        <w:tc>
          <w:tcPr>
            <w:tcW w:type="dxa" w:w="3120"/>
            <w:tcMar>
              <w:top w:type="dxa" w:w="70"/>
              <w:left w:type="dxa" w:w="110"/>
              <w:bottom w:type="dxa" w:w="70"/>
              <w:right w:type="dxa" w:w="110"/>
            </w:tcMar>
          </w:tcPr>
          <w:p>
            <w:pPr>
              <w:spacing w:after="0"/>
            </w:pPr>
            <w:r>
              <w:rPr>
                <w:rFonts w:ascii="Consolas" w:cs="Consolas" w:eastAsia="Consolas" w:hAnsi="Consolas"/>
                <w:color w:val="9A3412"/>
                <w:sz w:val="18"/>
                <w:szCs w:val="18"/>
              </w:rPr>
              <w:t xml:space="preserve">payout-evidence</w:t>
            </w:r>
            <w:r>
              <w:rPr>
                <w:sz w:val="18"/>
                <w:szCs w:val="18"/>
              </w:rPr>
              <w:t xml:space="preserve"> bucket (private) — a payee's own bank letter or statement</w:t>
            </w:r>
          </w:p>
        </w:tc>
        <w:tc>
          <w:tcPr>
            <w:tcW w:type="dxa" w:w="3120"/>
            <w:tcMar>
              <w:top w:type="dxa" w:w="70"/>
              <w:left w:type="dxa" w:w="110"/>
              <w:bottom w:type="dxa" w:w="70"/>
              <w:right w:type="dxa" w:w="110"/>
            </w:tcMar>
          </w:tcPr>
          <w:p>
            <w:pPr>
              <w:spacing w:after="0"/>
            </w:pPr>
            <w:r>
              <w:rPr>
                <w:sz w:val="18"/>
                <w:szCs w:val="18"/>
              </w:rPr>
              <w:t xml:space="preserve">vendors, landlords, ops staff</w:t>
            </w:r>
          </w:p>
        </w:tc>
      </w:tr>
      <w:tr>
        <w:tc>
          <w:tcPr>
            <w:tcW w:type="dxa" w:w="3120"/>
            <w:tcMar>
              <w:top w:type="dxa" w:w="70"/>
              <w:left w:type="dxa" w:w="110"/>
              <w:bottom w:type="dxa" w:w="70"/>
              <w:right w:type="dxa" w:w="110"/>
            </w:tcMar>
          </w:tcPr>
          <w:p>
            <w:pPr>
              <w:spacing w:after="0"/>
            </w:pPr>
            <w:r>
              <w:rPr>
                <w:sz w:val="18"/>
                <w:szCs w:val="18"/>
              </w:rPr>
              <w:t xml:space="preserve">Brand marks</w:t>
            </w:r>
          </w:p>
        </w:tc>
        <w:tc>
          <w:tcPr>
            <w:tcW w:type="dxa" w:w="3120"/>
            <w:tcMar>
              <w:top w:type="dxa" w:w="70"/>
              <w:left w:type="dxa" w:w="110"/>
              <w:bottom w:type="dxa" w:w="70"/>
              <w:right w:type="dxa" w:w="110"/>
            </w:tcMar>
          </w:tcPr>
          <w:p>
            <w:pPr>
              <w:spacing w:after="0"/>
            </w:pPr>
            <w:r>
              <w:rPr>
                <w:rFonts w:ascii="Consolas" w:cs="Consolas" w:eastAsia="Consolas" w:hAnsi="Consolas"/>
                <w:color w:val="9A3412"/>
                <w:sz w:val="18"/>
                <w:szCs w:val="18"/>
              </w:rPr>
              <w:t xml:space="preserve">org-logos</w:t>
            </w:r>
            <w:r>
              <w:rPr>
                <w:sz w:val="18"/>
                <w:szCs w:val="18"/>
              </w:rPr>
              <w:t xml:space="preserve"> bucket — </w:t>
            </w:r>
            <w:r>
              <w:rPr>
                <w:b/>
                <w:bCs/>
                <w:sz w:val="18"/>
                <w:szCs w:val="18"/>
              </w:rPr>
              <w:t xml:space="preserve">public by design</w:t>
            </w:r>
            <w:r>
              <w:rPr>
                <w:sz w:val="18"/>
                <w:szCs w:val="18"/>
              </w:rPr>
              <w:t xml:space="preserve">, painted on the sign-in page before anyone authenticates</w:t>
            </w:r>
          </w:p>
        </w:tc>
        <w:tc>
          <w:tcPr>
            <w:tcW w:type="dxa" w:w="3120"/>
            <w:tcMar>
              <w:top w:type="dxa" w:w="70"/>
              <w:left w:type="dxa" w:w="110"/>
              <w:bottom w:type="dxa" w:w="70"/>
              <w:right w:type="dxa" w:w="110"/>
            </w:tcMar>
          </w:tcPr>
          <w:p>
            <w:pPr>
              <w:spacing w:after="0"/>
            </w:pPr>
            <w:r>
              <w:rPr>
                <w:sz w:val="18"/>
                <w:szCs w:val="18"/>
              </w:rPr>
              <w:t xml:space="preserve">no personal data</w:t>
            </w:r>
          </w:p>
        </w:tc>
      </w:tr>
      <w:tr>
        <w:tc>
          <w:tcPr>
            <w:tcW w:type="dxa" w:w="3120"/>
            <w:tcMar>
              <w:top w:type="dxa" w:w="70"/>
              <w:left w:type="dxa" w:w="110"/>
              <w:bottom w:type="dxa" w:w="70"/>
              <w:right w:type="dxa" w:w="110"/>
            </w:tcMar>
          </w:tcPr>
          <w:p>
            <w:pPr>
              <w:spacing w:after="0"/>
            </w:pPr>
            <w:r>
              <w:rPr>
                <w:sz w:val="18"/>
                <w:szCs w:val="18"/>
              </w:rPr>
              <w:t xml:space="preserve">Financial</w:t>
            </w:r>
          </w:p>
        </w:tc>
        <w:tc>
          <w:tcPr>
            <w:tcW w:type="dxa" w:w="3120"/>
            <w:tcMar>
              <w:top w:type="dxa" w:w="70"/>
              <w:left w:type="dxa" w:w="110"/>
              <w:bottom w:type="dxa" w:w="70"/>
              <w:right w:type="dxa" w:w="110"/>
            </w:tcMar>
          </w:tcPr>
          <w:p>
            <w:pPr>
              <w:spacing w:after="0"/>
            </w:pPr>
            <w:r>
              <w:rPr>
                <w:rFonts w:ascii="Consolas" w:cs="Consolas" w:eastAsia="Consolas" w:hAnsi="Consolas"/>
                <w:color w:val="9A3412"/>
                <w:sz w:val="18"/>
                <w:szCs w:val="18"/>
              </w:rPr>
              <w:t xml:space="preserve">payments</w:t>
            </w:r>
            <w:r>
              <w:rPr>
                <w:sz w:val="18"/>
                <w:szCs w:val="18"/>
              </w:rPr>
              <w:t xml:space="preserve">, </w:t>
            </w:r>
            <w:r>
              <w:rPr>
                <w:rFonts w:ascii="Consolas" w:cs="Consolas" w:eastAsia="Consolas" w:hAnsi="Consolas"/>
                <w:color w:val="9A3412"/>
                <w:sz w:val="18"/>
                <w:szCs w:val="18"/>
              </w:rPr>
              <w:t xml:space="preserve">rent_charges</w:t>
            </w:r>
            <w:r>
              <w:rPr>
                <w:sz w:val="18"/>
                <w:szCs w:val="18"/>
              </w:rPr>
              <w:t xml:space="preserve">, </w:t>
            </w:r>
            <w:r>
              <w:rPr>
                <w:rFonts w:ascii="Consolas" w:cs="Consolas" w:eastAsia="Consolas" w:hAnsi="Consolas"/>
                <w:color w:val="9A3412"/>
                <w:sz w:val="18"/>
                <w:szCs w:val="18"/>
              </w:rPr>
              <w:t xml:space="preserve">service_charges</w:t>
            </w:r>
            <w:r>
              <w:rPr>
                <w:sz w:val="18"/>
                <w:szCs w:val="18"/>
              </w:rPr>
              <w:t xml:space="preserve">, </w:t>
            </w:r>
            <w:r>
              <w:rPr>
                <w:rFonts w:ascii="Consolas" w:cs="Consolas" w:eastAsia="Consolas" w:hAnsi="Consolas"/>
                <w:color w:val="9A3412"/>
                <w:sz w:val="18"/>
                <w:szCs w:val="18"/>
              </w:rPr>
              <w:t xml:space="preserve">ledger_*</w:t>
            </w:r>
            <w:r>
              <w:rPr>
                <w:sz w:val="18"/>
                <w:szCs w:val="18"/>
              </w:rPr>
              <w:t xml:space="preserve">, </w:t>
            </w:r>
            <w:r>
              <w:rPr>
                <w:rFonts w:ascii="Consolas" w:cs="Consolas" w:eastAsia="Consolas" w:hAnsi="Consolas"/>
                <w:color w:val="9A3412"/>
                <w:sz w:val="18"/>
                <w:szCs w:val="18"/>
              </w:rPr>
              <w:t xml:space="preserve">payout_recipients</w:t>
            </w:r>
            <w:r>
              <w:rPr>
                <w:sz w:val="18"/>
                <w:szCs w:val="18"/>
              </w:rPr>
              <w:t xml:space="preserve"> (bank details)</w:t>
            </w:r>
          </w:p>
        </w:tc>
        <w:tc>
          <w:tcPr>
            <w:tcW w:type="dxa" w:w="3120"/>
            <w:tcMar>
              <w:top w:type="dxa" w:w="70"/>
              <w:left w:type="dxa" w:w="110"/>
              <w:bottom w:type="dxa" w:w="70"/>
              <w:right w:type="dxa" w:w="110"/>
            </w:tcMar>
          </w:tcPr>
          <w:p>
            <w:pPr>
              <w:spacing w:after="0"/>
            </w:pPr>
            <w:r>
              <w:rPr>
                <w:sz w:val="18"/>
                <w:szCs w:val="18"/>
              </w:rPr>
              <w:t xml:space="preserve">tenants, vendors, landlords</w:t>
            </w:r>
          </w:p>
        </w:tc>
      </w:tr>
      <w:tr>
        <w:tc>
          <w:tcPr>
            <w:tcW w:type="dxa" w:w="3120"/>
            <w:tcMar>
              <w:top w:type="dxa" w:w="70"/>
              <w:left w:type="dxa" w:w="110"/>
              <w:bottom w:type="dxa" w:w="70"/>
              <w:right w:type="dxa" w:w="110"/>
            </w:tcMar>
          </w:tcPr>
          <w:p>
            <w:pPr>
              <w:spacing w:after="0"/>
            </w:pPr>
            <w:r>
              <w:rPr>
                <w:sz w:val="18"/>
                <w:szCs w:val="18"/>
              </w:rPr>
              <w:t xml:space="preserve">Behavioural</w:t>
            </w:r>
          </w:p>
        </w:tc>
        <w:tc>
          <w:tcPr>
            <w:tcW w:type="dxa" w:w="3120"/>
            <w:tcMar>
              <w:top w:type="dxa" w:w="70"/>
              <w:left w:type="dxa" w:w="110"/>
              <w:bottom w:type="dxa" w:w="70"/>
              <w:right w:type="dxa" w:w="110"/>
            </w:tcMar>
          </w:tcPr>
          <w:p>
            <w:pPr>
              <w:spacing w:after="0"/>
            </w:pPr>
            <w:r>
              <w:rPr>
                <w:rFonts w:ascii="Consolas" w:cs="Consolas" w:eastAsia="Consolas" w:hAnsi="Consolas"/>
                <w:color w:val="9A3412"/>
                <w:sz w:val="18"/>
                <w:szCs w:val="18"/>
              </w:rPr>
              <w:t xml:space="preserve">tickets</w:t>
            </w:r>
            <w:r>
              <w:rPr>
                <w:sz w:val="18"/>
                <w:szCs w:val="18"/>
              </w:rPr>
              <w:t xml:space="preserve">, </w:t>
            </w:r>
            <w:r>
              <w:rPr>
                <w:rFonts w:ascii="Consolas" w:cs="Consolas" w:eastAsia="Consolas" w:hAnsi="Consolas"/>
                <w:color w:val="9A3412"/>
                <w:sz w:val="18"/>
                <w:szCs w:val="18"/>
              </w:rPr>
              <w:t xml:space="preserve">ticket_messages</w:t>
            </w:r>
            <w:r>
              <w:rPr>
                <w:sz w:val="18"/>
                <w:szCs w:val="18"/>
              </w:rPr>
              <w:t xml:space="preserve">, </w:t>
            </w:r>
            <w:r>
              <w:rPr>
                <w:rFonts w:ascii="Consolas" w:cs="Consolas" w:eastAsia="Consolas" w:hAnsi="Consolas"/>
                <w:color w:val="9A3412"/>
                <w:sz w:val="18"/>
                <w:szCs w:val="18"/>
              </w:rPr>
              <w:t xml:space="preserve">audit_log</w:t>
            </w:r>
            <w:r>
              <w:rPr>
                <w:sz w:val="18"/>
                <w:szCs w:val="18"/>
              </w:rPr>
              <w:t xml:space="preserve">, </w:t>
            </w:r>
            <w:r>
              <w:rPr>
                <w:rFonts w:ascii="Consolas" w:cs="Consolas" w:eastAsia="Consolas" w:hAnsi="Consolas"/>
                <w:color w:val="9A3412"/>
                <w:sz w:val="18"/>
                <w:szCs w:val="18"/>
              </w:rPr>
              <w:t xml:space="preserve">user_notifications</w:t>
            </w:r>
          </w:p>
        </w:tc>
        <w:tc>
          <w:tcPr>
            <w:tcW w:type="dxa" w:w="3120"/>
            <w:tcMar>
              <w:top w:type="dxa" w:w="70"/>
              <w:left w:type="dxa" w:w="110"/>
              <w:bottom w:type="dxa" w:w="70"/>
              <w:right w:type="dxa" w:w="110"/>
            </w:tcMar>
          </w:tcPr>
          <w:p>
            <w:pPr>
              <w:spacing w:after="0"/>
            </w:pPr>
            <w:r>
              <w:rPr>
                <w:sz w:val="18"/>
                <w:szCs w:val="18"/>
              </w:rPr>
              <w:t xml:space="preserve">everyone</w:t>
            </w:r>
          </w:p>
        </w:tc>
      </w:tr>
    </w:tbl>
    <w:p>
      <w:pPr>
        <w:spacing w:after="160"/>
      </w:pPr>
    </w:p>
    <w:p>
      <w:pPr>
        <w:spacing w:after="140" w:line="268"/>
      </w:pPr>
      <w:r>
        <w:t xml:space="preserve">⚠️ </w:t>
      </w:r>
      <w:r>
        <w:rPr>
          <w:b/>
          <w:bCs/>
        </w:rPr>
        <w:t xml:space="preserve">This inventory listed two buckets until 20 Sept 2026.</w:t>
      </w:r>
      <w:r>
        <w:t xml:space="preserve"> Four holding personal data — vendor KYC, invoices, payment proof and bank evidence — were built after it was written (</w:t>
      </w:r>
      <w:r>
        <w:rPr>
          <w:rFonts w:ascii="Consolas" w:cs="Consolas" w:eastAsia="Consolas" w:hAnsi="Consolas"/>
          <w:color w:val="9A3412"/>
          <w:sz w:val="18"/>
          <w:szCs w:val="18"/>
        </w:rPr>
        <w:t xml:space="preserve">0140</w:t>
      </w:r>
      <w:r>
        <w:t xml:space="preserve">, </w:t>
      </w:r>
      <w:r>
        <w:rPr>
          <w:rFonts w:ascii="Consolas" w:cs="Consolas" w:eastAsia="Consolas" w:hAnsi="Consolas"/>
          <w:color w:val="9A3412"/>
          <w:sz w:val="18"/>
          <w:szCs w:val="18"/>
        </w:rPr>
        <w:t xml:space="preserve">0164</w:t>
      </w:r>
      <w:r>
        <w:t xml:space="preserve">, </w:t>
      </w:r>
      <w:r>
        <w:rPr>
          <w:rFonts w:ascii="Consolas" w:cs="Consolas" w:eastAsia="Consolas" w:hAnsi="Consolas"/>
          <w:color w:val="9A3412"/>
          <w:sz w:val="18"/>
          <w:szCs w:val="18"/>
        </w:rPr>
        <w:t xml:space="preserve">0281</w:t>
      </w:r>
      <w:r>
        <w:t xml:space="preserve">, </w:t>
      </w:r>
      <w:r>
        <w:rPr>
          <w:rFonts w:ascii="Consolas" w:cs="Consolas" w:eastAsia="Consolas" w:hAnsi="Consolas"/>
          <w:color w:val="9A3412"/>
          <w:sz w:val="18"/>
          <w:szCs w:val="18"/>
        </w:rPr>
        <w:t xml:space="preserve">0289</w:t>
      </w:r>
      <w:r>
        <w:t xml:space="preserve">) and never added. All seven, with their </w:t>
      </w:r>
      <w:r>
        <w:rPr>
          <w:rFonts w:ascii="Consolas" w:cs="Consolas" w:eastAsia="Consolas" w:hAnsi="Consolas"/>
          <w:color w:val="9A3412"/>
          <w:sz w:val="18"/>
          <w:szCs w:val="18"/>
        </w:rPr>
        <w:t xml:space="preserve">public</w:t>
      </w:r>
      <w:r>
        <w:t xml:space="preserve"> flag, size limit and MIME allowlist read out of their creating migration, are tabulated in </w:t>
      </w:r>
      <w:r>
        <w:rPr>
          <w:rFonts w:ascii="Consolas" w:cs="Consolas" w:eastAsia="Consolas" w:hAnsi="Consolas"/>
          <w:color w:val="9A3412"/>
          <w:sz w:val="18"/>
          <w:szCs w:val="18"/>
        </w:rPr>
        <w:t xml:space="preserve">GO_LIVE_CHECKLIST.md</w:t>
      </w:r>
      <w:r>
        <w:t xml:space="preserve"> §1.</w:t>
      </w:r>
    </w:p>
    <w:p>
      <w:pPr>
        <w:spacing w:after="140" w:line="268"/>
      </w:pPr>
      <w:r>
        <w:t xml:space="preserve">⚠️ </w:t>
      </w:r>
      <w:r>
        <w:rPr>
          <w:b/>
          <w:bCs/>
        </w:rPr>
        <w:t xml:space="preserve">The full bank account number is never stored</w:t>
      </w:r>
      <w:r>
        <w:t xml:space="preserve"> (decision 17, </w:t>
      </w:r>
      <w:r>
        <w:rPr>
          <w:rFonts w:ascii="Consolas" w:cs="Consolas" w:eastAsia="Consolas" w:hAnsi="Consolas"/>
          <w:color w:val="9A3412"/>
          <w:sz w:val="18"/>
          <w:szCs w:val="18"/>
        </w:rPr>
        <w:t xml:space="preserve">0289</w:t>
      </w:r>
      <w:r>
        <w:t xml:space="preserve">). A payee uploads a document showing it, the payment officer reads it off that document to make the transfer, and the system retains only the bank, the account name and the last four digits. The document itself lives in </w:t>
      </w:r>
      <w:r>
        <w:rPr>
          <w:rFonts w:ascii="Consolas" w:cs="Consolas" w:eastAsia="Consolas" w:hAnsi="Consolas"/>
          <w:color w:val="9A3412"/>
          <w:sz w:val="18"/>
          <w:szCs w:val="18"/>
        </w:rPr>
        <w:t xml:space="preserve">payout-evidence</w:t>
      </w:r>
      <w:r>
        <w:t xml:space="preserve"> and is therefore subject to the same retention clock as every other record here.</w:t>
      </w:r>
    </w:p>
    <w:p>
      <w:pPr>
        <w:pStyle w:val="Heading3"/>
        <w:spacing w:after="140" w:before="300"/>
      </w:pPr>
      <w:r>
        <w:t xml:space="preserve">✅ Special-category data is walled off</w:t>
      </w:r>
    </w:p>
    <w:p>
      <w:pPr>
        <w:spacing w:after="140" w:line="268"/>
      </w:pPr>
      <w:r>
        <w:rPr>
          <w:rFonts w:ascii="Consolas" w:cs="Consolas" w:eastAsia="Consolas" w:hAnsi="Consolas"/>
          <w:color w:val="9A3412"/>
          <w:sz w:val="18"/>
          <w:szCs w:val="18"/>
        </w:rPr>
        <w:t xml:space="preserve">tenant_applications.sensitive</w:t>
      </w:r>
      <w:r>
        <w:t xml:space="preserve"> is a </w:t>
      </w:r>
      <w:r>
        <w:rPr>
          <w:b/>
          <w:bCs/>
        </w:rPr>
        <w:t xml:space="preserve">separate column from </w:t>
      </w:r>
      <w:r>
        <w:rPr>
          <w:rFonts w:ascii="Consolas" w:cs="Consolas" w:eastAsia="Consolas" w:hAnsi="Consolas"/>
          <w:b/>
          <w:bCs/>
          <w:color w:val="9A3412"/>
          <w:sz w:val="18"/>
          <w:szCs w:val="18"/>
        </w:rPr>
        <w:t xml:space="preserve">form</w:t>
      </w:r>
      <w:r>
        <w:t xml:space="preserve">, and the reviewer-facing function that returns an application </w:t>
      </w:r>
      <w:r>
        <w:rPr>
          <w:b/>
          <w:bCs/>
        </w:rPr>
        <w:t xml:space="preserve">omits it</w:t>
      </w:r>
      <w:r>
        <w:t xml:space="preserve"> — the migration carries the comment </w:t>
      </w:r>
      <w:r>
        <w:rPr>
          <w:rFonts w:ascii="Consolas" w:cs="Consolas" w:eastAsia="Consolas" w:hAnsi="Consolas"/>
          <w:color w:val="9A3412"/>
          <w:sz w:val="18"/>
          <w:szCs w:val="18"/>
        </w:rPr>
        <w:t xml:space="preserve">-- note: 'sensitive' is NOT here</w:t>
      </w:r>
      <w:r>
        <w:t xml:space="preserve">. Per decision 10 it is </w:t>
      </w:r>
      <w:r>
        <w:rPr>
          <w:b/>
          <w:bCs/>
        </w:rPr>
        <w:t xml:space="preserve">never sent to a model</w:t>
      </w:r>
      <w:r>
        <w:t xml:space="preserve">. Verified in </w:t>
      </w:r>
      <w:r>
        <w:rPr>
          <w:rFonts w:ascii="Consolas" w:cs="Consolas" w:eastAsia="Consolas" w:hAnsi="Consolas"/>
          <w:color w:val="9A3412"/>
          <w:sz w:val="18"/>
          <w:szCs w:val="18"/>
        </w:rPr>
        <w:t xml:space="preserve">0062</w:t>
      </w:r>
      <w:r>
        <w:t xml:space="preserve">.</w:t>
      </w:r>
    </w:p>
    <w:p>
      <w:pPr>
        <w:pBdr>
          <w:bottom w:val="single" w:color="D0D5DD" w:sz="6" w:space="6"/>
        </w:pBdr>
        <w:spacing w:after="120"/>
      </w:pPr>
    </w:p>
    <w:p>
      <w:pPr>
        <w:pStyle w:val="Heading2"/>
        <w:spacing w:after="140" w:before="300"/>
      </w:pPr>
      <w:r>
        <w:t xml:space="preserve">3. Lawful basis (NDPA s.25)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AECF0" w:val="clear"/>
            <w:tcMar>
              <w:top w:type="dxa" w:w="70"/>
              <w:left w:type="dxa" w:w="110"/>
              <w:bottom w:type="dxa" w:w="70"/>
              <w:right w:type="dxa" w:w="110"/>
            </w:tcMar>
          </w:tcPr>
          <w:p>
            <w:pPr>
              <w:spacing w:after="0"/>
            </w:pPr>
            <w:r>
              <w:rPr>
                <w:b/>
                <w:bCs/>
                <w:sz w:val="18"/>
                <w:szCs w:val="18"/>
              </w:rPr>
              <w:t xml:space="preserve">Processing</w:t>
            </w:r>
          </w:p>
        </w:tc>
        <w:tc>
          <w:tcPr>
            <w:tcW w:type="dxa" w:w="4680"/>
            <w:shd w:fill="EAECF0" w:val="clear"/>
            <w:tcMar>
              <w:top w:type="dxa" w:w="70"/>
              <w:left w:type="dxa" w:w="110"/>
              <w:bottom w:type="dxa" w:w="70"/>
              <w:right w:type="dxa" w:w="110"/>
            </w:tcMar>
          </w:tcPr>
          <w:p>
            <w:pPr>
              <w:spacing w:after="0"/>
            </w:pPr>
            <w:r>
              <w:rPr>
                <w:b/>
                <w:bCs/>
                <w:sz w:val="18"/>
                <w:szCs w:val="18"/>
              </w:rPr>
              <w:t xml:space="preserve">Basis</w:t>
            </w:r>
          </w:p>
        </w:tc>
      </w:tr>
      <w:tr>
        <w:tc>
          <w:tcPr>
            <w:tcW w:type="dxa" w:w="4680"/>
            <w:tcMar>
              <w:top w:type="dxa" w:w="70"/>
              <w:left w:type="dxa" w:w="110"/>
              <w:bottom w:type="dxa" w:w="70"/>
              <w:right w:type="dxa" w:w="110"/>
            </w:tcMar>
          </w:tcPr>
          <w:p>
            <w:pPr>
              <w:spacing w:after="0"/>
            </w:pPr>
            <w:r>
              <w:rPr>
                <w:sz w:val="18"/>
                <w:szCs w:val="18"/>
              </w:rPr>
              <w:t xml:space="preserve">Tenancy application &amp; KYC</w:t>
            </w:r>
          </w:p>
        </w:tc>
        <w:tc>
          <w:tcPr>
            <w:tcW w:type="dxa" w:w="4680"/>
            <w:tcMar>
              <w:top w:type="dxa" w:w="70"/>
              <w:left w:type="dxa" w:w="110"/>
              <w:bottom w:type="dxa" w:w="70"/>
              <w:right w:type="dxa" w:w="110"/>
            </w:tcMar>
          </w:tcPr>
          <w:p>
            <w:pPr>
              <w:spacing w:after="0"/>
            </w:pPr>
            <w:r>
              <w:rPr>
                <w:b/>
                <w:bCs/>
                <w:sz w:val="18"/>
                <w:szCs w:val="18"/>
              </w:rPr>
              <w:t xml:space="preserve">Consent</w:t>
            </w:r>
            <w:r>
              <w:rPr>
                <w:sz w:val="18"/>
                <w:szCs w:val="18"/>
              </w:rPr>
              <w:t xml:space="preserve"> (captured explicitly) + steps prior to a contract</w:t>
            </w:r>
          </w:p>
        </w:tc>
      </w:tr>
      <w:tr>
        <w:tc>
          <w:tcPr>
            <w:tcW w:type="dxa" w:w="4680"/>
            <w:tcMar>
              <w:top w:type="dxa" w:w="70"/>
              <w:left w:type="dxa" w:w="110"/>
              <w:bottom w:type="dxa" w:w="70"/>
              <w:right w:type="dxa" w:w="110"/>
            </w:tcMar>
          </w:tcPr>
          <w:p>
            <w:pPr>
              <w:spacing w:after="0"/>
            </w:pPr>
            <w:r>
              <w:rPr>
                <w:sz w:val="18"/>
                <w:szCs w:val="18"/>
              </w:rPr>
              <w:t xml:space="preserve">Lease administration, rent, service charges</w:t>
            </w:r>
          </w:p>
        </w:tc>
        <w:tc>
          <w:tcPr>
            <w:tcW w:type="dxa" w:w="4680"/>
            <w:tcMar>
              <w:top w:type="dxa" w:w="70"/>
              <w:left w:type="dxa" w:w="110"/>
              <w:bottom w:type="dxa" w:w="70"/>
              <w:right w:type="dxa" w:w="110"/>
            </w:tcMar>
          </w:tcPr>
          <w:p>
            <w:pPr>
              <w:spacing w:after="0"/>
            </w:pPr>
            <w:r>
              <w:rPr>
                <w:b/>
                <w:bCs/>
                <w:sz w:val="18"/>
                <w:szCs w:val="18"/>
              </w:rPr>
              <w:t xml:space="preserve">Contract</w:t>
            </w:r>
          </w:p>
        </w:tc>
      </w:tr>
      <w:tr>
        <w:tc>
          <w:tcPr>
            <w:tcW w:type="dxa" w:w="4680"/>
            <w:tcMar>
              <w:top w:type="dxa" w:w="70"/>
              <w:left w:type="dxa" w:w="110"/>
              <w:bottom w:type="dxa" w:w="70"/>
              <w:right w:type="dxa" w:w="110"/>
            </w:tcMar>
          </w:tcPr>
          <w:p>
            <w:pPr>
              <w:spacing w:after="0"/>
            </w:pPr>
            <w:r>
              <w:rPr>
                <w:sz w:val="18"/>
                <w:szCs w:val="18"/>
              </w:rPr>
              <w:t xml:space="preserve">Vendor management and payment</w:t>
            </w:r>
          </w:p>
        </w:tc>
        <w:tc>
          <w:tcPr>
            <w:tcW w:type="dxa" w:w="4680"/>
            <w:tcMar>
              <w:top w:type="dxa" w:w="70"/>
              <w:left w:type="dxa" w:w="110"/>
              <w:bottom w:type="dxa" w:w="70"/>
              <w:right w:type="dxa" w:w="110"/>
            </w:tcMar>
          </w:tcPr>
          <w:p>
            <w:pPr>
              <w:spacing w:after="0"/>
            </w:pPr>
            <w:r>
              <w:rPr>
                <w:b/>
                <w:bCs/>
                <w:sz w:val="18"/>
                <w:szCs w:val="18"/>
              </w:rPr>
              <w:t xml:space="preserve">Contract</w:t>
            </w:r>
          </w:p>
        </w:tc>
      </w:tr>
      <w:tr>
        <w:tc>
          <w:tcPr>
            <w:tcW w:type="dxa" w:w="4680"/>
            <w:tcMar>
              <w:top w:type="dxa" w:w="70"/>
              <w:left w:type="dxa" w:w="110"/>
              <w:bottom w:type="dxa" w:w="70"/>
              <w:right w:type="dxa" w:w="110"/>
            </w:tcMar>
          </w:tcPr>
          <w:p>
            <w:pPr>
              <w:spacing w:after="0"/>
            </w:pPr>
            <w:r>
              <w:rPr>
                <w:sz w:val="18"/>
                <w:szCs w:val="18"/>
              </w:rPr>
              <w:t xml:space="preserve">Maintenance requests &amp; work orders</w:t>
            </w:r>
          </w:p>
        </w:tc>
        <w:tc>
          <w:tcPr>
            <w:tcW w:type="dxa" w:w="4680"/>
            <w:tcMar>
              <w:top w:type="dxa" w:w="70"/>
              <w:left w:type="dxa" w:w="110"/>
              <w:bottom w:type="dxa" w:w="70"/>
              <w:right w:type="dxa" w:w="110"/>
            </w:tcMar>
          </w:tcPr>
          <w:p>
            <w:pPr>
              <w:spacing w:after="0"/>
            </w:pPr>
            <w:r>
              <w:rPr>
                <w:b/>
                <w:bCs/>
                <w:sz w:val="18"/>
                <w:szCs w:val="18"/>
              </w:rPr>
              <w:t xml:space="preserve">Legitimate interest</w:t>
            </w:r>
            <w:r>
              <w:rPr>
                <w:sz w:val="18"/>
                <w:szCs w:val="18"/>
              </w:rPr>
              <w:t xml:space="preserve"> — operating the property</w:t>
            </w:r>
          </w:p>
        </w:tc>
      </w:tr>
      <w:tr>
        <w:tc>
          <w:tcPr>
            <w:tcW w:type="dxa" w:w="4680"/>
            <w:tcMar>
              <w:top w:type="dxa" w:w="70"/>
              <w:left w:type="dxa" w:w="110"/>
              <w:bottom w:type="dxa" w:w="70"/>
              <w:right w:type="dxa" w:w="110"/>
            </w:tcMar>
          </w:tcPr>
          <w:p>
            <w:pPr>
              <w:spacing w:after="0"/>
            </w:pPr>
            <w:r>
              <w:rPr>
                <w:sz w:val="18"/>
                <w:szCs w:val="18"/>
              </w:rPr>
              <w:t xml:space="preserve">Audit trail</w:t>
            </w:r>
          </w:p>
        </w:tc>
        <w:tc>
          <w:tcPr>
            <w:tcW w:type="dxa" w:w="4680"/>
            <w:tcMar>
              <w:top w:type="dxa" w:w="70"/>
              <w:left w:type="dxa" w:w="110"/>
              <w:bottom w:type="dxa" w:w="70"/>
              <w:right w:type="dxa" w:w="110"/>
            </w:tcMar>
          </w:tcPr>
          <w:p>
            <w:pPr>
              <w:spacing w:after="0"/>
            </w:pPr>
            <w:r>
              <w:rPr>
                <w:b/>
                <w:bCs/>
                <w:sz w:val="18"/>
                <w:szCs w:val="18"/>
              </w:rPr>
              <w:t xml:space="preserve">Legal obligation</w:t>
            </w:r>
            <w:r>
              <w:rPr>
                <w:sz w:val="18"/>
                <w:szCs w:val="18"/>
              </w:rPr>
              <w:t xml:space="preserve"> + legitimate interest</w:t>
            </w:r>
          </w:p>
        </w:tc>
      </w:tr>
      <w:tr>
        <w:tc>
          <w:tcPr>
            <w:tcW w:type="dxa" w:w="4680"/>
            <w:tcMar>
              <w:top w:type="dxa" w:w="70"/>
              <w:left w:type="dxa" w:w="110"/>
              <w:bottom w:type="dxa" w:w="70"/>
              <w:right w:type="dxa" w:w="110"/>
            </w:tcMar>
          </w:tcPr>
          <w:p>
            <w:pPr>
              <w:spacing w:after="0"/>
            </w:pPr>
            <w:r>
              <w:rPr>
                <w:sz w:val="18"/>
                <w:szCs w:val="18"/>
              </w:rPr>
              <w:t xml:space="preserve">Special category (religion, marital status)</w:t>
            </w:r>
          </w:p>
        </w:tc>
        <w:tc>
          <w:tcPr>
            <w:tcW w:type="dxa" w:w="4680"/>
            <w:tcMar>
              <w:top w:type="dxa" w:w="70"/>
              <w:left w:type="dxa" w:w="110"/>
              <w:bottom w:type="dxa" w:w="70"/>
              <w:right w:type="dxa" w:w="110"/>
            </w:tcMar>
          </w:tcPr>
          <w:p>
            <w:pPr>
              <w:spacing w:after="0"/>
            </w:pPr>
            <w:r>
              <w:rPr>
                <w:b/>
                <w:bCs/>
                <w:sz w:val="18"/>
                <w:szCs w:val="18"/>
              </w:rPr>
              <w:t xml:space="preserve">Explicit consent only.</w:t>
            </w:r>
            <w:r>
              <w:rPr>
                <w:sz w:val="18"/>
                <w:szCs w:val="18"/>
              </w:rPr>
              <w:t xml:space="preserve"> Collected for tenancy suitability context; ⛔ the board should confirm it is genuinely necessary, since the cleanest NDPA position is not to collect it at all.</w:t>
            </w:r>
          </w:p>
        </w:tc>
      </w:tr>
    </w:tbl>
    <w:p>
      <w:pPr>
        <w:spacing w:after="160"/>
      </w:pPr>
    </w:p>
    <w:p>
      <w:pPr>
        <w:pStyle w:val="Heading3"/>
        <w:spacing w:after="140" w:before="300"/>
      </w:pPr>
      <w:r>
        <w:t xml:space="preserve">✅ Consent is stored verbatim, per application</w:t>
      </w:r>
    </w:p>
    <w:p>
      <w:pPr>
        <w:spacing w:after="140" w:line="268"/>
      </w:pPr>
      <w:r>
        <w:rPr>
          <w:rFonts w:ascii="Consolas" w:cs="Consolas" w:eastAsia="Consolas" w:hAnsi="Consolas"/>
          <w:color w:val="9A3412"/>
          <w:sz w:val="18"/>
          <w:szCs w:val="18"/>
        </w:rPr>
        <w:t xml:space="preserve">tenant_applications.consent_statement</w:t>
      </w:r>
      <w:r>
        <w:t xml:space="preserve"> holds </w:t>
      </w:r>
      <w:r>
        <w:rPr>
          <w:b/>
          <w:bCs/>
        </w:rPr>
        <w:t xml:space="preserve">the exact wording the applicant saw</w:t>
      </w:r>
      <w:r>
        <w:t xml:space="preserve">, alongside </w:t>
      </w:r>
      <w:r>
        <w:rPr>
          <w:rFonts w:ascii="Consolas" w:cs="Consolas" w:eastAsia="Consolas" w:hAnsi="Consolas"/>
          <w:color w:val="9A3412"/>
          <w:sz w:val="18"/>
          <w:szCs w:val="18"/>
        </w:rPr>
        <w:t xml:space="preserve">consent_given_at</w:t>
      </w:r>
      <w:r>
        <w:t xml:space="preserve">. Decision 10 requires this so that when the copy changes, existing applicants keep the statement they actually agreed to — a later edit cannot retroactively rewrite what someone consented to.</w:t>
      </w:r>
    </w:p>
    <w:p>
      <w:pPr>
        <w:pBdr>
          <w:bottom w:val="single" w:color="D0D5DD" w:sz="6" w:space="6"/>
        </w:pBdr>
        <w:spacing w:after="120"/>
      </w:pPr>
    </w:p>
    <w:p>
      <w:pPr>
        <w:pStyle w:val="Heading2"/>
        <w:spacing w:after="140" w:before="300"/>
      </w:pPr>
      <w:r>
        <w:t xml:space="preserve">4. Processor register — DPAs required before real data flows</w:t>
      </w:r>
    </w:p>
    <w:p>
      <w:pPr>
        <w:spacing w:after="140" w:line="268"/>
      </w:pPr>
      <w:r>
        <w:rPr>
          <w:rFonts w:ascii="Consolas" w:cs="Consolas" w:eastAsia="Consolas" w:hAnsi="Consolas"/>
          <w:color w:val="9A3412"/>
          <w:sz w:val="18"/>
          <w:szCs w:val="18"/>
        </w:rPr>
        <w:t xml:space="preserve">CLAUDE.md</w:t>
      </w:r>
      <w:r>
        <w:t xml:space="preserve"> A3 requires a data-processing agreement with </w:t>
      </w:r>
      <w:r>
        <w:rPr>
          <w:b/>
          <w:bCs/>
        </w:rPr>
        <w:t xml:space="preserve">every</w:t>
      </w:r>
      <w:r>
        <w:t xml:space="preserve"> 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AECF0" w:val="clear"/>
            <w:tcMar>
              <w:top w:type="dxa" w:w="70"/>
              <w:left w:type="dxa" w:w="110"/>
              <w:bottom w:type="dxa" w:w="70"/>
              <w:right w:type="dxa" w:w="110"/>
            </w:tcMar>
          </w:tcPr>
          <w:p>
            <w:pPr>
              <w:spacing w:after="0"/>
            </w:pPr>
            <w:r>
              <w:rPr>
                <w:b/>
                <w:bCs/>
                <w:sz w:val="18"/>
                <w:szCs w:val="18"/>
              </w:rPr>
              <w:t xml:space="preserve">Processor</w:t>
            </w:r>
          </w:p>
        </w:tc>
        <w:tc>
          <w:tcPr>
            <w:tcW w:type="dxa" w:w="2340"/>
            <w:shd w:fill="EAECF0" w:val="clear"/>
            <w:tcMar>
              <w:top w:type="dxa" w:w="70"/>
              <w:left w:type="dxa" w:w="110"/>
              <w:bottom w:type="dxa" w:w="70"/>
              <w:right w:type="dxa" w:w="110"/>
            </w:tcMar>
          </w:tcPr>
          <w:p>
            <w:pPr>
              <w:spacing w:after="0"/>
            </w:pPr>
            <w:r>
              <w:rPr>
                <w:b/>
                <w:bCs/>
                <w:sz w:val="18"/>
                <w:szCs w:val="18"/>
              </w:rPr>
              <w:t xml:space="preserve">Purpose</w:t>
            </w:r>
          </w:p>
        </w:tc>
        <w:tc>
          <w:tcPr>
            <w:tcW w:type="dxa" w:w="2340"/>
            <w:shd w:fill="EAECF0" w:val="clear"/>
            <w:tcMar>
              <w:top w:type="dxa" w:w="70"/>
              <w:left w:type="dxa" w:w="110"/>
              <w:bottom w:type="dxa" w:w="70"/>
              <w:right w:type="dxa" w:w="110"/>
            </w:tcMar>
          </w:tcPr>
          <w:p>
            <w:pPr>
              <w:spacing w:after="0"/>
            </w:pPr>
            <w:r>
              <w:rPr>
                <w:b/>
                <w:bCs/>
                <w:sz w:val="18"/>
                <w:szCs w:val="18"/>
              </w:rPr>
              <w:t xml:space="preserve">Personal data</w:t>
            </w:r>
          </w:p>
        </w:tc>
        <w:tc>
          <w:tcPr>
            <w:tcW w:type="dxa" w:w="2340"/>
            <w:shd w:fill="EAECF0" w:val="clear"/>
            <w:tcMar>
              <w:top w:type="dxa" w:w="70"/>
              <w:left w:type="dxa" w:w="110"/>
              <w:bottom w:type="dxa" w:w="70"/>
              <w:right w:type="dxa" w:w="110"/>
            </w:tcMar>
          </w:tcPr>
          <w:p>
            <w:pPr>
              <w:spacing w:after="0"/>
            </w:pPr>
            <w:r>
              <w:rPr>
                <w:b/>
                <w:bCs/>
                <w:sz w:val="18"/>
                <w:szCs w:val="18"/>
              </w:rPr>
              <w:t xml:space="preserve">DPA</w:t>
            </w:r>
          </w:p>
        </w:tc>
      </w:tr>
      <w:tr>
        <w:tc>
          <w:tcPr>
            <w:tcW w:type="dxa" w:w="2340"/>
            <w:tcMar>
              <w:top w:type="dxa" w:w="70"/>
              <w:left w:type="dxa" w:w="110"/>
              <w:bottom w:type="dxa" w:w="70"/>
              <w:right w:type="dxa" w:w="110"/>
            </w:tcMar>
          </w:tcPr>
          <w:p>
            <w:pPr>
              <w:spacing w:after="0"/>
            </w:pPr>
            <w:r>
              <w:rPr>
                <w:sz w:val="18"/>
                <w:szCs w:val="18"/>
              </w:rPr>
              <w:t xml:space="preserve">Supabase</w:t>
            </w:r>
          </w:p>
        </w:tc>
        <w:tc>
          <w:tcPr>
            <w:tcW w:type="dxa" w:w="2340"/>
            <w:tcMar>
              <w:top w:type="dxa" w:w="70"/>
              <w:left w:type="dxa" w:w="110"/>
              <w:bottom w:type="dxa" w:w="70"/>
              <w:right w:type="dxa" w:w="110"/>
            </w:tcMar>
          </w:tcPr>
          <w:p>
            <w:pPr>
              <w:spacing w:after="0"/>
            </w:pPr>
            <w:r>
              <w:rPr>
                <w:sz w:val="18"/>
                <w:szCs w:val="18"/>
              </w:rPr>
              <w:t xml:space="preserve">database, auth, storage</w:t>
            </w:r>
          </w:p>
        </w:tc>
        <w:tc>
          <w:tcPr>
            <w:tcW w:type="dxa" w:w="2340"/>
            <w:tcMar>
              <w:top w:type="dxa" w:w="70"/>
              <w:left w:type="dxa" w:w="110"/>
              <w:bottom w:type="dxa" w:w="70"/>
              <w:right w:type="dxa" w:w="110"/>
            </w:tcMar>
          </w:tcPr>
          <w:p>
            <w:pPr>
              <w:spacing w:after="0"/>
            </w:pPr>
            <w:r>
              <w:rPr>
                <w:sz w:val="18"/>
                <w:szCs w:val="18"/>
              </w:rPr>
              <w:t xml:space="preserve">all of it</w:t>
            </w:r>
          </w:p>
        </w:tc>
        <w:tc>
          <w:tcPr>
            <w:tcW w:type="dxa" w:w="2340"/>
            <w:tcMar>
              <w:top w:type="dxa" w:w="70"/>
              <w:left w:type="dxa" w:w="110"/>
              <w:bottom w:type="dxa" w:w="70"/>
              <w:right w:type="dxa" w:w="110"/>
            </w:tcMar>
          </w:tcPr>
          <w:p>
            <w:pPr>
              <w:spacing w:after="0"/>
            </w:pPr>
            <w:r>
              <w:rPr>
                <w:sz w:val="18"/>
                <w:szCs w:val="18"/>
              </w:rPr>
              <w:t xml:space="preserve">⛔</w:t>
            </w:r>
          </w:p>
        </w:tc>
      </w:tr>
      <w:tr>
        <w:tc>
          <w:tcPr>
            <w:tcW w:type="dxa" w:w="2340"/>
            <w:tcMar>
              <w:top w:type="dxa" w:w="70"/>
              <w:left w:type="dxa" w:w="110"/>
              <w:bottom w:type="dxa" w:w="70"/>
              <w:right w:type="dxa" w:w="110"/>
            </w:tcMar>
          </w:tcPr>
          <w:p>
            <w:pPr>
              <w:spacing w:after="0"/>
            </w:pPr>
            <w:r>
              <w:rPr>
                <w:sz w:val="18"/>
                <w:szCs w:val="18"/>
              </w:rPr>
              <w:t xml:space="preserve">Vercel</w:t>
            </w:r>
          </w:p>
        </w:tc>
        <w:tc>
          <w:tcPr>
            <w:tcW w:type="dxa" w:w="2340"/>
            <w:tcMar>
              <w:top w:type="dxa" w:w="70"/>
              <w:left w:type="dxa" w:w="110"/>
              <w:bottom w:type="dxa" w:w="70"/>
              <w:right w:type="dxa" w:w="110"/>
            </w:tcMar>
          </w:tcPr>
          <w:p>
            <w:pPr>
              <w:spacing w:after="0"/>
            </w:pPr>
            <w:r>
              <w:rPr>
                <w:sz w:val="18"/>
                <w:szCs w:val="18"/>
              </w:rPr>
              <w:t xml:space="preserve">hosting</w:t>
            </w:r>
          </w:p>
        </w:tc>
        <w:tc>
          <w:tcPr>
            <w:tcW w:type="dxa" w:w="2340"/>
            <w:tcMar>
              <w:top w:type="dxa" w:w="70"/>
              <w:left w:type="dxa" w:w="110"/>
              <w:bottom w:type="dxa" w:w="70"/>
              <w:right w:type="dxa" w:w="110"/>
            </w:tcMar>
          </w:tcPr>
          <w:p>
            <w:pPr>
              <w:spacing w:after="0"/>
            </w:pPr>
            <w:r>
              <w:rPr>
                <w:sz w:val="18"/>
                <w:szCs w:val="18"/>
              </w:rPr>
              <w:t xml:space="preserve">all in transit</w:t>
            </w:r>
          </w:p>
        </w:tc>
        <w:tc>
          <w:tcPr>
            <w:tcW w:type="dxa" w:w="2340"/>
            <w:tcMar>
              <w:top w:type="dxa" w:w="70"/>
              <w:left w:type="dxa" w:w="110"/>
              <w:bottom w:type="dxa" w:w="70"/>
              <w:right w:type="dxa" w:w="110"/>
            </w:tcMar>
          </w:tcPr>
          <w:p>
            <w:pPr>
              <w:spacing w:after="0"/>
            </w:pPr>
            <w:r>
              <w:rPr>
                <w:sz w:val="18"/>
                <w:szCs w:val="18"/>
              </w:rPr>
              <w:t xml:space="preserve">⛔</w:t>
            </w:r>
          </w:p>
        </w:tc>
      </w:tr>
      <w:tr>
        <w:tc>
          <w:tcPr>
            <w:tcW w:type="dxa" w:w="2340"/>
            <w:tcMar>
              <w:top w:type="dxa" w:w="70"/>
              <w:left w:type="dxa" w:w="110"/>
              <w:bottom w:type="dxa" w:w="70"/>
              <w:right w:type="dxa" w:w="110"/>
            </w:tcMar>
          </w:tcPr>
          <w:p>
            <w:pPr>
              <w:spacing w:after="0"/>
            </w:pPr>
            <w:r>
              <w:rPr>
                <w:sz w:val="18"/>
                <w:szCs w:val="18"/>
              </w:rPr>
              <w:t xml:space="preserve">Anthropic</w:t>
            </w:r>
          </w:p>
        </w:tc>
        <w:tc>
          <w:tcPr>
            <w:tcW w:type="dxa" w:w="2340"/>
            <w:tcMar>
              <w:top w:type="dxa" w:w="70"/>
              <w:left w:type="dxa" w:w="110"/>
              <w:bottom w:type="dxa" w:w="70"/>
              <w:right w:type="dxa" w:w="110"/>
            </w:tcMar>
          </w:tcPr>
          <w:p>
            <w:pPr>
              <w:spacing w:after="0"/>
            </w:pPr>
            <w:r>
              <w:rPr>
                <w:sz w:val="18"/>
                <w:szCs w:val="18"/>
              </w:rPr>
              <w:t xml:space="preserve">request triage; document-check findings</w:t>
            </w:r>
          </w:p>
        </w:tc>
        <w:tc>
          <w:tcPr>
            <w:tcW w:type="dxa" w:w="2340"/>
            <w:tcMar>
              <w:top w:type="dxa" w:w="70"/>
              <w:left w:type="dxa" w:w="110"/>
              <w:bottom w:type="dxa" w:w="70"/>
              <w:right w:type="dxa" w:w="110"/>
            </w:tcMar>
          </w:tcPr>
          <w:p>
            <w:pPr>
              <w:spacing w:after="0"/>
            </w:pPr>
            <w:r>
              <w:rPr>
                <w:sz w:val="18"/>
                <w:szCs w:val="18"/>
              </w:rPr>
              <w:t xml:space="preserve">message text; extracted document text</w:t>
            </w:r>
          </w:p>
        </w:tc>
        <w:tc>
          <w:tcPr>
            <w:tcW w:type="dxa" w:w="2340"/>
            <w:tcMar>
              <w:top w:type="dxa" w:w="70"/>
              <w:left w:type="dxa" w:w="110"/>
              <w:bottom w:type="dxa" w:w="70"/>
              <w:right w:type="dxa" w:w="110"/>
            </w:tcMar>
          </w:tcPr>
          <w:p>
            <w:pPr>
              <w:spacing w:after="0"/>
            </w:pPr>
            <w:r>
              <w:rPr>
                <w:sz w:val="18"/>
                <w:szCs w:val="18"/>
              </w:rPr>
              <w:t xml:space="preserve">⛔ </w:t>
            </w:r>
            <w:r>
              <w:rPr>
                <w:b/>
                <w:bCs/>
                <w:sz w:val="18"/>
                <w:szCs w:val="18"/>
              </w:rPr>
              <w:t xml:space="preserve">required</w:t>
            </w:r>
            <w:r>
              <w:rPr>
                <w:sz w:val="18"/>
                <w:szCs w:val="18"/>
              </w:rPr>
              <w:t xml:space="preserve"> — see §6</w:t>
            </w:r>
          </w:p>
        </w:tc>
      </w:tr>
      <w:tr>
        <w:tc>
          <w:tcPr>
            <w:tcW w:type="dxa" w:w="2340"/>
            <w:tcMar>
              <w:top w:type="dxa" w:w="70"/>
              <w:left w:type="dxa" w:w="110"/>
              <w:bottom w:type="dxa" w:w="70"/>
              <w:right w:type="dxa" w:w="110"/>
            </w:tcMar>
          </w:tcPr>
          <w:p>
            <w:pPr>
              <w:spacing w:after="0"/>
            </w:pPr>
            <w:r>
              <w:rPr>
                <w:sz w:val="18"/>
                <w:szCs w:val="18"/>
              </w:rPr>
              <w:t xml:space="preserve">Google (Gemini)</w:t>
            </w:r>
          </w:p>
        </w:tc>
        <w:tc>
          <w:tcPr>
            <w:tcW w:type="dxa" w:w="2340"/>
            <w:tcMar>
              <w:top w:type="dxa" w:w="70"/>
              <w:left w:type="dxa" w:w="110"/>
              <w:bottom w:type="dxa" w:w="70"/>
              <w:right w:type="dxa" w:w="110"/>
            </w:tcMar>
          </w:tcPr>
          <w:p>
            <w:pPr>
              <w:spacing w:after="0"/>
            </w:pPr>
            <w:r>
              <w:rPr>
                <w:sz w:val="18"/>
                <w:szCs w:val="18"/>
              </w:rPr>
              <w:t xml:space="preserve">classifier failover</w:t>
            </w:r>
          </w:p>
        </w:tc>
        <w:tc>
          <w:tcPr>
            <w:tcW w:type="dxa" w:w="2340"/>
            <w:tcMar>
              <w:top w:type="dxa" w:w="70"/>
              <w:left w:type="dxa" w:w="110"/>
              <w:bottom w:type="dxa" w:w="70"/>
              <w:right w:type="dxa" w:w="110"/>
            </w:tcMar>
          </w:tcPr>
          <w:p>
            <w:pPr>
              <w:spacing w:after="0"/>
            </w:pPr>
            <w:r>
              <w:rPr>
                <w:sz w:val="18"/>
                <w:szCs w:val="18"/>
              </w:rPr>
              <w:t xml:space="preserve">message text</w:t>
            </w:r>
          </w:p>
        </w:tc>
        <w:tc>
          <w:tcPr>
            <w:tcW w:type="dxa" w:w="2340"/>
            <w:tcMar>
              <w:top w:type="dxa" w:w="70"/>
              <w:left w:type="dxa" w:w="110"/>
              <w:bottom w:type="dxa" w:w="70"/>
              <w:right w:type="dxa" w:w="110"/>
            </w:tcMar>
          </w:tcPr>
          <w:p>
            <w:pPr>
              <w:spacing w:after="0"/>
            </w:pPr>
            <w:r>
              <w:rPr>
                <w:sz w:val="18"/>
                <w:szCs w:val="18"/>
              </w:rPr>
              <w:t xml:space="preserve">⛔</w:t>
            </w:r>
          </w:p>
        </w:tc>
      </w:tr>
      <w:tr>
        <w:tc>
          <w:tcPr>
            <w:tcW w:type="dxa" w:w="2340"/>
            <w:tcMar>
              <w:top w:type="dxa" w:w="70"/>
              <w:left w:type="dxa" w:w="110"/>
              <w:bottom w:type="dxa" w:w="70"/>
              <w:right w:type="dxa" w:w="110"/>
            </w:tcMar>
          </w:tcPr>
          <w:p>
            <w:pPr>
              <w:spacing w:after="0"/>
            </w:pPr>
            <w:r>
              <w:rPr>
                <w:sz w:val="18"/>
                <w:szCs w:val="18"/>
              </w:rPr>
              <w:t xml:space="preserve">360dialog</w:t>
            </w:r>
          </w:p>
        </w:tc>
        <w:tc>
          <w:tcPr>
            <w:tcW w:type="dxa" w:w="2340"/>
            <w:tcMar>
              <w:top w:type="dxa" w:w="70"/>
              <w:left w:type="dxa" w:w="110"/>
              <w:bottom w:type="dxa" w:w="70"/>
              <w:right w:type="dxa" w:w="110"/>
            </w:tcMar>
          </w:tcPr>
          <w:p>
            <w:pPr>
              <w:spacing w:after="0"/>
            </w:pPr>
            <w:r>
              <w:rPr>
                <w:sz w:val="18"/>
                <w:szCs w:val="18"/>
              </w:rPr>
              <w:t xml:space="preserve">WhatsApp</w:t>
            </w:r>
          </w:p>
        </w:tc>
        <w:tc>
          <w:tcPr>
            <w:tcW w:type="dxa" w:w="2340"/>
            <w:tcMar>
              <w:top w:type="dxa" w:w="70"/>
              <w:left w:type="dxa" w:w="110"/>
              <w:bottom w:type="dxa" w:w="70"/>
              <w:right w:type="dxa" w:w="110"/>
            </w:tcMar>
          </w:tcPr>
          <w:p>
            <w:pPr>
              <w:spacing w:after="0"/>
            </w:pPr>
            <w:r>
              <w:rPr>
                <w:sz w:val="18"/>
                <w:szCs w:val="18"/>
              </w:rPr>
              <w:t xml:space="preserve">phone numbers, message content</w:t>
            </w:r>
          </w:p>
        </w:tc>
        <w:tc>
          <w:tcPr>
            <w:tcW w:type="dxa" w:w="2340"/>
            <w:tcMar>
              <w:top w:type="dxa" w:w="70"/>
              <w:left w:type="dxa" w:w="110"/>
              <w:bottom w:type="dxa" w:w="70"/>
              <w:right w:type="dxa" w:w="110"/>
            </w:tcMar>
          </w:tcPr>
          <w:p>
            <w:pPr>
              <w:spacing w:after="0"/>
            </w:pPr>
            <w:r>
              <w:rPr>
                <w:sz w:val="18"/>
                <w:szCs w:val="18"/>
              </w:rPr>
              <w:t xml:space="preserve">⛔</w:t>
            </w:r>
          </w:p>
        </w:tc>
      </w:tr>
      <w:tr>
        <w:tc>
          <w:tcPr>
            <w:tcW w:type="dxa" w:w="2340"/>
            <w:tcMar>
              <w:top w:type="dxa" w:w="70"/>
              <w:left w:type="dxa" w:w="110"/>
              <w:bottom w:type="dxa" w:w="70"/>
              <w:right w:type="dxa" w:w="110"/>
            </w:tcMar>
          </w:tcPr>
          <w:p>
            <w:pPr>
              <w:spacing w:after="0"/>
            </w:pPr>
            <w:r>
              <w:rPr>
                <w:sz w:val="18"/>
                <w:szCs w:val="18"/>
              </w:rPr>
              <w:t xml:space="preserve">Telegram</w:t>
            </w:r>
          </w:p>
        </w:tc>
        <w:tc>
          <w:tcPr>
            <w:tcW w:type="dxa" w:w="2340"/>
            <w:tcMar>
              <w:top w:type="dxa" w:w="70"/>
              <w:left w:type="dxa" w:w="110"/>
              <w:bottom w:type="dxa" w:w="70"/>
              <w:right w:type="dxa" w:w="110"/>
            </w:tcMar>
          </w:tcPr>
          <w:p>
            <w:pPr>
              <w:spacing w:after="0"/>
            </w:pPr>
            <w:r>
              <w:rPr>
                <w:sz w:val="18"/>
                <w:szCs w:val="18"/>
              </w:rPr>
              <w:t xml:space="preserve">optional vendor channel</w:t>
            </w:r>
          </w:p>
        </w:tc>
        <w:tc>
          <w:tcPr>
            <w:tcW w:type="dxa" w:w="2340"/>
            <w:tcMar>
              <w:top w:type="dxa" w:w="70"/>
              <w:left w:type="dxa" w:w="110"/>
              <w:bottom w:type="dxa" w:w="70"/>
              <w:right w:type="dxa" w:w="110"/>
            </w:tcMar>
          </w:tcPr>
          <w:p>
            <w:pPr>
              <w:spacing w:after="0"/>
            </w:pPr>
            <w:r>
              <w:rPr>
                <w:sz w:val="18"/>
                <w:szCs w:val="18"/>
              </w:rPr>
              <w:t xml:space="preserve">chat ids, message content</w:t>
            </w:r>
          </w:p>
        </w:tc>
        <w:tc>
          <w:tcPr>
            <w:tcW w:type="dxa" w:w="2340"/>
            <w:tcMar>
              <w:top w:type="dxa" w:w="70"/>
              <w:left w:type="dxa" w:w="110"/>
              <w:bottom w:type="dxa" w:w="70"/>
              <w:right w:type="dxa" w:w="110"/>
            </w:tcMar>
          </w:tcPr>
          <w:p>
            <w:pPr>
              <w:spacing w:after="0"/>
            </w:pPr>
            <w:r>
              <w:rPr>
                <w:sz w:val="18"/>
                <w:szCs w:val="18"/>
              </w:rPr>
              <w:t xml:space="preserve">⛔ (confirm one is even offered)</w:t>
            </w:r>
          </w:p>
        </w:tc>
      </w:tr>
      <w:tr>
        <w:tc>
          <w:tcPr>
            <w:tcW w:type="dxa" w:w="2340"/>
            <w:tcMar>
              <w:top w:type="dxa" w:w="70"/>
              <w:left w:type="dxa" w:w="110"/>
              <w:bottom w:type="dxa" w:w="70"/>
              <w:right w:type="dxa" w:w="110"/>
            </w:tcMar>
          </w:tcPr>
          <w:p>
            <w:pPr>
              <w:spacing w:after="0"/>
            </w:pPr>
            <w:r>
              <w:rPr>
                <w:sz w:val="18"/>
                <w:szCs w:val="18"/>
              </w:rPr>
              <w:t xml:space="preserve">Paystack</w:t>
            </w:r>
          </w:p>
        </w:tc>
        <w:tc>
          <w:tcPr>
            <w:tcW w:type="dxa" w:w="2340"/>
            <w:tcMar>
              <w:top w:type="dxa" w:w="70"/>
              <w:left w:type="dxa" w:w="110"/>
              <w:bottom w:type="dxa" w:w="70"/>
              <w:right w:type="dxa" w:w="110"/>
            </w:tcMar>
          </w:tcPr>
          <w:p>
            <w:pPr>
              <w:spacing w:after="0"/>
            </w:pPr>
            <w:r>
              <w:rPr>
                <w:sz w:val="18"/>
                <w:szCs w:val="18"/>
              </w:rPr>
              <w:t xml:space="preserve">collections + transfers</w:t>
            </w:r>
          </w:p>
        </w:tc>
        <w:tc>
          <w:tcPr>
            <w:tcW w:type="dxa" w:w="2340"/>
            <w:tcMar>
              <w:top w:type="dxa" w:w="70"/>
              <w:left w:type="dxa" w:w="110"/>
              <w:bottom w:type="dxa" w:w="70"/>
              <w:right w:type="dxa" w:w="110"/>
            </w:tcMar>
          </w:tcPr>
          <w:p>
            <w:pPr>
              <w:spacing w:after="0"/>
            </w:pPr>
            <w:r>
              <w:rPr>
                <w:sz w:val="18"/>
                <w:szCs w:val="18"/>
              </w:rPr>
              <w:t xml:space="preserve">name, email, amount, bank details</w:t>
            </w:r>
          </w:p>
        </w:tc>
        <w:tc>
          <w:tcPr>
            <w:tcW w:type="dxa" w:w="2340"/>
            <w:tcMar>
              <w:top w:type="dxa" w:w="70"/>
              <w:left w:type="dxa" w:w="110"/>
              <w:bottom w:type="dxa" w:w="70"/>
              <w:right w:type="dxa" w:w="110"/>
            </w:tcMar>
          </w:tcPr>
          <w:p>
            <w:pPr>
              <w:spacing w:after="0"/>
            </w:pPr>
            <w:r>
              <w:rPr>
                <w:sz w:val="18"/>
                <w:szCs w:val="18"/>
              </w:rPr>
              <w:t xml:space="preserve">⛔</w:t>
            </w:r>
          </w:p>
        </w:tc>
      </w:tr>
      <w:tr>
        <w:tc>
          <w:tcPr>
            <w:tcW w:type="dxa" w:w="2340"/>
            <w:tcMar>
              <w:top w:type="dxa" w:w="70"/>
              <w:left w:type="dxa" w:w="110"/>
              <w:bottom w:type="dxa" w:w="70"/>
              <w:right w:type="dxa" w:w="110"/>
            </w:tcMar>
          </w:tcPr>
          <w:p>
            <w:pPr>
              <w:spacing w:after="0"/>
            </w:pPr>
            <w:r>
              <w:rPr>
                <w:sz w:val="18"/>
                <w:szCs w:val="18"/>
              </w:rPr>
              <w:t xml:space="preserve">Flutterwave</w:t>
            </w:r>
          </w:p>
        </w:tc>
        <w:tc>
          <w:tcPr>
            <w:tcW w:type="dxa" w:w="2340"/>
            <w:tcMar>
              <w:top w:type="dxa" w:w="70"/>
              <w:left w:type="dxa" w:w="110"/>
              <w:bottom w:type="dxa" w:w="70"/>
              <w:right w:type="dxa" w:w="110"/>
            </w:tcMar>
          </w:tcPr>
          <w:p>
            <w:pPr>
              <w:spacing w:after="0"/>
            </w:pPr>
            <w:r>
              <w:rPr>
                <w:sz w:val="18"/>
                <w:szCs w:val="18"/>
              </w:rPr>
              <w:t xml:space="preserve">FX collections</w:t>
            </w:r>
          </w:p>
        </w:tc>
        <w:tc>
          <w:tcPr>
            <w:tcW w:type="dxa" w:w="2340"/>
            <w:tcMar>
              <w:top w:type="dxa" w:w="70"/>
              <w:left w:type="dxa" w:w="110"/>
              <w:bottom w:type="dxa" w:w="70"/>
              <w:right w:type="dxa" w:w="110"/>
            </w:tcMar>
          </w:tcPr>
          <w:p>
            <w:pPr>
              <w:spacing w:after="0"/>
            </w:pPr>
            <w:r>
              <w:rPr>
                <w:sz w:val="18"/>
                <w:szCs w:val="18"/>
              </w:rPr>
              <w:t xml:space="preserve">as above</w:t>
            </w:r>
          </w:p>
        </w:tc>
        <w:tc>
          <w:tcPr>
            <w:tcW w:type="dxa" w:w="2340"/>
            <w:tcMar>
              <w:top w:type="dxa" w:w="70"/>
              <w:left w:type="dxa" w:w="110"/>
              <w:bottom w:type="dxa" w:w="70"/>
              <w:right w:type="dxa" w:w="110"/>
            </w:tcMar>
          </w:tcPr>
          <w:p>
            <w:pPr>
              <w:spacing w:after="0"/>
            </w:pPr>
            <w:r>
              <w:rPr>
                <w:sz w:val="18"/>
                <w:szCs w:val="18"/>
              </w:rPr>
              <w:t xml:space="preserve">⛔ (only if FX is in scope)</w:t>
            </w:r>
          </w:p>
        </w:tc>
      </w:tr>
      <w:tr>
        <w:tc>
          <w:tcPr>
            <w:tcW w:type="dxa" w:w="2340"/>
            <w:tcMar>
              <w:top w:type="dxa" w:w="70"/>
              <w:left w:type="dxa" w:w="110"/>
              <w:bottom w:type="dxa" w:w="70"/>
              <w:right w:type="dxa" w:w="110"/>
            </w:tcMar>
          </w:tcPr>
          <w:p>
            <w:pPr>
              <w:spacing w:after="0"/>
            </w:pPr>
            <w:r>
              <w:rPr>
                <w:sz w:val="18"/>
                <w:szCs w:val="18"/>
              </w:rPr>
              <w:t xml:space="preserve">Resend</w:t>
            </w:r>
          </w:p>
        </w:tc>
        <w:tc>
          <w:tcPr>
            <w:tcW w:type="dxa" w:w="2340"/>
            <w:tcMar>
              <w:top w:type="dxa" w:w="70"/>
              <w:left w:type="dxa" w:w="110"/>
              <w:bottom w:type="dxa" w:w="70"/>
              <w:right w:type="dxa" w:w="110"/>
            </w:tcMar>
          </w:tcPr>
          <w:p>
            <w:pPr>
              <w:spacing w:after="0"/>
            </w:pPr>
            <w:r>
              <w:rPr>
                <w:sz w:val="18"/>
                <w:szCs w:val="18"/>
              </w:rPr>
              <w:t xml:space="preserve">email</w:t>
            </w:r>
          </w:p>
        </w:tc>
        <w:tc>
          <w:tcPr>
            <w:tcW w:type="dxa" w:w="2340"/>
            <w:tcMar>
              <w:top w:type="dxa" w:w="70"/>
              <w:left w:type="dxa" w:w="110"/>
              <w:bottom w:type="dxa" w:w="70"/>
              <w:right w:type="dxa" w:w="110"/>
            </w:tcMar>
          </w:tcPr>
          <w:p>
            <w:pPr>
              <w:spacing w:after="0"/>
            </w:pPr>
            <w:r>
              <w:rPr>
                <w:sz w:val="18"/>
                <w:szCs w:val="18"/>
              </w:rPr>
              <w:t xml:space="preserve">name, email, message content</w:t>
            </w:r>
          </w:p>
        </w:tc>
        <w:tc>
          <w:tcPr>
            <w:tcW w:type="dxa" w:w="2340"/>
            <w:tcMar>
              <w:top w:type="dxa" w:w="70"/>
              <w:left w:type="dxa" w:w="110"/>
              <w:bottom w:type="dxa" w:w="70"/>
              <w:right w:type="dxa" w:w="110"/>
            </w:tcMar>
          </w:tcPr>
          <w:p>
            <w:pPr>
              <w:spacing w:after="0"/>
            </w:pPr>
            <w:r>
              <w:rPr>
                <w:sz w:val="18"/>
                <w:szCs w:val="18"/>
              </w:rPr>
              <w:t xml:space="preserve">⛔</w:t>
            </w:r>
          </w:p>
        </w:tc>
      </w:tr>
      <w:tr>
        <w:tc>
          <w:tcPr>
            <w:tcW w:type="dxa" w:w="2340"/>
            <w:tcMar>
              <w:top w:type="dxa" w:w="70"/>
              <w:left w:type="dxa" w:w="110"/>
              <w:bottom w:type="dxa" w:w="70"/>
              <w:right w:type="dxa" w:w="110"/>
            </w:tcMar>
          </w:tcPr>
          <w:p>
            <w:pPr>
              <w:spacing w:after="0"/>
            </w:pPr>
            <w:r>
              <w:rPr>
                <w:sz w:val="18"/>
                <w:szCs w:val="18"/>
              </w:rPr>
              <w:t xml:space="preserve">Africa's Talking</w:t>
            </w:r>
          </w:p>
        </w:tc>
        <w:tc>
          <w:tcPr>
            <w:tcW w:type="dxa" w:w="2340"/>
            <w:tcMar>
              <w:top w:type="dxa" w:w="70"/>
              <w:left w:type="dxa" w:w="110"/>
              <w:bottom w:type="dxa" w:w="70"/>
              <w:right w:type="dxa" w:w="110"/>
            </w:tcMar>
          </w:tcPr>
          <w:p>
            <w:pPr>
              <w:spacing w:after="0"/>
            </w:pPr>
            <w:r>
              <w:rPr>
                <w:sz w:val="18"/>
                <w:szCs w:val="18"/>
              </w:rPr>
              <w:t xml:space="preserve">SMS fallback</w:t>
            </w:r>
          </w:p>
        </w:tc>
        <w:tc>
          <w:tcPr>
            <w:tcW w:type="dxa" w:w="2340"/>
            <w:tcMar>
              <w:top w:type="dxa" w:w="70"/>
              <w:left w:type="dxa" w:w="110"/>
              <w:bottom w:type="dxa" w:w="70"/>
              <w:right w:type="dxa" w:w="110"/>
            </w:tcMar>
          </w:tcPr>
          <w:p>
            <w:pPr>
              <w:spacing w:after="0"/>
            </w:pPr>
            <w:r>
              <w:rPr>
                <w:sz w:val="18"/>
                <w:szCs w:val="18"/>
              </w:rPr>
              <w:t xml:space="preserve">phone numbers</w:t>
            </w:r>
          </w:p>
        </w:tc>
        <w:tc>
          <w:tcPr>
            <w:tcW w:type="dxa" w:w="2340"/>
            <w:tcMar>
              <w:top w:type="dxa" w:w="70"/>
              <w:left w:type="dxa" w:w="110"/>
              <w:bottom w:type="dxa" w:w="70"/>
              <w:right w:type="dxa" w:w="110"/>
            </w:tcMar>
          </w:tcPr>
          <w:p>
            <w:pPr>
              <w:spacing w:after="0"/>
            </w:pPr>
            <w:r>
              <w:rPr>
                <w:sz w:val="18"/>
                <w:szCs w:val="18"/>
              </w:rPr>
              <w:t xml:space="preserve">⛔ (only if enabled)</w:t>
            </w:r>
          </w:p>
        </w:tc>
      </w:tr>
      <w:tr>
        <w:tc>
          <w:tcPr>
            <w:tcW w:type="dxa" w:w="2340"/>
            <w:tcMar>
              <w:top w:type="dxa" w:w="70"/>
              <w:left w:type="dxa" w:w="110"/>
              <w:bottom w:type="dxa" w:w="70"/>
              <w:right w:type="dxa" w:w="110"/>
            </w:tcMar>
          </w:tcPr>
          <w:p>
            <w:pPr>
              <w:spacing w:after="0"/>
            </w:pPr>
            <w:r>
              <w:rPr>
                <w:sz w:val="18"/>
                <w:szCs w:val="18"/>
              </w:rPr>
              <w:t xml:space="preserve">Upstash</w:t>
            </w:r>
          </w:p>
        </w:tc>
        <w:tc>
          <w:tcPr>
            <w:tcW w:type="dxa" w:w="2340"/>
            <w:tcMar>
              <w:top w:type="dxa" w:w="70"/>
              <w:left w:type="dxa" w:w="110"/>
              <w:bottom w:type="dxa" w:w="70"/>
              <w:right w:type="dxa" w:w="110"/>
            </w:tcMar>
          </w:tcPr>
          <w:p>
            <w:pPr>
              <w:spacing w:after="0"/>
            </w:pPr>
            <w:r>
              <w:rPr>
                <w:sz w:val="18"/>
                <w:szCs w:val="18"/>
              </w:rPr>
              <w:t xml:space="preserve">rate limiting</w:t>
            </w:r>
          </w:p>
        </w:tc>
        <w:tc>
          <w:tcPr>
            <w:tcW w:type="dxa" w:w="2340"/>
            <w:tcMar>
              <w:top w:type="dxa" w:w="70"/>
              <w:left w:type="dxa" w:w="110"/>
              <w:bottom w:type="dxa" w:w="70"/>
              <w:right w:type="dxa" w:w="110"/>
            </w:tcMar>
          </w:tcPr>
          <w:p>
            <w:pPr>
              <w:spacing w:after="0"/>
            </w:pPr>
            <w:r>
              <w:rPr>
                <w:sz w:val="18"/>
                <w:szCs w:val="18"/>
              </w:rPr>
              <w:t xml:space="preserve">user ids</w:t>
            </w:r>
          </w:p>
        </w:tc>
        <w:tc>
          <w:tcPr>
            <w:tcW w:type="dxa" w:w="2340"/>
            <w:tcMar>
              <w:top w:type="dxa" w:w="70"/>
              <w:left w:type="dxa" w:w="110"/>
              <w:bottom w:type="dxa" w:w="70"/>
              <w:right w:type="dxa" w:w="110"/>
            </w:tcMar>
          </w:tcPr>
          <w:p>
            <w:pPr>
              <w:spacing w:after="0"/>
            </w:pPr>
            <w:r>
              <w:rPr>
                <w:sz w:val="18"/>
                <w:szCs w:val="18"/>
              </w:rPr>
              <w:t xml:space="preserve">⛔</w:t>
            </w:r>
          </w:p>
        </w:tc>
      </w:tr>
      <w:tr>
        <w:tc>
          <w:tcPr>
            <w:tcW w:type="dxa" w:w="2340"/>
            <w:tcMar>
              <w:top w:type="dxa" w:w="70"/>
              <w:left w:type="dxa" w:w="110"/>
              <w:bottom w:type="dxa" w:w="70"/>
              <w:right w:type="dxa" w:w="110"/>
            </w:tcMar>
          </w:tcPr>
          <w:p>
            <w:pPr>
              <w:spacing w:after="0"/>
            </w:pPr>
            <w:r>
              <w:rPr>
                <w:sz w:val="18"/>
                <w:szCs w:val="18"/>
              </w:rPr>
              <w:t xml:space="preserve">Sentry</w:t>
            </w:r>
          </w:p>
        </w:tc>
        <w:tc>
          <w:tcPr>
            <w:tcW w:type="dxa" w:w="2340"/>
            <w:tcMar>
              <w:top w:type="dxa" w:w="70"/>
              <w:left w:type="dxa" w:w="110"/>
              <w:bottom w:type="dxa" w:w="70"/>
              <w:right w:type="dxa" w:w="110"/>
            </w:tcMar>
          </w:tcPr>
          <w:p>
            <w:pPr>
              <w:spacing w:after="0"/>
            </w:pPr>
            <w:r>
              <w:rPr>
                <w:sz w:val="18"/>
                <w:szCs w:val="18"/>
              </w:rPr>
              <w:t xml:space="preserve">error tracking</w:t>
            </w:r>
          </w:p>
        </w:tc>
        <w:tc>
          <w:tcPr>
            <w:tcW w:type="dxa" w:w="2340"/>
            <w:tcMar>
              <w:top w:type="dxa" w:w="70"/>
              <w:left w:type="dxa" w:w="110"/>
              <w:bottom w:type="dxa" w:w="70"/>
              <w:right w:type="dxa" w:w="110"/>
            </w:tcMar>
          </w:tcPr>
          <w:p>
            <w:pPr>
              <w:spacing w:after="0"/>
            </w:pPr>
            <w:r>
              <w:rPr>
                <w:sz w:val="18"/>
                <w:szCs w:val="18"/>
              </w:rPr>
              <w:t xml:space="preserve">may incidentally capture user ids</w:t>
            </w:r>
          </w:p>
        </w:tc>
        <w:tc>
          <w:tcPr>
            <w:tcW w:type="dxa" w:w="2340"/>
            <w:tcMar>
              <w:top w:type="dxa" w:w="70"/>
              <w:left w:type="dxa" w:w="110"/>
              <w:bottom w:type="dxa" w:w="70"/>
              <w:right w:type="dxa" w:w="110"/>
            </w:tcMar>
          </w:tcPr>
          <w:p>
            <w:pPr>
              <w:spacing w:after="0"/>
            </w:pPr>
            <w:r>
              <w:rPr>
                <w:sz w:val="18"/>
                <w:szCs w:val="18"/>
              </w:rPr>
              <w:t xml:space="preserve">⛔</w:t>
            </w:r>
          </w:p>
        </w:tc>
      </w:tr>
    </w:tbl>
    <w:p>
      <w:pPr>
        <w:spacing w:after="160"/>
      </w:pPr>
    </w:p>
    <w:p>
      <w:pPr>
        <w:spacing w:after="140" w:line="268"/>
      </w:pPr>
      <w:r>
        <w:t xml:space="preserve">⛔ </w:t>
      </w:r>
      <w:r>
        <w:rPr>
          <w:b/>
          <w:bCs/>
        </w:rPr>
        <w:t xml:space="preserve">All thirteen are unsigned.</w:t>
      </w:r>
      <w:r>
        <w:t xml:space="preserve"> This is the single largest compliance gap and it is a board/legal action, not a technical one.</w:t>
      </w:r>
    </w:p>
    <w:p>
      <w:pPr>
        <w:pBdr>
          <w:bottom w:val="single" w:color="D0D5DD" w:sz="6" w:space="6"/>
        </w:pBdr>
        <w:spacing w:after="120"/>
      </w:pPr>
    </w:p>
    <w:p>
      <w:pPr>
        <w:pStyle w:val="Heading2"/>
        <w:spacing w:after="140" w:before="300"/>
      </w:pPr>
      <w:r>
        <w:t xml:space="preserve">5.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AECF0" w:val="clear"/>
            <w:tcMar>
              <w:top w:type="dxa" w:w="70"/>
              <w:left w:type="dxa" w:w="110"/>
              <w:bottom w:type="dxa" w:w="70"/>
              <w:right w:type="dxa" w:w="110"/>
            </w:tcMar>
          </w:tcPr>
          <w:p>
            <w:pPr>
              <w:spacing w:after="0"/>
            </w:pPr>
            <w:r>
              <w:rPr>
                <w:b/>
                <w:bCs/>
                <w:sz w:val="18"/>
                <w:szCs w:val="18"/>
              </w:rPr>
              <w:t xml:space="preserve">Data</w:t>
            </w:r>
          </w:p>
        </w:tc>
        <w:tc>
          <w:tcPr>
            <w:tcW w:type="dxa" w:w="3120"/>
            <w:shd w:fill="EAECF0" w:val="clear"/>
            <w:tcMar>
              <w:top w:type="dxa" w:w="70"/>
              <w:left w:type="dxa" w:w="110"/>
              <w:bottom w:type="dxa" w:w="70"/>
              <w:right w:type="dxa" w:w="110"/>
            </w:tcMar>
          </w:tcPr>
          <w:p>
            <w:pPr>
              <w:spacing w:after="0"/>
            </w:pPr>
            <w:r>
              <w:rPr>
                <w:b/>
                <w:bCs/>
                <w:sz w:val="18"/>
                <w:szCs w:val="18"/>
              </w:rPr>
              <w:t xml:space="preserve">Rule</w:t>
            </w:r>
          </w:p>
        </w:tc>
        <w:tc>
          <w:tcPr>
            <w:tcW w:type="dxa" w:w="3120"/>
            <w:shd w:fill="EAECF0" w:val="clear"/>
            <w:tcMar>
              <w:top w:type="dxa" w:w="70"/>
              <w:left w:type="dxa" w:w="110"/>
              <w:bottom w:type="dxa" w:w="70"/>
              <w:right w:type="dxa" w:w="110"/>
            </w:tcMar>
          </w:tcPr>
          <w:p>
            <w:pPr>
              <w:spacing w:after="0"/>
            </w:pPr>
            <w:r>
              <w:rPr>
                <w:b/>
                <w:bCs/>
                <w:sz w:val="18"/>
                <w:szCs w:val="18"/>
              </w:rPr>
              <w:t xml:space="preserve">Status</w:t>
            </w:r>
          </w:p>
        </w:tc>
      </w:tr>
      <w:tr>
        <w:tc>
          <w:tcPr>
            <w:tcW w:type="dxa" w:w="3120"/>
            <w:tcMar>
              <w:top w:type="dxa" w:w="70"/>
              <w:left w:type="dxa" w:w="110"/>
              <w:bottom w:type="dxa" w:w="70"/>
              <w:right w:type="dxa" w:w="110"/>
            </w:tcMar>
          </w:tcPr>
          <w:p>
            <w:pPr>
              <w:spacing w:after="0"/>
            </w:pPr>
            <w:r>
              <w:rPr>
                <w:sz w:val="18"/>
                <w:szCs w:val="18"/>
              </w:rPr>
              <w:t xml:space="preserve">Rejected / withdrawn applications</w:t>
            </w:r>
          </w:p>
        </w:tc>
        <w:tc>
          <w:tcPr>
            <w:tcW w:type="dxa" w:w="3120"/>
            <w:tcMar>
              <w:top w:type="dxa" w:w="70"/>
              <w:left w:type="dxa" w:w="110"/>
              <w:bottom w:type="dxa" w:w="70"/>
              <w:right w:type="dxa" w:w="110"/>
            </w:tcMar>
          </w:tcPr>
          <w:p>
            <w:pPr>
              <w:spacing w:after="0"/>
            </w:pPr>
            <w:r>
              <w:rPr>
                <w:b/>
                <w:bCs/>
                <w:sz w:val="18"/>
                <w:szCs w:val="18"/>
              </w:rPr>
              <w:t xml:space="preserve">90 days</w:t>
            </w:r>
            <w:r>
              <w:rPr>
                <w:sz w:val="18"/>
                <w:szCs w:val="18"/>
              </w:rPr>
              <w:t xml:space="preserve">, then PII purged</w:t>
            </w:r>
          </w:p>
        </w:tc>
        <w:tc>
          <w:tcPr>
            <w:tcW w:type="dxa" w:w="3120"/>
            <w:tcMar>
              <w:top w:type="dxa" w:w="70"/>
              <w:left w:type="dxa" w:w="110"/>
              <w:bottom w:type="dxa" w:w="70"/>
              <w:right w:type="dxa" w:w="110"/>
            </w:tcMar>
          </w:tcPr>
          <w:p>
            <w:pPr>
              <w:spacing w:after="0"/>
            </w:pPr>
            <w:r>
              <w:rPr>
                <w:sz w:val="18"/>
                <w:szCs w:val="18"/>
              </w:rPr>
              <w:t xml:space="preserve">✅ </w:t>
            </w:r>
            <w:r>
              <w:rPr>
                <w:b/>
                <w:bCs/>
                <w:sz w:val="18"/>
                <w:szCs w:val="18"/>
              </w:rPr>
              <w:t xml:space="preserve">now enforced</w:t>
            </w:r>
            <w:r>
              <w:rPr>
                <w:sz w:val="18"/>
                <w:szCs w:val="18"/>
              </w:rPr>
              <w:t xml:space="preserve"> — see below</w:t>
            </w:r>
          </w:p>
        </w:tc>
      </w:tr>
      <w:tr>
        <w:tc>
          <w:tcPr>
            <w:tcW w:type="dxa" w:w="3120"/>
            <w:tcMar>
              <w:top w:type="dxa" w:w="70"/>
              <w:left w:type="dxa" w:w="110"/>
              <w:bottom w:type="dxa" w:w="70"/>
              <w:right w:type="dxa" w:w="110"/>
            </w:tcMar>
          </w:tcPr>
          <w:p>
            <w:pPr>
              <w:spacing w:after="0"/>
            </w:pPr>
            <w:r>
              <w:rPr>
                <w:sz w:val="18"/>
                <w:szCs w:val="18"/>
              </w:rPr>
              <w:t xml:space="preserve">Approved applications</w:t>
            </w:r>
          </w:p>
        </w:tc>
        <w:tc>
          <w:tcPr>
            <w:tcW w:type="dxa" w:w="3120"/>
            <w:tcMar>
              <w:top w:type="dxa" w:w="70"/>
              <w:left w:type="dxa" w:w="110"/>
              <w:bottom w:type="dxa" w:w="70"/>
              <w:right w:type="dxa" w:w="110"/>
            </w:tcMar>
          </w:tcPr>
          <w:p>
            <w:pPr>
              <w:spacing w:after="0"/>
            </w:pPr>
            <w:r>
              <w:rPr>
                <w:sz w:val="18"/>
                <w:szCs w:val="18"/>
              </w:rPr>
              <w:t xml:space="preserve">tenancy + </w:t>
            </w:r>
            <w:r>
              <w:rPr>
                <w:b/>
                <w:bCs/>
                <w:sz w:val="18"/>
                <w:szCs w:val="18"/>
              </w:rPr>
              <w:t xml:space="preserve">6 years</w:t>
            </w:r>
          </w:p>
        </w:tc>
        <w:tc>
          <w:tcPr>
            <w:tcW w:type="dxa" w:w="3120"/>
            <w:tcMar>
              <w:top w:type="dxa" w:w="70"/>
              <w:left w:type="dxa" w:w="110"/>
              <w:bottom w:type="dxa" w:w="70"/>
              <w:right w:type="dxa" w:w="110"/>
            </w:tcMar>
          </w:tcPr>
          <w:p>
            <w:pPr>
              <w:spacing w:after="0"/>
            </w:pPr>
            <w:r>
              <w:rPr>
                <w:sz w:val="18"/>
                <w:szCs w:val="18"/>
              </w:rPr>
              <w:t xml:space="preserve">✅ </w:t>
            </w:r>
            <w:r>
              <w:rPr>
                <w:b/>
                <w:bCs/>
                <w:sz w:val="18"/>
                <w:szCs w:val="18"/>
              </w:rPr>
              <w:t xml:space="preserve">now enforced</w:t>
            </w:r>
            <w:r>
              <w:rPr>
                <w:sz w:val="18"/>
                <w:szCs w:val="18"/>
              </w:rPr>
              <w:t xml:space="preserve"> — </w:t>
            </w:r>
            <w:r>
              <w:rPr>
                <w:rFonts w:ascii="Consolas" w:cs="Consolas" w:eastAsia="Consolas" w:hAnsi="Consolas"/>
                <w:color w:val="9A3412"/>
                <w:sz w:val="18"/>
                <w:szCs w:val="18"/>
              </w:rPr>
              <w:t xml:space="preserve">0299</w:t>
            </w:r>
            <w:r>
              <w:rPr>
                <w:sz w:val="18"/>
                <w:szCs w:val="18"/>
              </w:rPr>
              <w:t xml:space="preserve">, 20 Sept 2026. See below</w:t>
            </w:r>
          </w:p>
        </w:tc>
      </w:tr>
      <w:tr>
        <w:tc>
          <w:tcPr>
            <w:tcW w:type="dxa" w:w="3120"/>
            <w:tcMar>
              <w:top w:type="dxa" w:w="70"/>
              <w:left w:type="dxa" w:w="110"/>
              <w:bottom w:type="dxa" w:w="70"/>
              <w:right w:type="dxa" w:w="110"/>
            </w:tcMar>
          </w:tcPr>
          <w:p>
            <w:pPr>
              <w:spacing w:after="0"/>
            </w:pPr>
            <w:r>
              <w:rPr>
                <w:sz w:val="18"/>
                <w:szCs w:val="18"/>
              </w:rPr>
              <w:t xml:space="preserve">Ledger, payments, remittances</w:t>
            </w:r>
          </w:p>
        </w:tc>
        <w:tc>
          <w:tcPr>
            <w:tcW w:type="dxa" w:w="3120"/>
            <w:tcMar>
              <w:top w:type="dxa" w:w="70"/>
              <w:left w:type="dxa" w:w="110"/>
              <w:bottom w:type="dxa" w:w="70"/>
              <w:right w:type="dxa" w:w="110"/>
            </w:tcMar>
          </w:tcPr>
          <w:p>
            <w:pPr>
              <w:spacing w:after="0"/>
            </w:pPr>
            <w:r>
              <w:rPr>
                <w:sz w:val="18"/>
                <w:szCs w:val="18"/>
              </w:rPr>
              <w:t xml:space="preserve">retained — financial record</w:t>
            </w:r>
          </w:p>
        </w:tc>
        <w:tc>
          <w:tcPr>
            <w:tcW w:type="dxa" w:w="3120"/>
            <w:tcMar>
              <w:top w:type="dxa" w:w="70"/>
              <w:left w:type="dxa" w:w="110"/>
              <w:bottom w:type="dxa" w:w="70"/>
              <w:right w:type="dxa" w:w="110"/>
            </w:tcMar>
          </w:tcPr>
          <w:p>
            <w:pPr>
              <w:spacing w:after="0"/>
            </w:pPr>
            <w:r>
              <w:rPr>
                <w:sz w:val="18"/>
                <w:szCs w:val="18"/>
              </w:rPr>
              <w:t xml:space="preserve">✅ soft-delete only</w:t>
            </w:r>
          </w:p>
        </w:tc>
      </w:tr>
      <w:tr>
        <w:tc>
          <w:tcPr>
            <w:tcW w:type="dxa" w:w="3120"/>
            <w:tcMar>
              <w:top w:type="dxa" w:w="70"/>
              <w:left w:type="dxa" w:w="110"/>
              <w:bottom w:type="dxa" w:w="70"/>
              <w:right w:type="dxa" w:w="110"/>
            </w:tcMar>
          </w:tcPr>
          <w:p>
            <w:pPr>
              <w:spacing w:after="0"/>
            </w:pPr>
            <w:r>
              <w:rPr>
                <w:sz w:val="18"/>
                <w:szCs w:val="18"/>
              </w:rPr>
              <w:t xml:space="preserve">Audit trail</w:t>
            </w:r>
          </w:p>
        </w:tc>
        <w:tc>
          <w:tcPr>
            <w:tcW w:type="dxa" w:w="3120"/>
            <w:tcMar>
              <w:top w:type="dxa" w:w="70"/>
              <w:left w:type="dxa" w:w="110"/>
              <w:bottom w:type="dxa" w:w="70"/>
              <w:right w:type="dxa" w:w="110"/>
            </w:tcMar>
          </w:tcPr>
          <w:p>
            <w:pPr>
              <w:spacing w:after="0"/>
            </w:pPr>
            <w:r>
              <w:rPr>
                <w:sz w:val="18"/>
                <w:szCs w:val="18"/>
              </w:rPr>
              <w:t xml:space="preserve">retained, append-only</w:t>
            </w:r>
          </w:p>
        </w:tc>
        <w:tc>
          <w:tcPr>
            <w:tcW w:type="dxa" w:w="3120"/>
            <w:tcMar>
              <w:top w:type="dxa" w:w="70"/>
              <w:left w:type="dxa" w:w="110"/>
              <w:bottom w:type="dxa" w:w="70"/>
              <w:right w:type="dxa" w:w="110"/>
            </w:tcMar>
          </w:tcPr>
          <w:p>
            <w:pPr>
              <w:spacing w:after="0"/>
            </w:pPr>
            <w:r>
              <w:rPr>
                <w:sz w:val="18"/>
                <w:szCs w:val="18"/>
              </w:rPr>
              <w:t xml:space="preserve">✅ no UPDATE/DELETE policy exists</w:t>
            </w:r>
          </w:p>
        </w:tc>
      </w:tr>
      <w:tr>
        <w:tc>
          <w:tcPr>
            <w:tcW w:type="dxa" w:w="3120"/>
            <w:tcMar>
              <w:top w:type="dxa" w:w="70"/>
              <w:left w:type="dxa" w:w="110"/>
              <w:bottom w:type="dxa" w:w="70"/>
              <w:right w:type="dxa" w:w="110"/>
            </w:tcMar>
          </w:tcPr>
          <w:p>
            <w:pPr>
              <w:spacing w:after="0"/>
            </w:pPr>
            <w:r>
              <w:rPr>
                <w:sz w:val="18"/>
                <w:szCs w:val="18"/>
              </w:rPr>
              <w:t xml:space="preserve">Work-order media</w:t>
            </w:r>
          </w:p>
        </w:tc>
        <w:tc>
          <w:tcPr>
            <w:tcW w:type="dxa" w:w="3120"/>
            <w:tcMar>
              <w:top w:type="dxa" w:w="70"/>
              <w:left w:type="dxa" w:w="110"/>
              <w:bottom w:type="dxa" w:w="70"/>
              <w:right w:type="dxa" w:w="110"/>
            </w:tcMar>
          </w:tcPr>
          <w:p>
            <w:pPr>
              <w:spacing w:after="0"/>
            </w:pPr>
            <w:r>
              <w:rPr>
                <w:sz w:val="18"/>
                <w:szCs w:val="18"/>
              </w:rPr>
              <w:t xml:space="preserve">follows the ticket</w:t>
            </w:r>
          </w:p>
        </w:tc>
        <w:tc>
          <w:tcPr>
            <w:tcW w:type="dxa" w:w="3120"/>
            <w:tcMar>
              <w:top w:type="dxa" w:w="70"/>
              <w:left w:type="dxa" w:w="110"/>
              <w:bottom w:type="dxa" w:w="70"/>
              <w:right w:type="dxa" w:w="110"/>
            </w:tcMar>
          </w:tcPr>
          <w:p>
            <w:pPr>
              <w:spacing w:after="0"/>
            </w:pPr>
            <w:r>
              <w:rPr>
                <w:sz w:val="18"/>
                <w:szCs w:val="18"/>
              </w:rPr>
              <w:t xml:space="preserve">📄 no separate rule</w:t>
            </w:r>
          </w:p>
        </w:tc>
      </w:tr>
    </w:tbl>
    <w:p>
      <w:pPr>
        <w:spacing w:after="160"/>
      </w:pPr>
    </w:p>
    <w:p>
      <w:pPr>
        <w:pStyle w:val="Heading3"/>
        <w:spacing w:after="140" w:before="300"/>
      </w:pPr>
      <w:r>
        <w:t xml:space="preserve">⚠️ The 90-day purge was specified, built, tested — and never ran</w:t>
      </w:r>
    </w:p>
    <w:p>
      <w:pPr>
        <w:spacing w:after="140" w:line="268"/>
      </w:pPr>
      <w:r>
        <w:t xml:space="preserve">Found during this review, and it is the sharpest finding in the pack:</w:t>
      </w:r>
    </w:p>
    <w:p>
      <w:pPr>
        <w:pStyle w:val="ListParagraph"/>
        <w:numPr>
          <w:ilvl w:val="0"/>
          <w:numId w:val="2"/>
        </w:numPr>
        <w:spacing w:after="80" w:line="268"/>
      </w:pPr>
      <w:r>
        <w:t xml:space="preserve">Decision 3 of the OEA expansion locks the 90-day purge.</w:t>
      </w:r>
    </w:p>
    <w:p>
      <w:pPr>
        <w:pStyle w:val="ListParagraph"/>
        <w:numPr>
          <w:ilvl w:val="0"/>
          <w:numId w:val="2"/>
        </w:numPr>
        <w:spacing w:after="80" w:line="268"/>
      </w:pPr>
      <w:r>
        <w:rPr>
          <w:rFonts w:ascii="Consolas" w:cs="Consolas" w:eastAsia="Consolas" w:hAnsi="Consolas"/>
          <w:color w:val="9A3412"/>
          <w:sz w:val="18"/>
          <w:szCs w:val="18"/>
        </w:rPr>
        <w:t xml:space="preserve">0082</w:t>
      </w:r>
      <w:r>
        <w:t xml:space="preserve"> sets </w:t>
      </w:r>
      <w:r>
        <w:rPr>
          <w:rFonts w:ascii="Consolas" w:cs="Consolas" w:eastAsia="Consolas" w:hAnsi="Consolas"/>
          <w:color w:val="9A3412"/>
          <w:sz w:val="18"/>
          <w:szCs w:val="18"/>
        </w:rPr>
        <w:t xml:space="preserve">purge_after = now() + interval '90 days'</w:t>
      </w:r>
      <w:r>
        <w:t xml:space="preserve"> on every rejection.</w:t>
      </w:r>
    </w:p>
    <w:p>
      <w:pPr>
        <w:pStyle w:val="ListParagraph"/>
        <w:numPr>
          <w:ilvl w:val="0"/>
          <w:numId w:val="2"/>
        </w:numPr>
        <w:spacing w:after="80" w:line="268"/>
      </w:pPr>
      <w:r>
        <w:rPr>
          <w:rFonts w:ascii="Consolas" w:cs="Consolas" w:eastAsia="Consolas" w:hAnsi="Consolas"/>
          <w:color w:val="9A3412"/>
          <w:sz w:val="18"/>
          <w:szCs w:val="18"/>
        </w:rPr>
        <w:t xml:space="preserve">0062</w:t>
      </w:r>
      <w:r>
        <w:t xml:space="preserve"> wrote </w:t>
      </w:r>
      <w:r>
        <w:rPr>
          <w:rFonts w:ascii="Consolas" w:cs="Consolas" w:eastAsia="Consolas" w:hAnsi="Consolas"/>
          <w:color w:val="9A3412"/>
          <w:sz w:val="18"/>
          <w:szCs w:val="18"/>
        </w:rPr>
        <w:t xml:space="preserve">purge_expired_applications()</w:t>
      </w:r>
      <w:r>
        <w:t xml:space="preserve">, which nulls the PII and keeps an anonymised stub proving a decision was made.</w:t>
      </w:r>
    </w:p>
    <w:p>
      <w:pPr>
        <w:pStyle w:val="ListParagraph"/>
        <w:numPr>
          <w:ilvl w:val="0"/>
          <w:numId w:val="2"/>
        </w:numPr>
        <w:spacing w:after="80" w:line="268"/>
      </w:pPr>
      <w:r>
        <w:rPr>
          <w:rFonts w:ascii="Consolas" w:cs="Consolas" w:eastAsia="Consolas" w:hAnsi="Consolas"/>
          <w:color w:val="9A3412"/>
          <w:sz w:val="18"/>
          <w:szCs w:val="18"/>
        </w:rPr>
        <w:t xml:space="preserve">verify-application-review</w:t>
      </w:r>
      <w:r>
        <w:t xml:space="preserve"> asserts the date is set correctly.</w:t>
      </w:r>
    </w:p>
    <w:p>
      <w:pPr>
        <w:pStyle w:val="ListParagraph"/>
        <w:numPr>
          <w:ilvl w:val="0"/>
          <w:numId w:val="2"/>
        </w:numPr>
        <w:spacing w:after="80" w:line="268"/>
      </w:pPr>
      <w:r>
        <w:rPr>
          <w:b/>
          <w:bCs/>
        </w:rPr>
        <w:t xml:space="preserve">And </w:t>
      </w:r>
      <w:r>
        <w:rPr>
          <w:rFonts w:ascii="Consolas" w:cs="Consolas" w:eastAsia="Consolas" w:hAnsi="Consolas"/>
          <w:b/>
          <w:bCs/>
          <w:color w:val="9A3412"/>
          <w:sz w:val="18"/>
          <w:szCs w:val="18"/>
        </w:rPr>
        <w:t xml:space="preserve">vercel.json</w:t>
      </w:r>
      <w:r>
        <w:rPr>
          <w:b/>
          <w:bCs/>
        </w:rPr>
        <w:t xml:space="preserve"> carried two cron jobs, neither of them this one.</w:t>
      </w:r>
      <w:r>
        <w:t xml:space="preserve"> The function was called by nothing.</w:t>
      </w:r>
    </w:p>
    <w:p>
      <w:pPr>
        <w:spacing w:after="140" w:line="268"/>
      </w:pPr>
      <w:r>
        <w:t xml:space="preserve">Every rejected applicant's documents, address, employment details and next of kin would have been kept indefinitely, by a system whose own consent copy promises otherwise. </w:t>
      </w:r>
      <w:r>
        <w:rPr>
          <w:b/>
          <w:bCs/>
        </w:rPr>
        <w:t xml:space="preserve">Deletion that is scheduled but never executed is not a retention policy; it is a record of one.</w:t>
      </w:r>
    </w:p>
    <w:p>
      <w:pPr>
        <w:spacing w:after="140" w:line="268"/>
      </w:pPr>
      <w:r>
        <w:rPr>
          <w:b/>
          <w:bCs/>
        </w:rPr>
        <w:t xml:space="preserve">Fixed:</w:t>
      </w:r>
      <w:r>
        <w:t xml:space="preserve"> </w:t>
      </w:r>
      <w:r>
        <w:rPr>
          <w:rFonts w:ascii="Consolas" w:cs="Consolas" w:eastAsia="Consolas" w:hAnsi="Consolas"/>
          <w:color w:val="9A3412"/>
          <w:sz w:val="18"/>
          <w:szCs w:val="18"/>
        </w:rPr>
        <w:t xml:space="preserve">/api/jobs/purge-applications</w:t>
      </w:r>
      <w:r>
        <w:t xml:space="preserve"> now runs daily at 03:00, authenticated on </w:t>
      </w:r>
      <w:r>
        <w:rPr>
          <w:rFonts w:ascii="Consolas" w:cs="Consolas" w:eastAsia="Consolas" w:hAnsi="Consolas"/>
          <w:color w:val="9A3412"/>
          <w:sz w:val="18"/>
          <w:szCs w:val="18"/>
        </w:rPr>
        <w:t xml:space="preserve">CRON_SECRET</w:t>
      </w:r>
      <w:r>
        <w:t xml:space="preserve"> like the other jobs, idempotent, and logging how many were due. Proven end to end: name and email become </w:t>
      </w:r>
      <w:r>
        <w:rPr>
          <w:rFonts w:ascii="Consolas" w:cs="Consolas" w:eastAsia="Consolas" w:hAnsi="Consolas"/>
          <w:color w:val="9A3412"/>
          <w:sz w:val="18"/>
          <w:szCs w:val="18"/>
        </w:rPr>
        <w:t xml:space="preserve">[purged]</w:t>
      </w:r>
      <w:r>
        <w:t xml:space="preserve">, phone becomes null, </w:t>
      </w:r>
      <w:r>
        <w:rPr>
          <w:rFonts w:ascii="Consolas" w:cs="Consolas" w:eastAsia="Consolas" w:hAnsi="Consolas"/>
          <w:color w:val="9A3412"/>
          <w:sz w:val="18"/>
          <w:szCs w:val="18"/>
        </w:rPr>
        <w:t xml:space="preserve">form</w:t>
      </w:r>
      <w:r>
        <w:t xml:space="preserve"> and </w:t>
      </w:r>
      <w:r>
        <w:rPr>
          <w:rFonts w:ascii="Consolas" w:cs="Consolas" w:eastAsia="Consolas" w:hAnsi="Consolas"/>
          <w:color w:val="9A3412"/>
          <w:sz w:val="18"/>
          <w:szCs w:val="18"/>
        </w:rPr>
        <w:t xml:space="preserve">sensitive</w:t>
      </w:r>
      <w:r>
        <w:t xml:space="preserve"> become </w:t>
      </w:r>
      <w:r>
        <w:rPr>
          <w:rFonts w:ascii="Consolas" w:cs="Consolas" w:eastAsia="Consolas" w:hAnsi="Consolas"/>
          <w:color w:val="9A3412"/>
          <w:sz w:val="18"/>
          <w:szCs w:val="18"/>
        </w:rPr>
        <w:t xml:space="preserve">{}</w:t>
      </w:r>
      <w:r>
        <w:t xml:space="preserve">, </w:t>
      </w:r>
      <w:r>
        <w:rPr>
          <w:rFonts w:ascii="Consolas" w:cs="Consolas" w:eastAsia="Consolas" w:hAnsi="Consolas"/>
          <w:color w:val="9A3412"/>
          <w:sz w:val="18"/>
          <w:szCs w:val="18"/>
        </w:rPr>
        <w:t xml:space="preserve">purged_at</w:t>
      </w:r>
      <w:r>
        <w:t xml:space="preserve"> is stamped, and the anonymised stub survives so the decision remains auditable.</w:t>
      </w:r>
    </w:p>
    <w:p>
      <w:pPr>
        <w:pStyle w:val="Heading3"/>
        <w:spacing w:after="140" w:before="300"/>
      </w:pPr>
      <w:r>
        <w:t xml:space="preserve">✅ The approved-application 6-year clock, and the renewal trap in it</w:t>
      </w:r>
    </w:p>
    <w:p>
      <w:pPr>
        <w:spacing w:after="140" w:line="268"/>
      </w:pPr>
      <w:r>
        <w:rPr>
          <w:b/>
          <w:bCs/>
        </w:rPr>
        <w:t xml:space="preserve">Closed 20 Sept 2026 (</w:t>
      </w:r>
      <w:r>
        <w:rPr>
          <w:rFonts w:ascii="Consolas" w:cs="Consolas" w:eastAsia="Consolas" w:hAnsi="Consolas"/>
          <w:b/>
          <w:bCs/>
          <w:color w:val="9A3412"/>
          <w:sz w:val="18"/>
          <w:szCs w:val="18"/>
        </w:rPr>
        <w:t xml:space="preserve">0299</w:t>
      </w:r>
      <w:r>
        <w:rPr>
          <w:b/>
          <w:bCs/>
        </w:rPr>
        <w:t xml:space="preserve">).</w:t>
      </w:r>
      <w:r>
        <w:t xml:space="preserve"> This row read "has no job yet" since the Day 12 review. It was the last open row in the table above.</w:t>
      </w:r>
    </w:p>
    <w:p>
      <w:pPr>
        <w:spacing w:after="140" w:line="268"/>
      </w:pPr>
      <w:r>
        <w:rPr>
          <w:b/>
          <w:bCs/>
        </w:rPr>
        <w:t xml:space="preserve">It is closed by stamping a date, not by adding a second deletion path.</w:t>
      </w:r>
      <w:r>
        <w:t xml:space="preserve"> </w:t>
      </w:r>
      <w:r>
        <w:rPr>
          <w:rFonts w:ascii="Consolas" w:cs="Consolas" w:eastAsia="Consolas" w:hAnsi="Consolas"/>
          <w:color w:val="9A3412"/>
          <w:sz w:val="18"/>
          <w:szCs w:val="18"/>
        </w:rPr>
        <w:t xml:space="preserve">purge_expired_applications()</w:t>
      </w:r>
      <w:r>
        <w:t xml:space="preserve"> fires on </w:t>
      </w:r>
      <w:r>
        <w:rPr>
          <w:rFonts w:ascii="Consolas" w:cs="Consolas" w:eastAsia="Consolas" w:hAnsi="Consolas"/>
          <w:color w:val="9A3412"/>
          <w:sz w:val="18"/>
          <w:szCs w:val="18"/>
        </w:rPr>
        <w:t xml:space="preserve">purge_after &lt; now()</w:t>
      </w:r>
      <w:r>
        <w:t xml:space="preserve"> and nothing else. The 90-day rule has always worked because </w:t>
      </w:r>
      <w:r>
        <w:rPr>
          <w:rFonts w:ascii="Consolas" w:cs="Consolas" w:eastAsia="Consolas" w:hAnsi="Consolas"/>
          <w:color w:val="9A3412"/>
          <w:sz w:val="18"/>
          <w:szCs w:val="18"/>
        </w:rPr>
        <w:t xml:space="preserve">0082</w:t>
      </w:r>
      <w:r>
        <w:t xml:space="preserve"> sets that date on rejection; the 6-year rule never worked because nothing set it on approval. So the missing piece was never the deletion — it was the date. </w:t>
      </w:r>
      <w:r>
        <w:rPr>
          <w:rFonts w:ascii="Consolas" w:cs="Consolas" w:eastAsia="Consolas" w:hAnsi="Consolas"/>
          <w:color w:val="9A3412"/>
          <w:sz w:val="18"/>
          <w:szCs w:val="18"/>
        </w:rPr>
        <w:t xml:space="preserve">0299</w:t>
      </w:r>
      <w:r>
        <w:t xml:space="preserve"> computes and sets it, and the one proven deletion path does the rest.</w:t>
      </w:r>
    </w:p>
    <w:p>
      <w:pPr>
        <w:spacing w:after="140" w:line="268"/>
      </w:pPr>
      <w:r>
        <w:rPr>
          <w:b/>
          <w:bCs/>
        </w:rPr>
        <w:t xml:space="preserve">The clock cannot start at approval</w:t>
      </w:r>
      <w:r>
        <w:t xml:space="preserve">, which is why this is a nightly reconciliation rather than something the approval writes. It runs from the end of the </w:t>
      </w:r>
      <w:r>
        <w:rPr>
          <w:b/>
          <w:bCs/>
        </w:rPr>
        <w:t xml:space="preserve">tenancy</w:t>
      </w:r>
      <w:r>
        <w:t xml:space="preserve">, which is unknown at approval and changes every time the lease is renewed. The job therefore re-derives the answer for every approved application on every run, and </w:t>
      </w:r>
      <w:r>
        <w:rPr>
          <w:b/>
          <w:bCs/>
        </w:rPr>
        <w:t xml:space="preserve">withdraws</w:t>
      </w:r>
      <w:r>
        <w:t xml:space="preserve"> a stamp if a renewal has reopened the tenancy since. A stamp that is wrong has six years in which to be corrected; a purge that is wrong has none.</w:t>
      </w:r>
    </w:p>
    <w:p>
      <w:pPr>
        <w:spacing w:after="140" w:line="268"/>
      </w:pPr>
      <w:r>
        <w:t xml:space="preserve">⚠️ </w:t>
      </w:r>
      <w:r>
        <w:rPr>
          <w:b/>
          <w:bCs/>
        </w:rPr>
        <w:t xml:space="preserve">The trap, stated because it is the whole difficulty.</w:t>
      </w:r>
      <w:r>
        <w:t xml:space="preserve"> A renewal does not carry </w:t>
      </w:r>
      <w:r>
        <w:rPr>
          <w:rFonts w:ascii="Consolas" w:cs="Consolas" w:eastAsia="Consolas" w:hAnsi="Consolas"/>
          <w:color w:val="9A3412"/>
          <w:sz w:val="18"/>
          <w:szCs w:val="18"/>
        </w:rPr>
        <w:t xml:space="preserve">application_id</w:t>
      </w:r>
      <w:r>
        <w:t xml:space="preserve"> forward. So the obvious query — "the end date of the lease this application produced" — returns the end of the </w:t>
      </w:r>
      <w:r>
        <w:rPr>
          <w:b/>
          <w:bCs/>
        </w:rPr>
        <w:t xml:space="preserve">first</w:t>
      </w:r>
      <w:r>
        <w:t xml:space="preserve"> lease, and would set a purge clock on a tenant who is still living there under their fourth renewal. The applicant whose data this rule protects would be purged while still a tenant. </w:t>
      </w:r>
      <w:r>
        <w:rPr>
          <w:rFonts w:ascii="Consolas" w:cs="Consolas" w:eastAsia="Consolas" w:hAnsi="Consolas"/>
          <w:color w:val="9A3412"/>
          <w:sz w:val="18"/>
          <w:szCs w:val="18"/>
        </w:rPr>
        <w:t xml:space="preserve">0299</w:t>
      </w:r>
      <w:r>
        <w:t xml:space="preserve"> therefore walks </w:t>
      </w:r>
      <w:r>
        <w:rPr>
          <w:rFonts w:ascii="Consolas" w:cs="Consolas" w:eastAsia="Consolas" w:hAnsi="Consolas"/>
          <w:color w:val="9A3412"/>
          <w:sz w:val="18"/>
          <w:szCs w:val="18"/>
        </w:rPr>
        <w:t xml:space="preserve">renewed_from_lease_id</w:t>
      </w:r>
      <w:r>
        <w:t xml:space="preserve"> forward recursively and treats the tenancy as ended only when no lease anywhere in that chain is still </w:t>
      </w:r>
      <w:r>
        <w:rPr>
          <w:rFonts w:ascii="Consolas" w:cs="Consolas" w:eastAsia="Consolas" w:hAnsi="Consolas"/>
          <w:color w:val="9A3412"/>
          <w:sz w:val="18"/>
          <w:szCs w:val="18"/>
        </w:rPr>
        <w:t xml:space="preserve">draft</w:t>
      </w:r>
      <w:r>
        <w:t xml:space="preserve"> or </w:t>
      </w:r>
      <w:r>
        <w:rPr>
          <w:rFonts w:ascii="Consolas" w:cs="Consolas" w:eastAsia="Consolas" w:hAnsi="Consolas"/>
          <w:color w:val="9A3412"/>
          <w:sz w:val="18"/>
          <w:szCs w:val="18"/>
        </w:rPr>
        <w:t xml:space="preserve">active</w:t>
      </w:r>
      <w:r>
        <w:t xml:space="preserve">. This is the same mistake </w:t>
      </w:r>
      <w:r>
        <w:rPr>
          <w:rFonts w:ascii="Consolas" w:cs="Consolas" w:eastAsia="Consolas" w:hAnsi="Consolas"/>
          <w:color w:val="9A3412"/>
          <w:sz w:val="18"/>
          <w:szCs w:val="18"/>
        </w:rPr>
        <w:t xml:space="preserve">0181</w:t>
      </w:r>
      <w:r>
        <w:t xml:space="preserve"> found in the admin fee, where it had money attached rather than personal data.</w:t>
      </w:r>
    </w:p>
    <w:p>
      <w:pPr>
        <w:spacing w:after="140" w:line="268"/>
      </w:pPr>
      <w:r>
        <w:rPr>
          <w:b/>
          <w:bCs/>
        </w:rPr>
        <w:t xml:space="preserve">Approved applications that produced no lease</w:t>
      </w:r>
      <w:r>
        <w:t xml:space="preserve"> — an offer never accepted, or a lease recorded on paper — have no tenancy and so no clock. They are counted and reported on every run rather than left behind, because an approved application quietly holding PII with no retention date is the same shape of gap as the one this whole section exists to record.</w:t>
      </w:r>
    </w:p>
    <w:p>
      <w:pPr>
        <w:spacing w:after="140" w:line="268"/>
      </w:pPr>
      <w:r>
        <w:t xml:space="preserve">Proven against PostgreSQL 16 before shipping, across eight cases: no lease, a live tenancy, a single ended tenancy, the renewal trap, a fully-ended chain (stamped from the </w:t>
      </w:r>
      <w:r>
        <w:rPr>
          <w:b/>
          <w:bCs/>
        </w:rPr>
        <w:t xml:space="preserve">last</w:t>
      </w:r>
      <w:r>
        <w:t xml:space="preserve"> end, not the first), withdrawal after a late renewal, soft-deleted leases in both directions, and a rejected application's own 90-day clock left untouched. Held by </w:t>
      </w:r>
      <w:r>
        <w:rPr>
          <w:rFonts w:ascii="Consolas" w:cs="Consolas" w:eastAsia="Consolas" w:hAnsi="Consolas"/>
          <w:color w:val="9A3412"/>
          <w:sz w:val="18"/>
          <w:szCs w:val="18"/>
        </w:rPr>
        <w:t xml:space="preserve">verify-retention-clock</w:t>
      </w:r>
      <w:r>
        <w:t xml:space="preserve">.</w:t>
      </w:r>
    </w:p>
    <w:p>
      <w:pPr>
        <w:spacing w:after="140" w:line="268"/>
      </w:pPr>
      <w:r>
        <w:t xml:space="preserve">⚠️ </w:t>
      </w:r>
      <w:r>
        <w:rPr>
          <w:b/>
          <w:bCs/>
        </w:rPr>
        <w:t xml:space="preserve">What is still true:</w:t>
      </w:r>
      <w:r>
        <w:t xml:space="preserve"> for any real record this fires years from now. The value of building it today is that the renewal rule is understood today. It should be re-read — not merely assumed — the first time a real tenancy ends.</w:t>
      </w:r>
    </w:p>
    <w:p>
      <w:pPr>
        <w:pBdr>
          <w:bottom w:val="single" w:color="D0D5DD" w:sz="6" w:space="6"/>
        </w:pBdr>
        <w:spacing w:after="120"/>
      </w:pPr>
    </w:p>
    <w:p>
      <w:pPr>
        <w:pStyle w:val="Heading2"/>
        <w:spacing w:after="140" w:before="300"/>
      </w:pPr>
      <w:r>
        <w:t xml:space="preserve">6. Automated processing (NDPA Art. 37)</w:t>
      </w:r>
    </w:p>
    <w:p>
      <w:pPr>
        <w:spacing w:after="140" w:line="268"/>
      </w:pPr>
      <w:r>
        <w:t xml:space="preserve">The board's position, from decision 10, is implemented rather than promised:</w:t>
      </w:r>
    </w:p>
    <w:p>
      <w:pPr>
        <w:pStyle w:val="ListParagraph"/>
        <w:numPr>
          <w:ilvl w:val="0"/>
          <w:numId w:val="2"/>
        </w:numPr>
        <w:spacing w:after="80" w:line="268"/>
      </w:pPr>
      <w:r>
        <w:t xml:space="preserve">✅ </w:t>
      </w:r>
      <w:r>
        <w:rPr>
          <w:b/>
          <w:bCs/>
        </w:rPr>
        <w:t xml:space="preserve">Two-tier human review.</w:t>
      </w:r>
      <w:r>
        <w:t xml:space="preserve"> A scoped FM/PM recommends; an admin or finance approver decides. Enforced — the same person cannot do both (</w:t>
      </w:r>
      <w:r>
        <w:rPr>
          <w:rFonts w:ascii="Consolas" w:cs="Consolas" w:eastAsia="Consolas" w:hAnsi="Consolas"/>
          <w:color w:val="9A3412"/>
          <w:sz w:val="18"/>
          <w:szCs w:val="18"/>
        </w:rPr>
        <w:t xml:space="preserve">verify-application-review</w:t>
      </w:r>
      <w:r>
        <w:t xml:space="preserve">).</w:t>
      </w:r>
    </w:p>
    <w:p>
      <w:pPr>
        <w:pStyle w:val="ListParagraph"/>
        <w:numPr>
          <w:ilvl w:val="0"/>
          <w:numId w:val="2"/>
        </w:numPr>
        <w:spacing w:after="80" w:line="268"/>
      </w:pPr>
      <w:r>
        <w:t xml:space="preserve">✅ </w:t>
      </w:r>
      <w:r>
        <w:rPr>
          <w:b/>
          <w:bCs/>
        </w:rPr>
        <w:t xml:space="preserve">No automated decision, score, rank or recommendation.</w:t>
      </w:r>
      <w:r>
        <w:t xml:space="preserve"> AI performs </w:t>
      </w:r>
      <w:r>
        <w:rPr>
          <w:b/>
          <w:bCs/>
        </w:rPr>
        <w:t xml:space="preserve">document verification only</w:t>
      </w:r>
      <w:r>
        <w:t xml:space="preserve"> — extraction, format and consistency checks, completeness, duplicates.</w:t>
      </w:r>
    </w:p>
    <w:p>
      <w:pPr>
        <w:pStyle w:val="ListParagraph"/>
        <w:numPr>
          <w:ilvl w:val="0"/>
          <w:numId w:val="2"/>
        </w:numPr>
        <w:spacing w:after="80" w:line="268"/>
      </w:pPr>
      <w:r>
        <w:t xml:space="preserve">✅ </w:t>
      </w:r>
      <w:r>
        <w:rPr>
          <w:b/>
          <w:bCs/>
        </w:rPr>
        <w:t xml:space="preserve">Findings, never conclusions.</w:t>
      </w:r>
      <w:r>
        <w:t xml:space="preserve"> Recorded against the evidence they came from (</w:t>
      </w:r>
      <w:r>
        <w:rPr>
          <w:rFonts w:ascii="Consolas" w:cs="Consolas" w:eastAsia="Consolas" w:hAnsi="Consolas"/>
          <w:color w:val="9A3412"/>
          <w:sz w:val="18"/>
          <w:szCs w:val="18"/>
        </w:rPr>
        <w:t xml:space="preserve">application_document_findings</w:t>
      </w:r>
      <w:r>
        <w:t xml:space="preserve">), and the reviewer must record their own reason.</w:t>
      </w:r>
    </w:p>
    <w:p>
      <w:pPr>
        <w:pStyle w:val="ListParagraph"/>
        <w:numPr>
          <w:ilvl w:val="0"/>
          <w:numId w:val="2"/>
        </w:numPr>
        <w:spacing w:after="80" w:line="268"/>
      </w:pPr>
      <w:r>
        <w:t xml:space="preserve">✅ </w:t>
      </w:r>
      <w:r>
        <w:rPr>
          <w:b/>
          <w:bCs/>
        </w:rPr>
        <w:t xml:space="preserve">Off by default.</w:t>
      </w:r>
      <w:r>
        <w:t xml:space="preserve"> Per-org B9 feature flag.</w:t>
      </w:r>
    </w:p>
    <w:p>
      <w:pPr>
        <w:pStyle w:val="ListParagraph"/>
        <w:numPr>
          <w:ilvl w:val="0"/>
          <w:numId w:val="2"/>
        </w:numPr>
        <w:spacing w:after="80" w:line="268"/>
      </w:pPr>
      <w:r>
        <w:t xml:space="preserve">✅ </w:t>
      </w:r>
      <w:r>
        <w:rPr>
          <w:b/>
          <w:bCs/>
        </w:rPr>
        <w:t xml:space="preserve">Special-category data is never sent to a model</w:t>
      </w:r>
      <w:r>
        <w:t xml:space="preserve"> (§2).</w:t>
      </w:r>
    </w:p>
    <w:p>
      <w:pPr>
        <w:pStyle w:val="ListParagraph"/>
        <w:numPr>
          <w:ilvl w:val="0"/>
          <w:numId w:val="2"/>
        </w:numPr>
        <w:spacing w:after="80" w:line="268"/>
      </w:pPr>
      <w:r>
        <w:t xml:space="preserve">📄 </w:t>
      </w:r>
      <w:r>
        <w:rPr>
          <w:b/>
          <w:bCs/>
        </w:rPr>
        <w:t xml:space="preserve">Bias audit on the extraction</w:t>
      </w:r>
      <w:r>
        <w:t xml:space="preserve"> — the classifier harness exists (</w:t>
      </w:r>
      <w:r>
        <w:rPr>
          <w:rFonts w:ascii="Consolas" w:cs="Consolas" w:eastAsia="Consolas" w:hAnsi="Consolas"/>
          <w:color w:val="9A3412"/>
          <w:sz w:val="18"/>
          <w:szCs w:val="18"/>
        </w:rPr>
        <w:t xml:space="preserve">measure-classifier-accuracy</w:t>
      </w:r>
      <w:r>
        <w:t xml:space="preserve">); a documented bias audit of document extraction specifically is outstanding.</w:t>
      </w:r>
    </w:p>
    <w:p>
      <w:pPr>
        <w:spacing w:after="140" w:line="268"/>
      </w:pPr>
      <w:r>
        <w:rPr>
          <w:b/>
          <w:bCs/>
        </w:rPr>
        <w:t xml:space="preserve">Why this matters:</w:t>
      </w:r>
      <w:r>
        <w:t xml:space="preserve"> the Art. 37 test is whether a decision is </w:t>
      </w:r>
      <w:r>
        <w:rPr>
          <w:i/>
          <w:iCs/>
        </w:rPr>
        <w:t xml:space="preserve">solely</w:t>
      </w:r>
      <w:r>
        <w:t xml:space="preserve"> automated with significant effect. Refusing someone housing is significant, and a rubber-stamp does not cure it. Hence: findings not conclusions, a human reason recorded, and the whole thing contestable.</w:t>
      </w:r>
    </w:p>
    <w:p>
      <w:pPr>
        <w:pBdr>
          <w:bottom w:val="single" w:color="D0D5DD" w:sz="6" w:space="6"/>
        </w:pBdr>
        <w:spacing w:after="120"/>
      </w:pPr>
    </w:p>
    <w:p>
      <w:pPr>
        <w:pStyle w:val="Heading2"/>
        <w:spacing w:after="140" w:before="300"/>
      </w:pPr>
      <w:r>
        <w:t xml:space="preserve">7. Data-subject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AECF0" w:val="clear"/>
            <w:tcMar>
              <w:top w:type="dxa" w:w="70"/>
              <w:left w:type="dxa" w:w="110"/>
              <w:bottom w:type="dxa" w:w="70"/>
              <w:right w:type="dxa" w:w="110"/>
            </w:tcMar>
          </w:tcPr>
          <w:p>
            <w:pPr>
              <w:spacing w:after="0"/>
            </w:pPr>
            <w:r>
              <w:rPr>
                <w:b/>
                <w:bCs/>
                <w:sz w:val="18"/>
                <w:szCs w:val="18"/>
              </w:rPr>
              <w:t xml:space="preserve">Right</w:t>
            </w:r>
          </w:p>
        </w:tc>
        <w:tc>
          <w:tcPr>
            <w:tcW w:type="dxa" w:w="4680"/>
            <w:shd w:fill="EAECF0" w:val="clear"/>
            <w:tcMar>
              <w:top w:type="dxa" w:w="70"/>
              <w:left w:type="dxa" w:w="110"/>
              <w:bottom w:type="dxa" w:w="70"/>
              <w:right w:type="dxa" w:w="110"/>
            </w:tcMar>
          </w:tcPr>
          <w:p>
            <w:pPr>
              <w:spacing w:after="0"/>
            </w:pPr>
            <w:r>
              <w:rPr>
                <w:b/>
                <w:bCs/>
                <w:sz w:val="18"/>
                <w:szCs w:val="18"/>
              </w:rPr>
              <w:t xml:space="preserve">Position</w:t>
            </w:r>
          </w:p>
        </w:tc>
      </w:tr>
      <w:tr>
        <w:tc>
          <w:tcPr>
            <w:tcW w:type="dxa" w:w="4680"/>
            <w:tcMar>
              <w:top w:type="dxa" w:w="70"/>
              <w:left w:type="dxa" w:w="110"/>
              <w:bottom w:type="dxa" w:w="70"/>
              <w:right w:type="dxa" w:w="110"/>
            </w:tcMar>
          </w:tcPr>
          <w:p>
            <w:pPr>
              <w:spacing w:after="0"/>
            </w:pPr>
            <w:r>
              <w:rPr>
                <w:b/>
                <w:bCs/>
                <w:sz w:val="18"/>
                <w:szCs w:val="18"/>
              </w:rPr>
              <w:t xml:space="preserve">Access</w:t>
            </w:r>
          </w:p>
        </w:tc>
        <w:tc>
          <w:tcPr>
            <w:tcW w:type="dxa" w:w="4680"/>
            <w:tcMar>
              <w:top w:type="dxa" w:w="70"/>
              <w:left w:type="dxa" w:w="110"/>
              <w:bottom w:type="dxa" w:w="70"/>
              <w:right w:type="dxa" w:w="110"/>
            </w:tcMar>
          </w:tcPr>
          <w:p>
            <w:pPr>
              <w:spacing w:after="0"/>
            </w:pPr>
            <w:r>
              <w:rPr>
                <w:sz w:val="18"/>
                <w:szCs w:val="18"/>
              </w:rPr>
              <w:t xml:space="preserve">📄 Partly self-service — a tenant sees their requests, rent, statements and payment history; an applicant can resume their own application. A full subject-access export is ⛔ not built.</w:t>
            </w:r>
          </w:p>
        </w:tc>
      </w:tr>
      <w:tr>
        <w:tc>
          <w:tcPr>
            <w:tcW w:type="dxa" w:w="4680"/>
            <w:tcMar>
              <w:top w:type="dxa" w:w="70"/>
              <w:left w:type="dxa" w:w="110"/>
              <w:bottom w:type="dxa" w:w="70"/>
              <w:right w:type="dxa" w:w="110"/>
            </w:tcMar>
          </w:tcPr>
          <w:p>
            <w:pPr>
              <w:spacing w:after="0"/>
            </w:pPr>
            <w:r>
              <w:rPr>
                <w:b/>
                <w:bCs/>
                <w:sz w:val="18"/>
                <w:szCs w:val="18"/>
              </w:rPr>
              <w:t xml:space="preserve">Rectification</w:t>
            </w:r>
          </w:p>
        </w:tc>
        <w:tc>
          <w:tcPr>
            <w:tcW w:type="dxa" w:w="4680"/>
            <w:tcMar>
              <w:top w:type="dxa" w:w="70"/>
              <w:left w:type="dxa" w:w="110"/>
              <w:bottom w:type="dxa" w:w="70"/>
              <w:right w:type="dxa" w:w="110"/>
            </w:tcMar>
          </w:tcPr>
          <w:p>
            <w:pPr>
              <w:spacing w:after="0"/>
            </w:pPr>
            <w:r>
              <w:rPr>
                <w:sz w:val="18"/>
                <w:szCs w:val="18"/>
              </w:rPr>
              <w:t xml:space="preserve">✅ A person can correct their own name (</w:t>
            </w:r>
            <w:r>
              <w:rPr>
                <w:rFonts w:ascii="Consolas" w:cs="Consolas" w:eastAsia="Consolas" w:hAnsi="Consolas"/>
                <w:color w:val="9A3412"/>
                <w:sz w:val="18"/>
                <w:szCs w:val="18"/>
              </w:rPr>
              <w:t xml:space="preserve">update_my_profile</w:t>
            </w:r>
            <w:r>
              <w:rPr>
                <w:sz w:val="18"/>
                <w:szCs w:val="18"/>
              </w:rPr>
              <w:t xml:space="preserve">) and contact details (</w:t>
            </w:r>
            <w:r>
              <w:rPr>
                <w:rFonts w:ascii="Consolas" w:cs="Consolas" w:eastAsia="Consolas" w:hAnsi="Consolas"/>
                <w:color w:val="9A3412"/>
                <w:sz w:val="18"/>
                <w:szCs w:val="18"/>
              </w:rPr>
              <w:t xml:space="preserve">update_my_notification_prefs</w:t>
            </w:r>
            <w:r>
              <w:rPr>
                <w:sz w:val="18"/>
                <w:szCs w:val="18"/>
              </w:rPr>
              <w:t xml:space="preserve">); everything else via their administrator.</w:t>
            </w:r>
          </w:p>
        </w:tc>
      </w:tr>
      <w:tr>
        <w:tc>
          <w:tcPr>
            <w:tcW w:type="dxa" w:w="4680"/>
            <w:tcMar>
              <w:top w:type="dxa" w:w="70"/>
              <w:left w:type="dxa" w:w="110"/>
              <w:bottom w:type="dxa" w:w="70"/>
              <w:right w:type="dxa" w:w="110"/>
            </w:tcMar>
          </w:tcPr>
          <w:p>
            <w:pPr>
              <w:spacing w:after="0"/>
            </w:pPr>
            <w:r>
              <w:rPr>
                <w:b/>
                <w:bCs/>
                <w:sz w:val="18"/>
                <w:szCs w:val="18"/>
              </w:rPr>
              <w:t xml:space="preserve">Erasure</w:t>
            </w:r>
          </w:p>
        </w:tc>
        <w:tc>
          <w:tcPr>
            <w:tcW w:type="dxa" w:w="4680"/>
            <w:tcMar>
              <w:top w:type="dxa" w:w="70"/>
              <w:left w:type="dxa" w:w="110"/>
              <w:bottom w:type="dxa" w:w="70"/>
              <w:right w:type="dxa" w:w="110"/>
            </w:tcMar>
          </w:tcPr>
          <w:p>
            <w:pPr>
              <w:spacing w:after="0"/>
            </w:pPr>
            <w:r>
              <w:rPr>
                <w:sz w:val="18"/>
                <w:szCs w:val="18"/>
              </w:rPr>
              <w:t xml:space="preserve">📄 Automatic for rejected applications (§5). Otherwise ⛔ manual — and constrained: ledger and audit rows are retained by design, which is a lawful basis to refuse erasure of financial records but must be </w:t>
            </w:r>
            <w:r>
              <w:rPr>
                <w:b/>
                <w:bCs/>
                <w:sz w:val="18"/>
                <w:szCs w:val="18"/>
              </w:rPr>
              <w:t xml:space="preserve">explained</w:t>
            </w:r>
            <w:r>
              <w:rPr>
                <w:sz w:val="18"/>
                <w:szCs w:val="18"/>
              </w:rPr>
              <w:t xml:space="preserve">, not silently applied.</w:t>
            </w:r>
          </w:p>
        </w:tc>
      </w:tr>
      <w:tr>
        <w:tc>
          <w:tcPr>
            <w:tcW w:type="dxa" w:w="4680"/>
            <w:tcMar>
              <w:top w:type="dxa" w:w="70"/>
              <w:left w:type="dxa" w:w="110"/>
              <w:bottom w:type="dxa" w:w="70"/>
              <w:right w:type="dxa" w:w="110"/>
            </w:tcMar>
          </w:tcPr>
          <w:p>
            <w:pPr>
              <w:spacing w:after="0"/>
            </w:pPr>
            <w:r>
              <w:rPr>
                <w:b/>
                <w:bCs/>
                <w:sz w:val="18"/>
                <w:szCs w:val="18"/>
              </w:rPr>
              <w:t xml:space="preserve">Objection / withdrawal of consent</w:t>
            </w:r>
          </w:p>
        </w:tc>
        <w:tc>
          <w:tcPr>
            <w:tcW w:type="dxa" w:w="4680"/>
            <w:tcMar>
              <w:top w:type="dxa" w:w="70"/>
              <w:left w:type="dxa" w:w="110"/>
              <w:bottom w:type="dxa" w:w="70"/>
              <w:right w:type="dxa" w:w="110"/>
            </w:tcMar>
          </w:tcPr>
          <w:p>
            <w:pPr>
              <w:spacing w:after="0"/>
            </w:pPr>
            <w:r>
              <w:rPr>
                <w:sz w:val="18"/>
                <w:szCs w:val="18"/>
              </w:rPr>
              <w:t xml:space="preserve">⛔ No self-service withdrawal. Manual.</w:t>
            </w:r>
          </w:p>
        </w:tc>
      </w:tr>
      <w:tr>
        <w:tc>
          <w:tcPr>
            <w:tcW w:type="dxa" w:w="4680"/>
            <w:tcMar>
              <w:top w:type="dxa" w:w="70"/>
              <w:left w:type="dxa" w:w="110"/>
              <w:bottom w:type="dxa" w:w="70"/>
              <w:right w:type="dxa" w:w="110"/>
            </w:tcMar>
          </w:tcPr>
          <w:p>
            <w:pPr>
              <w:spacing w:after="0"/>
            </w:pPr>
            <w:r>
              <w:rPr>
                <w:b/>
                <w:bCs/>
                <w:sz w:val="18"/>
                <w:szCs w:val="18"/>
              </w:rPr>
              <w:t xml:space="preserve">Portability</w:t>
            </w:r>
          </w:p>
        </w:tc>
        <w:tc>
          <w:tcPr>
            <w:tcW w:type="dxa" w:w="4680"/>
            <w:tcMar>
              <w:top w:type="dxa" w:w="70"/>
              <w:left w:type="dxa" w:w="110"/>
              <w:bottom w:type="dxa" w:w="70"/>
              <w:right w:type="dxa" w:w="110"/>
            </w:tcMar>
          </w:tcPr>
          <w:p>
            <w:pPr>
              <w:spacing w:after="0"/>
            </w:pPr>
            <w:r>
              <w:rPr>
                <w:sz w:val="18"/>
                <w:szCs w:val="18"/>
              </w:rPr>
              <w:t xml:space="preserve">⛔ Not built.</w:t>
            </w:r>
          </w:p>
        </w:tc>
      </w:tr>
    </w:tbl>
    <w:p>
      <w:pPr>
        <w:spacing w:after="160"/>
      </w:pPr>
    </w:p>
    <w:p>
      <w:pPr>
        <w:spacing w:after="140" w:line="268"/>
      </w:pPr>
      <w:r>
        <w:t xml:space="preserve">⛔ </w:t>
      </w:r>
      <w:r>
        <w:rPr>
          <w:b/>
          <w:bCs/>
        </w:rPr>
        <w:t xml:space="preserve">Action:</w:t>
      </w:r>
      <w:r>
        <w:t xml:space="preserve"> publish a procedure naming who receives a rights request, the response deadline, and how it is executed. NDPA expects a response inside 30 days.</w:t>
      </w:r>
    </w:p>
    <w:p>
      <w:pPr>
        <w:pBdr>
          <w:bottom w:val="single" w:color="D0D5DD" w:sz="6" w:space="6"/>
        </w:pBdr>
        <w:spacing w:after="120"/>
      </w:pPr>
    </w:p>
    <w:p>
      <w:pPr>
        <w:pStyle w:val="Heading2"/>
        <w:spacing w:after="140" w:before="300"/>
      </w:pPr>
      <w:r>
        <w:t xml:space="preserve">8. Security measures (NDPA s.39)</w:t>
      </w:r>
    </w:p>
    <w:p>
      <w:pPr>
        <w:spacing w:after="140" w:line="268"/>
      </w:pPr>
      <w:r>
        <w:t xml:space="preserve">Evidenced in </w:t>
      </w:r>
      <w:r>
        <w:rPr>
          <w:rFonts w:ascii="Consolas" w:cs="Consolas" w:eastAsia="Consolas" w:hAnsi="Consolas"/>
          <w:color w:val="9A3412"/>
          <w:sz w:val="18"/>
          <w:szCs w:val="18"/>
        </w:rPr>
        <w:t xml:space="preserve">DAY12_SECURITY_PASS.md</w:t>
      </w:r>
      <w:r>
        <w:t xml:space="preserve">:</w:t>
      </w:r>
    </w:p>
    <w:p>
      <w:pPr>
        <w:pStyle w:val="ListParagraph"/>
        <w:numPr>
          <w:ilvl w:val="0"/>
          <w:numId w:val="2"/>
        </w:numPr>
        <w:spacing w:after="80" w:line="268"/>
      </w:pPr>
      <w:r>
        <w:t xml:space="preserve">✅ Encryption in transit (TLS) and at rest (Supabase-managed).</w:t>
      </w:r>
    </w:p>
    <w:p>
      <w:pPr>
        <w:pStyle w:val="ListParagraph"/>
        <w:numPr>
          <w:ilvl w:val="0"/>
          <w:numId w:val="2"/>
        </w:numPr>
        <w:spacing w:after="80" w:line="268"/>
      </w:pPr>
      <w:r>
        <w:t xml:space="preserve">✅ Row-level security on </w:t>
      </w:r>
      <w:r>
        <w:rPr>
          <w:b/>
          <w:bCs/>
        </w:rPr>
        <w:t xml:space="preserve">every</w:t>
      </w:r>
      <w:r>
        <w:t xml:space="preserve"> table; an anonymous caller reaches nothing.</w:t>
      </w:r>
    </w:p>
    <w:p>
      <w:pPr>
        <w:pStyle w:val="ListParagraph"/>
        <w:numPr>
          <w:ilvl w:val="0"/>
          <w:numId w:val="2"/>
        </w:numPr>
        <w:spacing w:after="80" w:line="268"/>
      </w:pPr>
      <w:r>
        <w:t xml:space="preserve">✅ Role-based access enforced at four layers, verified across all ten roles.</w:t>
      </w:r>
    </w:p>
    <w:p>
      <w:pPr>
        <w:pStyle w:val="ListParagraph"/>
        <w:numPr>
          <w:ilvl w:val="0"/>
          <w:numId w:val="2"/>
        </w:numPr>
        <w:spacing w:after="80" w:line="268"/>
      </w:pPr>
      <w:r>
        <w:t xml:space="preserve">✅ Append-only audit trail.</w:t>
      </w:r>
    </w:p>
    <w:p>
      <w:pPr>
        <w:pStyle w:val="ListParagraph"/>
        <w:numPr>
          <w:ilvl w:val="0"/>
          <w:numId w:val="2"/>
        </w:numPr>
        <w:spacing w:after="80" w:line="268"/>
      </w:pPr>
      <w:r>
        <w:t xml:space="preserve">✅ Private storage for identity documents and property imagery.</w:t>
      </w:r>
    </w:p>
    <w:p>
      <w:pPr>
        <w:pStyle w:val="ListParagraph"/>
        <w:numPr>
          <w:ilvl w:val="0"/>
          <w:numId w:val="2"/>
        </w:numPr>
        <w:spacing w:after="80" w:line="268"/>
      </w:pPr>
      <w:r>
        <w:t xml:space="preserve">✅ Secrets in environment variables; none in the repository.</w:t>
      </w:r>
    </w:p>
    <w:p>
      <w:pPr>
        <w:pStyle w:val="ListParagraph"/>
        <w:numPr>
          <w:ilvl w:val="0"/>
          <w:numId w:val="2"/>
        </w:numPr>
        <w:spacing w:after="80" w:line="268"/>
      </w:pPr>
      <w:r>
        <w:t xml:space="preserve">✅ Rate limiting on intake and on remittance — and </w:t>
      </w:r>
      <w:r>
        <w:rPr>
          <w:b/>
          <w:bCs/>
        </w:rPr>
        <w:t xml:space="preserve">fail-closed on the money path</w:t>
      </w:r>
      <w:r>
        <w:t xml:space="preserve">: if the limiter was meant to be running and is not, the payment webhook answers 503 and every remittance route refuses rather than proceeding unlimited. General intake stays fail-open deliberately, because a tenant who cannot raise a ticket during a Redis outage is an inconvenience where an unlimited remittance endpoint is an incident.</w:t>
      </w:r>
    </w:p>
    <w:p>
      <w:pPr>
        <w:pStyle w:val="ListParagraph"/>
        <w:numPr>
          <w:ilvl w:val="0"/>
          <w:numId w:val="2"/>
        </w:numPr>
        <w:spacing w:after="80" w:line="268"/>
      </w:pPr>
      <w:r>
        <w:t xml:space="preserve">✅ </w:t>
      </w:r>
      <w:r>
        <w:rPr>
          <w:b/>
          <w:bCs/>
        </w:rPr>
        <w:t xml:space="preserve">Backup and recoverability</w:t>
      </w:r>
      <w:r>
        <w:t xml:space="preserve"> — Supabase Pro </w:t>
      </w:r>
      <w:r>
        <w:rPr>
          <w:b/>
          <w:bCs/>
        </w:rPr>
        <w:t xml:space="preserve">daily backups</w:t>
      </w:r>
      <w:r>
        <w:t xml:space="preserve">, 7-day retention, </w:t>
      </w:r>
      <w:r>
        <w:rPr>
          <w:b/>
          <w:bCs/>
        </w:rPr>
        <w:t xml:space="preserve">stated RPO ~24 hours</w:t>
      </w:r>
      <w:r>
        <w:t xml:space="preserve">, plus </w:t>
      </w:r>
      <w:r>
        <w:rPr>
          <w:rFonts w:ascii="Consolas" w:cs="Consolas" w:eastAsia="Consolas" w:hAnsi="Consolas"/>
          <w:color w:val="9A3412"/>
          <w:sz w:val="18"/>
          <w:szCs w:val="18"/>
        </w:rPr>
        <w:t xml:space="preserve">npm run backup</w:t>
      </w:r>
      <w:r>
        <w:t xml:space="preserve"> for a verified copy taken at a moment of the operator's choosing. Point-in-Time Recovery was </w:t>
      </w:r>
      <w:r>
        <w:rPr>
          <w:b/>
          <w:bCs/>
        </w:rPr>
        <w:t xml:space="preserve">considered and declined</w:t>
      </w:r>
      <w:r>
        <w:t xml:space="preserve"> on a recorded basis: a day of ledger entries is reconstructible from gateway records and the bank statement, and PITR covers Postgres only — it would protect no identity document or payment proof. Full reasoning, the restore procedure and the quarterly drill: </w:t>
      </w:r>
      <w:r>
        <w:rPr>
          <w:rFonts w:ascii="Consolas" w:cs="Consolas" w:eastAsia="Consolas" w:hAnsi="Consolas"/>
          <w:color w:val="9A3412"/>
          <w:sz w:val="18"/>
          <w:szCs w:val="18"/>
        </w:rPr>
        <w:t xml:space="preserve">BACKUP_AND_RESTORE.md</w:t>
      </w:r>
      <w:r>
        <w:t xml:space="preserve">. ⚠️ The stated RPO is only honest while a day's transactions remain re-keyable by one person; that is written down as a review trigger, not an assumption.</w:t>
      </w:r>
    </w:p>
    <w:p>
      <w:pPr>
        <w:pStyle w:val="ListParagraph"/>
        <w:numPr>
          <w:ilvl w:val="0"/>
          <w:numId w:val="2"/>
        </w:numPr>
        <w:spacing w:after="80" w:line="268"/>
      </w:pPr>
      <w:r>
        <w:t xml:space="preserve">⛔ No external penetration test yet.</w:t>
      </w:r>
    </w:p>
    <w:p>
      <w:pPr>
        <w:pStyle w:val="ListParagraph"/>
        <w:numPr>
          <w:ilvl w:val="0"/>
          <w:numId w:val="2"/>
        </w:numPr>
        <w:spacing w:after="80" w:line="268"/>
      </w:pPr>
      <w:r>
        <w:t xml:space="preserve">⛔ </w:t>
      </w:r>
      <w:r>
        <w:rPr>
          <w:b/>
          <w:bCs/>
        </w:rPr>
        <w:t xml:space="preserve">Storage backup is unconfirmed.</w:t>
      </w:r>
      <w:r>
        <w:t xml:space="preserve"> Every line above about backups concerns </w:t>
      </w:r>
      <w:r>
        <w:rPr>
          <w:b/>
          <w:bCs/>
        </w:rPr>
        <w:t xml:space="preserve">Postgres</w:t>
      </w:r>
      <w:r>
        <w:t xml:space="preserve">. Whether Supabase's daily backup includes Storage objects — the identity documents, work-order photographs, vendor KYC, payment proofs and payout evidence — is </w:t>
      </w:r>
      <w:r>
        <w:rPr>
          <w:b/>
          <w:bCs/>
        </w:rPr>
        <w:t xml:space="preserve">not documented and has not been confirmed</w:t>
      </w:r>
      <w:r>
        <w:t xml:space="preserve">. It must be answered with Supabase before cutover. If the answer is no, the most sensitive material this system holds has no backup, which is a larger gap than the one PITR would have closed. Raised 20 Sept 2026.</w:t>
      </w:r>
    </w:p>
    <w:p>
      <w:pPr>
        <w:pBdr>
          <w:bottom w:val="single" w:color="D0D5DD" w:sz="6" w:space="6"/>
        </w:pBdr>
        <w:spacing w:after="120"/>
      </w:pPr>
    </w:p>
    <w:p>
      <w:pPr>
        <w:pStyle w:val="Heading2"/>
        <w:spacing w:after="140" w:before="300"/>
      </w:pPr>
      <w:r>
        <w:t xml:space="preserve">9. Breach procedure (NDPA s.40 — 72 hours)</w:t>
      </w:r>
    </w:p>
    <w:p>
      <w:pPr>
        <w:spacing w:after="140" w:line="268"/>
      </w:pPr>
      <w:r>
        <w:t xml:space="preserve">⛔ </w:t>
      </w:r>
      <w:r>
        <w:rPr>
          <w:b/>
          <w:bCs/>
        </w:rPr>
        <w:t xml:space="preserve">Not written.</w:t>
      </w:r>
      <w:r>
        <w:t xml:space="preserve"> Needs, at minimum: who declares a breach, how the audit trail and </w:t>
      </w:r>
      <w:r>
        <w:rPr>
          <w:rFonts w:ascii="Consolas" w:cs="Consolas" w:eastAsia="Consolas" w:hAnsi="Consolas"/>
          <w:color w:val="9A3412"/>
          <w:sz w:val="18"/>
          <w:szCs w:val="18"/>
        </w:rPr>
        <w:t xml:space="preserve">gateway_events</w:t>
      </w:r>
      <w:r>
        <w:t xml:space="preserve"> are used to scope it, who notifies the NDPC within 72 hours, when data subjects are told, and where it is recorded. </w:t>
      </w:r>
      <w:r>
        <w:rPr>
          <w:b/>
          <w:bCs/>
        </w:rPr>
        <w:t xml:space="preserve">This should exist before go-live</w:t>
      </w:r>
      <w:r>
        <w:t xml:space="preserve"> — a breach procedure written during a breach is not a procedure.</w:t>
      </w:r>
    </w:p>
    <w:p>
      <w:pPr>
        <w:pBdr>
          <w:bottom w:val="single" w:color="D0D5DD" w:sz="6" w:space="6"/>
        </w:pBdr>
        <w:spacing w:after="120"/>
      </w:pPr>
    </w:p>
    <w:p>
      <w:pPr>
        <w:pStyle w:val="Heading2"/>
        <w:spacing w:after="140" w:before="300"/>
      </w:pPr>
      <w:r>
        <w:t xml:space="preserve">10. Cross-border transfers</w:t>
      </w:r>
    </w:p>
    <w:p>
      <w:pPr>
        <w:spacing w:after="140" w:line="268"/>
      </w:pPr>
      <w:r>
        <w:t xml:space="preserve">Supabase, Vercel, Anthropic, Sentry and Upstash process outside Nigeria. NDPA restricts transfers to countries without adequate protection.</w:t>
      </w:r>
    </w:p>
    <w:p>
      <w:pPr>
        <w:spacing w:after="140" w:line="268"/>
      </w:pPr>
      <w:r>
        <w:t xml:space="preserve">✅ </w:t>
      </w:r>
      <w:r>
        <w:rPr>
          <w:b/>
          <w:bCs/>
        </w:rPr>
        <w:t xml:space="preserve">Answered 2026-09-20 — see </w:t>
      </w:r>
      <w:r>
        <w:rPr>
          <w:rFonts w:ascii="Consolas" w:cs="Consolas" w:eastAsia="Consolas" w:hAnsi="Consolas"/>
          <w:b/>
          <w:bCs/>
          <w:color w:val="9A3412"/>
          <w:sz w:val="18"/>
          <w:szCs w:val="18"/>
        </w:rPr>
        <w:t xml:space="preserve">CROSS_BORDER_TRANSFER_BASIS.md</w:t>
      </w:r>
      <w:r>
        <w:rPr>
          <w:b/>
          <w:bCs/>
        </w:rPr>
        <w:t xml:space="preserve">.</w:t>
      </w:r>
      <w:r>
        <w:t xml:space="preserve"> Production Supabase is </w:t>
      </w:r>
      <w:r>
        <w:rPr>
          <w:rFonts w:ascii="Consolas" w:cs="Consolas" w:eastAsia="Consolas" w:hAnsi="Consolas"/>
          <w:color w:val="9A3412"/>
          <w:sz w:val="18"/>
          <w:szCs w:val="18"/>
        </w:rPr>
        <w:t xml:space="preserve">eu-west-1</w:t>
      </w:r>
      <w:r>
        <w:t xml:space="preserve"> and Vercel is </w:t>
      </w:r>
      <w:r>
        <w:rPr>
          <w:rFonts w:ascii="Consolas" w:cs="Consolas" w:eastAsia="Consolas" w:hAnsi="Consolas"/>
          <w:color w:val="9A3412"/>
          <w:sz w:val="18"/>
          <w:szCs w:val="18"/>
        </w:rPr>
        <w:t xml:space="preserve">dub1</w:t>
      </w:r>
      <w:r>
        <w:t xml:space="preserve">, both Ireland. The basis for every row in §4 is </w:t>
      </w:r>
      <w:r>
        <w:rPr>
          <w:b/>
          <w:bCs/>
        </w:rPr>
        <w:t xml:space="preserve">contractual clauses under s.41</w:t>
      </w:r>
      <w:r>
        <w:t xml:space="preserve">, because GAID 2025 repealed the NDPR whitelist and the NDPC has issued no adequacy decision for any country — so hosting in the EU supplies no basis on its own.</w:t>
      </w:r>
    </w:p>
    <w:p>
      <w:pPr>
        <w:spacing w:after="140" w:line="268"/>
      </w:pPr>
      <w:r>
        <w:t xml:space="preserve">⚠️ The sentence above this one says five processors work outside Nigeria. That count is wrong; it is closer to eleven. Paystack and Flutterwave are the only plausible exceptions and only if their hosting is Nigerian, which is one of the open questions in that document.</w:t>
      </w:r>
    </w:p>
    <w:p>
      <w:pPr>
        <w:spacing w:after="140" w:line="268"/>
      </w:pPr>
      <w:r>
        <w:t xml:space="preserve">📌 It also means the transfer basis and the thirteen unsigned DPAs (§11 row 2) are </w:t>
      </w:r>
      <w:r>
        <w:rPr>
          <w:b/>
          <w:bCs/>
        </w:rPr>
        <w:t xml:space="preserve">one piece of work</w:t>
      </w:r>
      <w:r>
        <w:t xml:space="preserve">: a DPA without transfer clauses does not discharge s.41. Still a working document pending DPO and Legal review.</w:t>
      </w:r>
    </w:p>
    <w:p>
      <w:pPr>
        <w:pBdr>
          <w:bottom w:val="single" w:color="D0D5DD" w:sz="6" w:space="6"/>
        </w:pBdr>
        <w:spacing w:after="120"/>
      </w:pPr>
    </w:p>
    <w:p>
      <w:pPr>
        <w:pStyle w:val="Heading2"/>
        <w:spacing w:after="140" w:before="300"/>
      </w:pPr>
      <w:r>
        <w:t xml:space="preserve">11. Summary of what the board must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AECF0" w:val="clear"/>
            <w:tcMar>
              <w:top w:type="dxa" w:w="70"/>
              <w:left w:type="dxa" w:w="110"/>
              <w:bottom w:type="dxa" w:w="70"/>
              <w:right w:type="dxa" w:w="110"/>
            </w:tcMar>
          </w:tcPr>
          <w:p>
            <w:pPr>
              <w:spacing w:after="0"/>
            </w:pPr>
            <w:r>
              <w:rPr>
                <w:b/>
                <w:bCs/>
                <w:sz w:val="18"/>
                <w:szCs w:val="18"/>
              </w:rPr>
              <w:t xml:space="preserve">#</w:t>
            </w:r>
          </w:p>
        </w:tc>
        <w:tc>
          <w:tcPr>
            <w:tcW w:type="dxa" w:w="3120"/>
            <w:shd w:fill="EAECF0" w:val="clear"/>
            <w:tcMar>
              <w:top w:type="dxa" w:w="70"/>
              <w:left w:type="dxa" w:w="110"/>
              <w:bottom w:type="dxa" w:w="70"/>
              <w:right w:type="dxa" w:w="110"/>
            </w:tcMar>
          </w:tcPr>
          <w:p>
            <w:pPr>
              <w:spacing w:after="0"/>
            </w:pPr>
            <w:r>
              <w:rPr>
                <w:b/>
                <w:bCs/>
                <w:sz w:val="18"/>
                <w:szCs w:val="18"/>
              </w:rPr>
              <w:t xml:space="preserve">Action</w:t>
            </w:r>
          </w:p>
        </w:tc>
        <w:tc>
          <w:tcPr>
            <w:tcW w:type="dxa" w:w="3120"/>
            <w:shd w:fill="EAECF0" w:val="clear"/>
            <w:tcMar>
              <w:top w:type="dxa" w:w="70"/>
              <w:left w:type="dxa" w:w="110"/>
              <w:bottom w:type="dxa" w:w="70"/>
              <w:right w:type="dxa" w:w="110"/>
            </w:tcMar>
          </w:tcPr>
          <w:p>
            <w:pPr>
              <w:spacing w:after="0"/>
            </w:pPr>
            <w:r>
              <w:rPr>
                <w:b/>
                <w:bCs/>
                <w:sz w:val="18"/>
                <w:szCs w:val="18"/>
              </w:rPr>
              <w:t xml:space="preserve">Owner</w:t>
            </w:r>
          </w:p>
        </w:tc>
      </w:tr>
      <w:tr>
        <w:tc>
          <w:tcPr>
            <w:tcW w:type="dxa" w:w="3120"/>
            <w:tcMar>
              <w:top w:type="dxa" w:w="70"/>
              <w:left w:type="dxa" w:w="110"/>
              <w:bottom w:type="dxa" w:w="70"/>
              <w:right w:type="dxa" w:w="110"/>
            </w:tcMar>
          </w:tcPr>
          <w:p>
            <w:pPr>
              <w:spacing w:after="0"/>
            </w:pPr>
            <w:r>
              <w:rPr>
                <w:sz w:val="18"/>
                <w:szCs w:val="18"/>
              </w:rPr>
              <w:t xml:space="preserve">1</w:t>
            </w:r>
          </w:p>
        </w:tc>
        <w:tc>
          <w:tcPr>
            <w:tcW w:type="dxa" w:w="3120"/>
            <w:tcMar>
              <w:top w:type="dxa" w:w="70"/>
              <w:left w:type="dxa" w:w="110"/>
              <w:bottom w:type="dxa" w:w="70"/>
              <w:right w:type="dxa" w:w="110"/>
            </w:tcMar>
          </w:tcPr>
          <w:p>
            <w:pPr>
              <w:spacing w:after="0"/>
            </w:pPr>
            <w:r>
              <w:rPr>
                <w:sz w:val="18"/>
                <w:szCs w:val="18"/>
              </w:rPr>
              <w:t xml:space="preserve">~~Designate a DPO~~ — </w:t>
            </w:r>
            <w:r>
              <w:rPr>
                <w:b/>
                <w:bCs/>
                <w:sz w:val="18"/>
                <w:szCs w:val="18"/>
              </w:rPr>
              <w:t xml:space="preserve">Ebube Ikechwu</w:t>
            </w:r>
            <w:r>
              <w:rPr>
                <w:sz w:val="18"/>
                <w:szCs w:val="18"/>
              </w:rPr>
              <w:t xml:space="preserve">, 2026-08-19</w:t>
            </w:r>
          </w:p>
        </w:tc>
        <w:tc>
          <w:tcPr>
            <w:tcW w:type="dxa" w:w="3120"/>
            <w:tcMar>
              <w:top w:type="dxa" w:w="70"/>
              <w:left w:type="dxa" w:w="110"/>
              <w:bottom w:type="dxa" w:w="70"/>
              <w:right w:type="dxa" w:w="110"/>
            </w:tcMar>
          </w:tcPr>
          <w:p>
            <w:pPr>
              <w:spacing w:after="0"/>
            </w:pPr>
            <w:r>
              <w:rPr>
                <w:sz w:val="18"/>
                <w:szCs w:val="18"/>
              </w:rPr>
              <w:t xml:space="preserve">Board ✅</w:t>
            </w:r>
          </w:p>
        </w:tc>
      </w:tr>
      <w:tr>
        <w:tc>
          <w:tcPr>
            <w:tcW w:type="dxa" w:w="3120"/>
            <w:tcMar>
              <w:top w:type="dxa" w:w="70"/>
              <w:left w:type="dxa" w:w="110"/>
              <w:bottom w:type="dxa" w:w="70"/>
              <w:right w:type="dxa" w:w="110"/>
            </w:tcMar>
          </w:tcPr>
          <w:p>
            <w:pPr>
              <w:spacing w:after="0"/>
            </w:pPr>
            <w:r>
              <w:rPr>
                <w:sz w:val="18"/>
                <w:szCs w:val="18"/>
              </w:rPr>
              <w:t xml:space="preserve">2</w:t>
            </w:r>
          </w:p>
        </w:tc>
        <w:tc>
          <w:tcPr>
            <w:tcW w:type="dxa" w:w="3120"/>
            <w:tcMar>
              <w:top w:type="dxa" w:w="70"/>
              <w:left w:type="dxa" w:w="110"/>
              <w:bottom w:type="dxa" w:w="70"/>
              <w:right w:type="dxa" w:w="110"/>
            </w:tcMar>
          </w:tcPr>
          <w:p>
            <w:pPr>
              <w:spacing w:after="0"/>
            </w:pPr>
            <w:r>
              <w:rPr>
                <w:sz w:val="18"/>
                <w:szCs w:val="18"/>
              </w:rPr>
              <w:t xml:space="preserve">Sign 13 processor DPAs — drafts prepared, see </w:t>
            </w:r>
            <w:r>
              <w:rPr>
                <w:rFonts w:ascii="Consolas" w:cs="Consolas" w:eastAsia="Consolas" w:hAnsi="Consolas"/>
                <w:color w:val="9A3412"/>
                <w:sz w:val="18"/>
                <w:szCs w:val="18"/>
              </w:rPr>
              <w:t xml:space="preserve">DPA_TEMPLATE_AND_TRACKER.md</w:t>
            </w:r>
          </w:p>
        </w:tc>
        <w:tc>
          <w:tcPr>
            <w:tcW w:type="dxa" w:w="3120"/>
            <w:tcMar>
              <w:top w:type="dxa" w:w="70"/>
              <w:left w:type="dxa" w:w="110"/>
              <w:bottom w:type="dxa" w:w="70"/>
              <w:right w:type="dxa" w:w="110"/>
            </w:tcMar>
          </w:tcPr>
          <w:p>
            <w:pPr>
              <w:spacing w:after="0"/>
            </w:pPr>
            <w:r>
              <w:rPr>
                <w:sz w:val="18"/>
                <w:szCs w:val="18"/>
              </w:rPr>
              <w:t xml:space="preserve">Legal</w:t>
            </w:r>
          </w:p>
        </w:tc>
      </w:tr>
      <w:tr>
        <w:tc>
          <w:tcPr>
            <w:tcW w:type="dxa" w:w="3120"/>
            <w:tcMar>
              <w:top w:type="dxa" w:w="70"/>
              <w:left w:type="dxa" w:w="110"/>
              <w:bottom w:type="dxa" w:w="70"/>
              <w:right w:type="dxa" w:w="110"/>
            </w:tcMar>
          </w:tcPr>
          <w:p>
            <w:pPr>
              <w:spacing w:after="0"/>
            </w:pPr>
            <w:r>
              <w:rPr>
                <w:sz w:val="18"/>
                <w:szCs w:val="18"/>
              </w:rPr>
              <w:t xml:space="preserve">3</w:t>
            </w:r>
          </w:p>
        </w:tc>
        <w:tc>
          <w:tcPr>
            <w:tcW w:type="dxa" w:w="3120"/>
            <w:tcMar>
              <w:top w:type="dxa" w:w="70"/>
              <w:left w:type="dxa" w:w="110"/>
              <w:bottom w:type="dxa" w:w="70"/>
              <w:right w:type="dxa" w:w="110"/>
            </w:tcMar>
          </w:tcPr>
          <w:p>
            <w:pPr>
              <w:spacing w:after="0"/>
            </w:pPr>
            <w:r>
              <w:rPr>
                <w:sz w:val="18"/>
                <w:szCs w:val="18"/>
              </w:rPr>
              <w:t xml:space="preserve">~~Write the breach procedure~~ — drafted 2026-09-20, </w:t>
            </w:r>
            <w:r>
              <w:rPr>
                <w:rFonts w:ascii="Consolas" w:cs="Consolas" w:eastAsia="Consolas" w:hAnsi="Consolas"/>
                <w:color w:val="9A3412"/>
                <w:sz w:val="18"/>
                <w:szCs w:val="18"/>
              </w:rPr>
              <w:t xml:space="preserve">BREACH_PROCEDURE.md</w:t>
            </w:r>
            <w:r>
              <w:rPr>
                <w:sz w:val="18"/>
                <w:szCs w:val="18"/>
              </w:rPr>
              <w:t xml:space="preserve">; </w:t>
            </w:r>
            <w:r>
              <w:rPr>
                <w:b/>
                <w:bCs/>
                <w:sz w:val="18"/>
                <w:szCs w:val="18"/>
              </w:rPr>
              <w:t xml:space="preserve">needs contacts + review</w:t>
            </w:r>
          </w:p>
        </w:tc>
        <w:tc>
          <w:tcPr>
            <w:tcW w:type="dxa" w:w="3120"/>
            <w:tcMar>
              <w:top w:type="dxa" w:w="70"/>
              <w:left w:type="dxa" w:w="110"/>
              <w:bottom w:type="dxa" w:w="70"/>
              <w:right w:type="dxa" w:w="110"/>
            </w:tcMar>
          </w:tcPr>
          <w:p>
            <w:pPr>
              <w:spacing w:after="0"/>
            </w:pPr>
            <w:r>
              <w:rPr>
                <w:sz w:val="18"/>
                <w:szCs w:val="18"/>
              </w:rPr>
              <w:t xml:space="preserve">DPO + legal 🔄</w:t>
            </w:r>
          </w:p>
        </w:tc>
      </w:tr>
      <w:tr>
        <w:tc>
          <w:tcPr>
            <w:tcW w:type="dxa" w:w="3120"/>
            <w:tcMar>
              <w:top w:type="dxa" w:w="70"/>
              <w:left w:type="dxa" w:w="110"/>
              <w:bottom w:type="dxa" w:w="70"/>
              <w:right w:type="dxa" w:w="110"/>
            </w:tcMar>
          </w:tcPr>
          <w:p>
            <w:pPr>
              <w:spacing w:after="0"/>
            </w:pPr>
            <w:r>
              <w:rPr>
                <w:sz w:val="18"/>
                <w:szCs w:val="18"/>
              </w:rPr>
              <w:t xml:space="preserve">4</w:t>
            </w:r>
          </w:p>
        </w:tc>
        <w:tc>
          <w:tcPr>
            <w:tcW w:type="dxa" w:w="3120"/>
            <w:tcMar>
              <w:top w:type="dxa" w:w="70"/>
              <w:left w:type="dxa" w:w="110"/>
              <w:bottom w:type="dxa" w:w="70"/>
              <w:right w:type="dxa" w:w="110"/>
            </w:tcMar>
          </w:tcPr>
          <w:p>
            <w:pPr>
              <w:spacing w:after="0"/>
            </w:pPr>
            <w:r>
              <w:rPr>
                <w:sz w:val="18"/>
                <w:szCs w:val="18"/>
              </w:rPr>
              <w:t xml:space="preserve">Publish the privacy notice</w:t>
            </w:r>
          </w:p>
        </w:tc>
        <w:tc>
          <w:tcPr>
            <w:tcW w:type="dxa" w:w="3120"/>
            <w:tcMar>
              <w:top w:type="dxa" w:w="70"/>
              <w:left w:type="dxa" w:w="110"/>
              <w:bottom w:type="dxa" w:w="70"/>
              <w:right w:type="dxa" w:w="110"/>
            </w:tcMar>
          </w:tcPr>
          <w:p>
            <w:pPr>
              <w:spacing w:after="0"/>
            </w:pPr>
            <w:r>
              <w:rPr>
                <w:sz w:val="18"/>
                <w:szCs w:val="18"/>
              </w:rPr>
              <w:t xml:space="preserve">Legal</w:t>
            </w:r>
          </w:p>
        </w:tc>
      </w:tr>
      <w:tr>
        <w:tc>
          <w:tcPr>
            <w:tcW w:type="dxa" w:w="3120"/>
            <w:tcMar>
              <w:top w:type="dxa" w:w="70"/>
              <w:left w:type="dxa" w:w="110"/>
              <w:bottom w:type="dxa" w:w="70"/>
              <w:right w:type="dxa" w:w="110"/>
            </w:tcMar>
          </w:tcPr>
          <w:p>
            <w:pPr>
              <w:spacing w:after="0"/>
            </w:pPr>
            <w:r>
              <w:rPr>
                <w:sz w:val="18"/>
                <w:szCs w:val="18"/>
              </w:rPr>
              <w:t xml:space="preserve">5</w:t>
            </w:r>
          </w:p>
        </w:tc>
        <w:tc>
          <w:tcPr>
            <w:tcW w:type="dxa" w:w="3120"/>
            <w:tcMar>
              <w:top w:type="dxa" w:w="70"/>
              <w:left w:type="dxa" w:w="110"/>
              <w:bottom w:type="dxa" w:w="70"/>
              <w:right w:type="dxa" w:w="110"/>
            </w:tcMar>
          </w:tcPr>
          <w:p>
            <w:pPr>
              <w:spacing w:after="0"/>
            </w:pPr>
            <w:r>
              <w:rPr>
                <w:sz w:val="18"/>
                <w:szCs w:val="18"/>
              </w:rPr>
              <w:t xml:space="preserve">~~Confirm cross-border transfer basis and hosting region~~ — drafted 2026-09-20, </w:t>
            </w:r>
            <w:r>
              <w:rPr>
                <w:rFonts w:ascii="Consolas" w:cs="Consolas" w:eastAsia="Consolas" w:hAnsi="Consolas"/>
                <w:color w:val="9A3412"/>
                <w:sz w:val="18"/>
                <w:szCs w:val="18"/>
              </w:rPr>
              <w:t xml:space="preserve">CROSS_BORDER_TRANSFER_BASIS.md</w:t>
            </w:r>
            <w:r>
              <w:rPr>
                <w:sz w:val="18"/>
                <w:szCs w:val="18"/>
              </w:rPr>
              <w:t xml:space="preserve">; </w:t>
            </w:r>
            <w:r>
              <w:rPr>
                <w:b/>
                <w:bCs/>
                <w:sz w:val="18"/>
                <w:szCs w:val="18"/>
              </w:rPr>
              <w:t xml:space="preserve">awaiting DPO review</w:t>
            </w:r>
          </w:p>
        </w:tc>
        <w:tc>
          <w:tcPr>
            <w:tcW w:type="dxa" w:w="3120"/>
            <w:tcMar>
              <w:top w:type="dxa" w:w="70"/>
              <w:left w:type="dxa" w:w="110"/>
              <w:bottom w:type="dxa" w:w="70"/>
              <w:right w:type="dxa" w:w="110"/>
            </w:tcMar>
          </w:tcPr>
          <w:p>
            <w:pPr>
              <w:spacing w:after="0"/>
            </w:pPr>
            <w:r>
              <w:rPr>
                <w:sz w:val="18"/>
                <w:szCs w:val="18"/>
              </w:rPr>
              <w:t xml:space="preserve">DPO 🔄</w:t>
            </w:r>
          </w:p>
        </w:tc>
      </w:tr>
      <w:tr>
        <w:tc>
          <w:tcPr>
            <w:tcW w:type="dxa" w:w="3120"/>
            <w:tcMar>
              <w:top w:type="dxa" w:w="70"/>
              <w:left w:type="dxa" w:w="110"/>
              <w:bottom w:type="dxa" w:w="70"/>
              <w:right w:type="dxa" w:w="110"/>
            </w:tcMar>
          </w:tcPr>
          <w:p>
            <w:pPr>
              <w:spacing w:after="0"/>
            </w:pPr>
            <w:r>
              <w:rPr>
                <w:sz w:val="18"/>
                <w:szCs w:val="18"/>
              </w:rPr>
              <w:t xml:space="preserve">6</w:t>
            </w:r>
          </w:p>
        </w:tc>
        <w:tc>
          <w:tcPr>
            <w:tcW w:type="dxa" w:w="3120"/>
            <w:tcMar>
              <w:top w:type="dxa" w:w="70"/>
              <w:left w:type="dxa" w:w="110"/>
              <w:bottom w:type="dxa" w:w="70"/>
              <w:right w:type="dxa" w:w="110"/>
            </w:tcMar>
          </w:tcPr>
          <w:p>
            <w:pPr>
              <w:spacing w:after="0"/>
            </w:pPr>
            <w:r>
              <w:rPr>
                <w:sz w:val="18"/>
                <w:szCs w:val="18"/>
              </w:rPr>
              <w:t xml:space="preserve">~~Write the data-subject-rights procedure~~ — drafted 2026-09-20, </w:t>
            </w:r>
            <w:r>
              <w:rPr>
                <w:rFonts w:ascii="Consolas" w:cs="Consolas" w:eastAsia="Consolas" w:hAnsi="Consolas"/>
                <w:color w:val="9A3412"/>
                <w:sz w:val="18"/>
                <w:szCs w:val="18"/>
              </w:rPr>
              <w:t xml:space="preserve">DATA_SUBJECT_RIGHTS_PROCEDURE.md</w:t>
            </w:r>
            <w:r>
              <w:rPr>
                <w:sz w:val="18"/>
                <w:szCs w:val="18"/>
              </w:rPr>
              <w:t xml:space="preserve">; </w:t>
            </w:r>
            <w:r>
              <w:rPr>
                <w:b/>
                <w:bCs/>
                <w:sz w:val="18"/>
                <w:szCs w:val="18"/>
              </w:rPr>
              <w:t xml:space="preserve">publishing still owed</w:t>
            </w:r>
          </w:p>
        </w:tc>
        <w:tc>
          <w:tcPr>
            <w:tcW w:type="dxa" w:w="3120"/>
            <w:tcMar>
              <w:top w:type="dxa" w:w="70"/>
              <w:left w:type="dxa" w:w="110"/>
              <w:bottom w:type="dxa" w:w="70"/>
              <w:right w:type="dxa" w:w="110"/>
            </w:tcMar>
          </w:tcPr>
          <w:p>
            <w:pPr>
              <w:spacing w:after="0"/>
            </w:pPr>
            <w:r>
              <w:rPr>
                <w:sz w:val="18"/>
                <w:szCs w:val="18"/>
              </w:rPr>
              <w:t xml:space="preserve">DPO 🔄</w:t>
            </w:r>
          </w:p>
        </w:tc>
      </w:tr>
      <w:tr>
        <w:tc>
          <w:tcPr>
            <w:tcW w:type="dxa" w:w="3120"/>
            <w:tcMar>
              <w:top w:type="dxa" w:w="70"/>
              <w:left w:type="dxa" w:w="110"/>
              <w:bottom w:type="dxa" w:w="70"/>
              <w:right w:type="dxa" w:w="110"/>
            </w:tcMar>
          </w:tcPr>
          <w:p>
            <w:pPr>
              <w:spacing w:after="0"/>
            </w:pPr>
            <w:r>
              <w:rPr>
                <w:sz w:val="18"/>
                <w:szCs w:val="18"/>
              </w:rPr>
              <w:t xml:space="preserve">7</w:t>
            </w:r>
          </w:p>
        </w:tc>
        <w:tc>
          <w:tcPr>
            <w:tcW w:type="dxa" w:w="3120"/>
            <w:tcMar>
              <w:top w:type="dxa" w:w="70"/>
              <w:left w:type="dxa" w:w="110"/>
              <w:bottom w:type="dxa" w:w="70"/>
              <w:right w:type="dxa" w:w="110"/>
            </w:tcMar>
          </w:tcPr>
          <w:p>
            <w:pPr>
              <w:spacing w:after="0"/>
            </w:pPr>
            <w:r>
              <w:rPr>
                <w:sz w:val="18"/>
                <w:szCs w:val="18"/>
              </w:rPr>
              <w:t xml:space="preserve">Decide whether special-category data is necessary at all</w:t>
            </w:r>
          </w:p>
        </w:tc>
        <w:tc>
          <w:tcPr>
            <w:tcW w:type="dxa" w:w="3120"/>
            <w:tcMar>
              <w:top w:type="dxa" w:w="70"/>
              <w:left w:type="dxa" w:w="110"/>
              <w:bottom w:type="dxa" w:w="70"/>
              <w:right w:type="dxa" w:w="110"/>
            </w:tcMar>
          </w:tcPr>
          <w:p>
            <w:pPr>
              <w:spacing w:after="0"/>
            </w:pPr>
            <w:r>
              <w:rPr>
                <w:sz w:val="18"/>
                <w:szCs w:val="18"/>
              </w:rPr>
              <w:t xml:space="preserve">Board</w:t>
            </w:r>
          </w:p>
        </w:tc>
      </w:tr>
      <w:tr>
        <w:tc>
          <w:tcPr>
            <w:tcW w:type="dxa" w:w="3120"/>
            <w:tcMar>
              <w:top w:type="dxa" w:w="70"/>
              <w:left w:type="dxa" w:w="110"/>
              <w:bottom w:type="dxa" w:w="70"/>
              <w:right w:type="dxa" w:w="110"/>
            </w:tcMar>
          </w:tcPr>
          <w:p>
            <w:pPr>
              <w:spacing w:after="0"/>
            </w:pPr>
            <w:r>
              <w:rPr>
                <w:sz w:val="18"/>
                <w:szCs w:val="18"/>
              </w:rPr>
              <w:t xml:space="preserve">8</w:t>
            </w:r>
          </w:p>
        </w:tc>
        <w:tc>
          <w:tcPr>
            <w:tcW w:type="dxa" w:w="3120"/>
            <w:tcMar>
              <w:top w:type="dxa" w:w="70"/>
              <w:left w:type="dxa" w:w="110"/>
              <w:bottom w:type="dxa" w:w="70"/>
              <w:right w:type="dxa" w:w="110"/>
            </w:tcMar>
          </w:tcPr>
          <w:p>
            <w:pPr>
              <w:spacing w:after="0"/>
            </w:pPr>
            <w:r>
              <w:rPr>
                <w:sz w:val="18"/>
                <w:szCs w:val="18"/>
              </w:rPr>
              <w:t xml:space="preserve">Commission an external penetration test</w:t>
            </w:r>
          </w:p>
        </w:tc>
        <w:tc>
          <w:tcPr>
            <w:tcW w:type="dxa" w:w="3120"/>
            <w:tcMar>
              <w:top w:type="dxa" w:w="70"/>
              <w:left w:type="dxa" w:w="110"/>
              <w:bottom w:type="dxa" w:w="70"/>
              <w:right w:type="dxa" w:w="110"/>
            </w:tcMar>
          </w:tcPr>
          <w:p>
            <w:pPr>
              <w:spacing w:after="0"/>
            </w:pPr>
            <w:r>
              <w:rPr>
                <w:sz w:val="18"/>
                <w:szCs w:val="18"/>
              </w:rPr>
              <w:t xml:space="preserve">Board</w:t>
            </w:r>
          </w:p>
        </w:tc>
      </w:tr>
      <w:tr>
        <w:tc>
          <w:tcPr>
            <w:tcW w:type="dxa" w:w="3120"/>
            <w:tcMar>
              <w:top w:type="dxa" w:w="70"/>
              <w:left w:type="dxa" w:w="110"/>
              <w:bottom w:type="dxa" w:w="70"/>
              <w:right w:type="dxa" w:w="110"/>
            </w:tcMar>
          </w:tcPr>
          <w:p>
            <w:pPr>
              <w:spacing w:after="0"/>
            </w:pPr>
            <w:r>
              <w:rPr>
                <w:sz w:val="18"/>
                <w:szCs w:val="18"/>
              </w:rPr>
              <w:t xml:space="preserve">9</w:t>
            </w:r>
          </w:p>
        </w:tc>
        <w:tc>
          <w:tcPr>
            <w:tcW w:type="dxa" w:w="3120"/>
            <w:tcMar>
              <w:top w:type="dxa" w:w="70"/>
              <w:left w:type="dxa" w:w="110"/>
              <w:bottom w:type="dxa" w:w="70"/>
              <w:right w:type="dxa" w:w="110"/>
            </w:tcMar>
          </w:tcPr>
          <w:p>
            <w:pPr>
              <w:spacing w:after="0"/>
            </w:pPr>
            <w:r>
              <w:rPr>
                <w:sz w:val="18"/>
                <w:szCs w:val="18"/>
              </w:rPr>
              <w:t xml:space="preserve">Confirm NDPC registration requirement</w:t>
            </w:r>
          </w:p>
        </w:tc>
        <w:tc>
          <w:tcPr>
            <w:tcW w:type="dxa" w:w="3120"/>
            <w:tcMar>
              <w:top w:type="dxa" w:w="70"/>
              <w:left w:type="dxa" w:w="110"/>
              <w:bottom w:type="dxa" w:w="70"/>
              <w:right w:type="dxa" w:w="110"/>
            </w:tcMar>
          </w:tcPr>
          <w:p>
            <w:pPr>
              <w:spacing w:after="0"/>
            </w:pPr>
            <w:r>
              <w:rPr>
                <w:sz w:val="18"/>
                <w:szCs w:val="18"/>
              </w:rPr>
              <w:t xml:space="preserve">Legal</w:t>
            </w:r>
          </w:p>
        </w:tc>
      </w:tr>
    </w:tbl>
    <w:p>
      <w:pPr>
        <w:spacing w:after="160"/>
      </w:pPr>
    </w:p>
    <w:p>
      <w:pPr>
        <w:spacing w:after="140" w:line="268"/>
      </w:pPr>
      <w:r>
        <w:rPr>
          <w:b/>
          <w:bCs/>
        </w:rPr>
        <w:t xml:space="preserve">Technical items closed during this review:</w:t>
      </w:r>
      <w:r>
        <w:t xml:space="preserve"> the 90-day retention purge now runs. </w:t>
      </w:r>
      <w:r>
        <w:rPr>
          <w:b/>
          <w:bCs/>
        </w:rPr>
        <w:t xml:space="preserve">Technical items still open:</w:t>
      </w:r>
      <w:r>
        <w:t xml:space="preserve"> the 6-year approved-application clock, a subject-access export, and a documented bias audit of document extraction.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lvl>
    <w:lvl w:ilvl="1" w15:tentative="1">
      <w:start w:val="1"/>
      <w:numFmt w:val="bullet"/>
      <w:lvlText w:val="◦"/>
      <w:lvlJc w:val="left"/>
      <w:pPr>
        <w:ind w:left="760" w:hanging="300"/>
      </w:pPr>
    </w:lvl>
    <w:lvl w:ilvl="2" w15:tentative="1">
      <w:start w:val="1"/>
      <w:numFmt w:val="bullet"/>
      <w:lvlText w:val="▪"/>
      <w:lvlJc w:val="left"/>
      <w:pPr>
        <w:ind w:left="1120" w:hanging="30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pPr>
    <w:rPr>
      <w:rFonts w:ascii="Calibri" w:cs="Calibri" w:eastAsia="Calibri" w:hAnsi="Calibri"/>
      <w:b/>
      <w:bCs/>
      <w:color w:val="003366"/>
      <w:sz w:val="34"/>
      <w:szCs w:val="34"/>
    </w:rPr>
  </w:style>
  <w:style w:type="paragraph" w:styleId="Heading2">
    <w:name w:val="Heading 2"/>
    <w:basedOn w:val="Normal"/>
    <w:next w:val="Normal"/>
    <w:qFormat/>
    <w:rPr>
      <w:rFonts w:ascii="Calibri" w:cs="Calibri" w:eastAsia="Calibri" w:hAnsi="Calibri"/>
      <w:b/>
      <w:bCs/>
      <w:color w:val="003366"/>
      <w:sz w:val="25"/>
      <w:szCs w:val="25"/>
    </w:rPr>
  </w:style>
  <w:style w:type="paragraph" w:styleId="Heading3">
    <w:name w:val="Heading 3"/>
    <w:basedOn w:val="Normal"/>
    <w:next w:val="Normal"/>
    <w:qFormat/>
    <w:rPr>
      <w:rFonts w:ascii="Calibri" w:cs="Calibri" w:eastAsia="Calibri" w:hAnsi="Calibri"/>
      <w:b/>
      <w:bCs/>
      <w:color w:val="1F4E79"/>
      <w:sz w:val="22"/>
      <w:szCs w:val="22"/>
    </w:rPr>
  </w:style>
  <w:style w:type="paragraph" w:styleId="Heading4">
    <w:name w:val="Heading 4"/>
    <w:basedOn w:val="Normal"/>
    <w:next w:val="Normal"/>
    <w:qFormat/>
    <w:rPr>
      <w:rFonts w:ascii="Calibri" w:cs="Calibri" w:eastAsia="Calibri" w:hAnsi="Calibri"/>
      <w:b/>
      <w:bCs/>
      <w:color w:val="374151"/>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2026-09-24T06:41:11.711Z</dcterms:created>
  <dcterms:modified xsi:type="dcterms:W3CDTF">2026-09-24T06:41:11.711Z</dcterms:modified>
</cp:coreProperties>
</file>

<file path=docProps/custom.xml><?xml version="1.0" encoding="utf-8"?>
<Properties xmlns="http://schemas.openxmlformats.org/officeDocument/2006/custom-properties" xmlns:vt="http://schemas.openxmlformats.org/officeDocument/2006/docPropsVTypes"/>
</file>