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6B7280"/>
          <w:sz w:val="16"/>
          <w:szCs w:val="16"/>
        </w:rPr>
        <w:t xml:space="preserve">OE GROUP — FOR LEGAL REVIEW · generated from the repository, 24 September 2026</w:t>
      </w:r>
    </w:p>
    <w:p>
      <w:pPr>
        <w:pStyle w:val="Heading1"/>
        <w:spacing w:after="140" w:before="0"/>
      </w:pPr>
      <w:r>
        <w:t xml:space="preserve">Sign-off schedule — OE Group IPMS legal and data-protection review</w:t>
      </w:r>
    </w:p>
    <w:p>
      <w:pPr>
        <w:spacing w:after="140" w:line="268"/>
      </w:pPr>
      <w:r>
        <w:rPr>
          <w:b/>
          <w:bCs/>
        </w:rPr>
        <w:t xml:space="preserve">To be completed and returned by the reviewer.</w:t>
      </w:r>
      <w:r>
        <w:t xml:space="preserve"> This is the document that closes the review. A marked-up policy on its own does not tell us whether we may launch; each line below does.</w:t>
      </w:r>
    </w:p>
    <w:p>
      <w:pPr>
        <w:spacing w:after="140" w:line="268"/>
      </w:pPr>
      <w:r>
        <w:t xml:space="preserve">Please complete every row. </w:t>
      </w:r>
      <w:r>
        <w:rPr>
          <w:b/>
          <w:bCs/>
        </w:rPr>
        <w:t xml:space="preserve">"Not approved" with a reason is a useful answer</w:t>
      </w:r>
      <w:r>
        <w:t xml:space="preserve"> — it tells us what to build or change. A blank row blocks go-live, because we cannot tell whether it was considered and rejected or simply missed.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Reviewer</w:t>
            </w:r>
          </w:p>
        </w:tc>
        <w:tc>
          <w:tcPr>
            <w:tcW w:type="dxa" w:w="468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Protection Officer / Legal Counsel / both </w:t>
            </w:r>
            <w:r>
              <w:rPr>
                <w:i/>
                <w:iCs/>
                <w:sz w:val="18"/>
                <w:szCs w:val="18"/>
              </w:rPr>
              <w:t xml:space="preserve">(delete as applicable)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 of review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Signature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D0D5DD" w:sz="6" w:space="6"/>
        </w:pBdr>
        <w:spacing w:after="120"/>
      </w:pPr>
    </w:p>
    <w:p>
      <w:pPr>
        <w:pStyle w:val="Heading2"/>
        <w:spacing w:after="140" w:before="300"/>
      </w:pPr>
      <w:r>
        <w:t xml:space="preserve">A. The two public policies — already live on the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872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Approved as drafted?</w:t>
            </w:r>
          </w:p>
        </w:tc>
        <w:tc>
          <w:tcPr>
            <w:tcW w:type="dxa" w:w="1872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If not, what must change</w:t>
            </w:r>
          </w:p>
        </w:tc>
        <w:tc>
          <w:tcPr>
            <w:tcW w:type="dxa" w:w="1872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Terms of Service — adequate as consumer-facing terms under Nigerian law for a business collecting rent, service charges and refundable deposits for third-party owners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Yes ☐ No ☐ With the markup attached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Refund Policy — same question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Yes ☐ No ☐ With the markup attached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A3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Terms cl. 3 names Paystack and Flutterwave. Should processors be named at all, or described generically?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Name them ☐ Generic wording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A4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Refunds cl. 4 publishes fixed service levels (2 / 10 / 5 business days). Is publishing these wise, and are they defensible if missed?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Keep ☐ Change to: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A5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Terms cl. 9 (liability) and cl. 11 (governing law) — sufficient? Anything required by law missing from either policy?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Sufficient ☐ Additions required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t xml:space="preserve">B. Privacy notice — drafted, never published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B1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 for publication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Yes ☐ No ☐ With the markup attached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B2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DPO name to publish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B3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DPO contact address to publish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B4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bracketed open items in the draft are decided as follows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(attach or list)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B5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TFML has approved it (one notice serves both brands)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Yes — by: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B6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OEA has approved it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Yes — by: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t xml:space="preserve">C. NDPC registration — open, and on the critical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Does OE Group meet the threshold requiring registration with the Commission?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Yes ☐ No — reasoning attached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yes: registration filed on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yes: certificate or acknowledgement reference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C4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Must the DPO be separately registered, and has that been done?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N/A ☐ Done — ref: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t xml:space="preserve">D. Processor agreements — thirteen, none signed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NDPA addendum is fit to send to processors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Yes ☐ No — changes attached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list of thirteen processors is complete and correctly characterised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Confirmed ☐ Corrections attached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Who signs on OE Group's behalf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Which processors will not accept the addendum, and what we do instead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(attach)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Target date for all thirteen executed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t xml:space="preserve">E. Cross-border transfers under GAID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basis relied on — contractual clauses under s.41, carried by the DPAs, with production hosted in Ireland — is correct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Confirmed ☐ Corrected as attached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E2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Does this require the Commission's approval? </w:t>
            </w:r>
            <w:r>
              <w:rPr>
                <w:i/>
                <w:iCs/>
                <w:sz w:val="18"/>
                <w:szCs w:val="18"/>
              </w:rPr>
              <w:t xml:space="preserve">(commentary is split; we need a position we can rely on)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No ☐ Yes — and the steps are: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t xml:space="preserve">F.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Breach procedure approved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Yes ☐ No — changes attached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NDPC contact point for a 72-hour notification </w:t>
            </w:r>
            <w:r>
              <w:rPr>
                <w:i/>
                <w:iCs/>
                <w:sz w:val="18"/>
                <w:szCs w:val="18"/>
              </w:rPr>
              <w:t xml:space="preserve">(name, address, portal)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Internal escalation contacts to insert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F4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Data-subject-rights procedure approved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Yes ☐ No — changes attached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F5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Must the DSR procedure be published externally, or is internal sufficient?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Publish ☐ Internal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t xml:space="preserve">G. Special-category data — for the board, on your advice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234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tenancy application collects religion and marital status. Our reading is that not collecting them is the cleanest NDPA position. Do you agree?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Agree — stop collecting ☐ Disagree — lawful basis is: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they are kept, what must the form say at the point of collection?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t xml:space="preserve">H. Anything we have not asked about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shd w:fill="EAEC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H1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Risks or obligations this pack does not address, that must be dealt with before a public launch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H2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Your estimate of when A to G will be complete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D0D5DD" w:sz="6" w:space="6"/>
        </w:pBdr>
        <w:spacing w:after="120"/>
      </w:pPr>
    </w:p>
    <w:p>
      <w:pPr>
        <w:pStyle w:val="Heading3"/>
        <w:spacing w:after="140" w:before="300"/>
      </w:pPr>
      <w:r>
        <w:t xml:space="preserve">What happens to your answers</w:t>
      </w:r>
    </w:p>
    <w:p>
      <w:pPr>
        <w:spacing w:after="140" w:line="268"/>
      </w:pPr>
      <w:r>
        <w:t xml:space="preserve">Rows approved here are recorded against the go-live plan and the build proceeds. Rows not approved become work items before launch. </w:t>
      </w:r>
      <w:r>
        <w:rPr>
          <w:b/>
          <w:bCs/>
        </w:rPr>
        <w:t xml:space="preserve">Section C and section D are hard gates: the system will not go live without them</w:t>
      </w:r>
      <w:r>
        <w:t xml:space="preserve">, because they are the two that cannot be fixed after the fact.</w:t>
      </w:r>
    </w:p>
    <w:p>
      <w:pPr>
        <w:spacing w:after="140" w:line="268"/>
      </w:pPr>
      <w:r>
        <w:t xml:space="preserve">Markup should be made on the Word files supplied, with tracked changes or comments. Please return this schedule alongside them.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  <w:lvl w:ilvl="1" w15:tentative="1">
      <w:start w:val="1"/>
      <w:numFmt w:val="bullet"/>
      <w:lvlText w:val="◦"/>
      <w:lvlJc w:val="left"/>
      <w:pPr>
        <w:ind w:left="760" w:hanging="300"/>
      </w:pPr>
    </w:lvl>
    <w:lvl w:ilvl="2" w15:tentative="1">
      <w:start w:val="1"/>
      <w:numFmt w:val="bullet"/>
      <w:lvlText w:val="▪"/>
      <w:lvlJc w:val="left"/>
      <w:pPr>
        <w:ind w:left="11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/>
    </w:pPr>
    <w:rPr>
      <w:rFonts w:ascii="Calibri" w:cs="Calibri" w:eastAsia="Calibri" w:hAnsi="Calibri"/>
      <w:b/>
      <w:bCs/>
      <w:color w:val="003366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336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4E79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374151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2026-09-24T07:08:43.720Z</dcterms:created>
  <dcterms:modified xsi:type="dcterms:W3CDTF">2026-09-24T07:08:43.720Z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