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6B7280"/>
          <w:sz w:val="16"/>
          <w:szCs w:val="16"/>
        </w:rPr>
        <w:t xml:space="preserve">OE GROUP — FOR LEGAL REVIEW · generated from the repository, 24 September 2026</w:t>
      </w:r>
    </w:p>
    <w:p>
      <w:pPr>
        <w:pStyle w:val="Heading1"/>
        <w:spacing w:after="140" w:before="0"/>
      </w:pPr>
      <w:r>
        <w:t xml:space="preserve">Personal data breach procedure — OE Group IPMS</w:t>
      </w:r>
    </w:p>
    <w:p>
      <w:pPr>
        <w:spacing w:after="140" w:line="268"/>
      </w:pPr>
      <w:r>
        <w:rPr>
          <w:b/>
          <w:bCs/>
        </w:rPr>
        <w:t xml:space="preserve">Status:</w:t>
      </w:r>
      <w:r>
        <w:t xml:space="preserve"> working document, drafted 2026-09-20. Approved by Joseph Emmanuel (ICT) as the working procedure pending DPO and Legal review. </w:t>
      </w:r>
      <w:r>
        <w:rPr>
          <w:b/>
          <w:bCs/>
        </w:rPr>
        <w:t xml:space="preserve">Owner:</w:t>
      </w:r>
      <w:r>
        <w:t xml:space="preserve"> DPO — </w:t>
      </w:r>
      <w:r>
        <w:rPr>
          <w:b/>
          <w:bCs/>
        </w:rPr>
        <w:t xml:space="preserve">Ebube Ikechwu</w:t>
      </w:r>
      <w:r>
        <w:t xml:space="preserve">. </w:t>
      </w:r>
      <w:r>
        <w:rPr>
          <w:b/>
          <w:bCs/>
        </w:rPr>
        <w:t xml:space="preserve">Closes:</w:t>
      </w:r>
      <w:r>
        <w:t xml:space="preserve"> </w:t>
      </w:r>
      <w:r>
        <w:rPr>
          <w:rFonts w:ascii="Consolas" w:cs="Consolas" w:eastAsia="Consolas" w:hAnsi="Consolas"/>
          <w:color w:val="9A3412"/>
          <w:sz w:val="18"/>
          <w:szCs w:val="18"/>
        </w:rPr>
        <w:t xml:space="preserve">GO_LIVE_BUILD_PLAN.md</w:t>
      </w:r>
      <w:r>
        <w:t xml:space="preserv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0"/>
            </w:pPr>
            <w:r>
              <w:rPr>
                <w:b/>
                <w:bCs/>
                <w:sz w:val="19"/>
                <w:szCs w:val="19"/>
              </w:rPr>
              <w:t xml:space="preserve">Print this.</w:t>
            </w:r>
            <w:r>
              <w:rPr>
                <w:sz w:val="19"/>
                <w:szCs w:val="19"/>
              </w:rPr>
              <w:t xml:space="preserve"> It is written to be used at 3am by whoever is awake, not read in advance. If you are reading it because something has happened, start at §2.</w:t>
            </w:r>
          </w:p>
        </w:tc>
      </w:tr>
    </w:tbl>
    <w:p>
      <w:pPr>
        <w:spacing w:after="160"/>
      </w:pPr>
    </w:p>
    <w:p>
      <w:pPr>
        <w:pBdr>
          <w:bottom w:val="single" w:color="D0D5DD" w:sz="6" w:space="6"/>
        </w:pBdr>
        <w:spacing w:after="120"/>
      </w:pPr>
    </w:p>
    <w:p>
      <w:pPr>
        <w:pStyle w:val="Heading2"/>
        <w:spacing w:after="140" w:before="300"/>
      </w:pPr>
      <w:r>
        <w:t xml:space="preserve">1. What counts</w:t>
      </w:r>
    </w:p>
    <w:p>
      <w:pPr>
        <w:spacing w:after="140" w:line="268"/>
      </w:pPr>
      <w:r>
        <w:t xml:space="preserve">A personal data breach is </w:t>
      </w:r>
      <w:r>
        <w:rPr>
          <w:b/>
          <w:bCs/>
        </w:rPr>
        <w:t xml:space="preserve">any</w:t>
      </w:r>
      <w:r>
        <w:t xml:space="preserve"> security failure leading to accidental or unlawful destruction, loss, alteration, unauthorised disclosure of, or access to personal data. It does not have to be malicious and it does not have to be large.</w:t>
      </w:r>
    </w:p>
    <w:p>
      <w:pPr>
        <w:spacing w:after="140" w:line="268"/>
      </w:pPr>
      <w:r>
        <w:t xml:space="preserve">Examples that count here:</w:t>
      </w:r>
    </w:p>
    <w:p>
      <w:pPr>
        <w:pStyle w:val="ListParagraph"/>
        <w:numPr>
          <w:ilvl w:val="0"/>
          <w:numId w:val="2"/>
        </w:numPr>
        <w:spacing w:after="80" w:line="268"/>
      </w:pPr>
      <w:r>
        <w:t xml:space="preserve">A tenant, vendor or staff member can see records belonging to another organisation, or to another tenant. </w:t>
      </w:r>
      <w:r>
        <w:rPr>
          <w:b/>
          <w:bCs/>
        </w:rPr>
        <w:t xml:space="preserve">An RLS failure is a breach.</w:t>
      </w:r>
    </w:p>
    <w:p>
      <w:pPr>
        <w:pStyle w:val="ListParagraph"/>
        <w:numPr>
          <w:ilvl w:val="0"/>
          <w:numId w:val="2"/>
        </w:numPr>
        <w:spacing w:after="80" w:line="268"/>
      </w:pPr>
      <w:r>
        <w:t xml:space="preserve">The </w:t>
      </w:r>
      <w:r>
        <w:rPr>
          <w:rFonts w:ascii="Consolas" w:cs="Consolas" w:eastAsia="Consolas" w:hAnsi="Consolas"/>
          <w:color w:val="9A3412"/>
          <w:sz w:val="18"/>
          <w:szCs w:val="18"/>
        </w:rPr>
        <w:t xml:space="preserve">SUPABASE_SERVICE_ROLE_KEY</w:t>
      </w:r>
      <w:r>
        <w:t xml:space="preserve"> is exposed anywhere outside a secret store — a screenshot, a chat message, a commit, a log line.</w:t>
      </w:r>
    </w:p>
    <w:p>
      <w:pPr>
        <w:pStyle w:val="ListParagraph"/>
        <w:numPr>
          <w:ilvl w:val="0"/>
          <w:numId w:val="2"/>
        </w:numPr>
        <w:spacing w:after="80" w:line="268"/>
      </w:pPr>
      <w:r>
        <w:t xml:space="preserve">An account is accessed by someone other than its holder.</w:t>
      </w:r>
    </w:p>
    <w:p>
      <w:pPr>
        <w:pStyle w:val="ListParagraph"/>
        <w:numPr>
          <w:ilvl w:val="0"/>
          <w:numId w:val="2"/>
        </w:numPr>
        <w:spacing w:after="80" w:line="268"/>
      </w:pPr>
      <w:r>
        <w:t xml:space="preserve">An export, statement or attachment reaches the wrong recipient.</w:t>
      </w:r>
    </w:p>
    <w:p>
      <w:pPr>
        <w:pStyle w:val="ListParagraph"/>
        <w:numPr>
          <w:ilvl w:val="0"/>
          <w:numId w:val="2"/>
        </w:numPr>
        <w:spacing w:after="80" w:line="268"/>
      </w:pPr>
      <w:r>
        <w:t xml:space="preserve">Data is destroyed or corrupted without a recoverable backup.</w:t>
      </w:r>
    </w:p>
    <w:p>
      <w:pPr>
        <w:spacing w:after="140" w:line="268"/>
      </w:pPr>
      <w:r>
        <w:rPr>
          <w:b/>
          <w:bCs/>
        </w:rPr>
        <w:t xml:space="preserve">Not a breach:</w:t>
      </w:r>
      <w:r>
        <w:t xml:space="preserve"> a failed login, a refused permission, a suite reporting a control working. Those are the system doing its job.</w:t>
      </w:r>
    </w:p>
    <w:p>
      <w:pPr>
        <w:pBdr>
          <w:bottom w:val="single" w:color="D0D5DD" w:sz="6" w:space="6"/>
        </w:pBdr>
        <w:spacing w:after="120"/>
      </w:pPr>
    </w:p>
    <w:p>
      <w:pPr>
        <w:pStyle w:val="Heading2"/>
        <w:spacing w:after="140" w:before="300"/>
      </w:pPr>
      <w:r>
        <w:t xml:space="preserve">2. The clock</w:t>
      </w:r>
    </w:p>
    <w:p>
      <w:pPr>
        <w:spacing w:after="140" w:line="268"/>
      </w:pPr>
      <w:r>
        <w:t xml:space="preserve">⏱️ </w:t>
      </w:r>
      <w:r>
        <w:rPr>
          <w:b/>
          <w:bCs/>
        </w:rPr>
        <w:t xml:space="preserve">It starts the moment anyone at OE Group becomes aware — not when it is confirmed, understood, or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Deadline</w:t>
            </w:r>
          </w:p>
        </w:tc>
        <w:tc>
          <w:tcPr>
            <w:tcW w:type="dxa" w:w="4680"/>
            <w:shd w:fill="EAECF0" w:val="clear"/>
            <w:tcMar>
              <w:top w:type="dxa" w:w="70"/>
              <w:left w:type="dxa" w:w="110"/>
              <w:bottom w:type="dxa" w:w="70"/>
              <w:right w:type="dxa" w:w="110"/>
            </w:tcMar>
          </w:tcPr>
          <w:p>
            <w:pPr>
              <w:spacing w:after="0"/>
            </w:pPr>
            <w:r>
              <w:rPr>
                <w:b/>
                <w:bCs/>
                <w:sz w:val="18"/>
                <w:szCs w:val="18"/>
              </w:rPr>
              <w:t xml:space="preserve">Obligation</w:t>
            </w:r>
          </w:p>
        </w:tc>
      </w:tr>
      <w:tr>
        <w:tc>
          <w:tcPr>
            <w:tcW w:type="dxa" w:w="4680"/>
            <w:tcMar>
              <w:top w:type="dxa" w:w="70"/>
              <w:left w:type="dxa" w:w="110"/>
              <w:bottom w:type="dxa" w:w="70"/>
              <w:right w:type="dxa" w:w="110"/>
            </w:tcMar>
          </w:tcPr>
          <w:p>
            <w:pPr>
              <w:spacing w:after="0"/>
            </w:pPr>
            <w:r>
              <w:rPr>
                <w:b/>
                <w:bCs/>
                <w:sz w:val="18"/>
                <w:szCs w:val="18"/>
              </w:rPr>
              <w:t xml:space="preserve">Immediately</w:t>
            </w:r>
          </w:p>
        </w:tc>
        <w:tc>
          <w:tcPr>
            <w:tcW w:type="dxa" w:w="4680"/>
            <w:tcMar>
              <w:top w:type="dxa" w:w="70"/>
              <w:left w:type="dxa" w:w="110"/>
              <w:bottom w:type="dxa" w:w="70"/>
              <w:right w:type="dxa" w:w="110"/>
            </w:tcMar>
          </w:tcPr>
          <w:p>
            <w:pPr>
              <w:spacing w:after="0"/>
            </w:pPr>
            <w:r>
              <w:rPr>
                <w:sz w:val="18"/>
                <w:szCs w:val="18"/>
              </w:rPr>
              <w:t xml:space="preserve">Tell the DPO. Do not wait to be certain.</w:t>
            </w:r>
          </w:p>
        </w:tc>
      </w:tr>
      <w:tr>
        <w:tc>
          <w:tcPr>
            <w:tcW w:type="dxa" w:w="4680"/>
            <w:tcMar>
              <w:top w:type="dxa" w:w="70"/>
              <w:left w:type="dxa" w:w="110"/>
              <w:bottom w:type="dxa" w:w="70"/>
              <w:right w:type="dxa" w:w="110"/>
            </w:tcMar>
          </w:tcPr>
          <w:p>
            <w:pPr>
              <w:spacing w:after="0"/>
            </w:pPr>
            <w:r>
              <w:rPr>
                <w:b/>
                <w:bCs/>
                <w:sz w:val="18"/>
                <w:szCs w:val="18"/>
              </w:rPr>
              <w:t xml:space="preserve">72 hours</w:t>
            </w:r>
            <w:r>
              <w:rPr>
                <w:sz w:val="18"/>
                <w:szCs w:val="18"/>
              </w:rPr>
              <w:t xml:space="preserve"> from awareness</w:t>
            </w:r>
          </w:p>
        </w:tc>
        <w:tc>
          <w:tcPr>
            <w:tcW w:type="dxa" w:w="4680"/>
            <w:tcMar>
              <w:top w:type="dxa" w:w="70"/>
              <w:left w:type="dxa" w:w="110"/>
              <w:bottom w:type="dxa" w:w="70"/>
              <w:right w:type="dxa" w:w="110"/>
            </w:tcMar>
          </w:tcPr>
          <w:p>
            <w:pPr>
              <w:spacing w:after="0"/>
            </w:pPr>
            <w:r>
              <w:rPr>
                <w:sz w:val="18"/>
                <w:szCs w:val="18"/>
              </w:rPr>
              <w:t xml:space="preserve">Notify the </w:t>
            </w:r>
            <w:r>
              <w:rPr>
                <w:b/>
                <w:bCs/>
                <w:sz w:val="18"/>
                <w:szCs w:val="18"/>
              </w:rPr>
              <w:t xml:space="preserve">NDPC</w:t>
            </w:r>
            <w:r>
              <w:rPr>
                <w:sz w:val="18"/>
                <w:szCs w:val="18"/>
              </w:rPr>
              <w:t xml:space="preserve">, where the breach is likely to result in a risk to people's rights and freedoms (NDPA s.40(2)).</w:t>
            </w:r>
          </w:p>
        </w:tc>
      </w:tr>
      <w:tr>
        <w:tc>
          <w:tcPr>
            <w:tcW w:type="dxa" w:w="4680"/>
            <w:tcMar>
              <w:top w:type="dxa" w:w="70"/>
              <w:left w:type="dxa" w:w="110"/>
              <w:bottom w:type="dxa" w:w="70"/>
              <w:right w:type="dxa" w:w="110"/>
            </w:tcMar>
          </w:tcPr>
          <w:p>
            <w:pPr>
              <w:spacing w:after="0"/>
            </w:pPr>
            <w:r>
              <w:rPr>
                <w:b/>
                <w:bCs/>
                <w:sz w:val="18"/>
                <w:szCs w:val="18"/>
              </w:rPr>
              <w:t xml:space="preserve">Immediately</w:t>
            </w:r>
            <w:r>
              <w:rPr>
                <w:sz w:val="18"/>
                <w:szCs w:val="18"/>
              </w:rPr>
              <w:t xml:space="preserve">, in parallel</w:t>
            </w:r>
          </w:p>
        </w:tc>
        <w:tc>
          <w:tcPr>
            <w:tcW w:type="dxa" w:w="4680"/>
            <w:tcMar>
              <w:top w:type="dxa" w:w="70"/>
              <w:left w:type="dxa" w:w="110"/>
              <w:bottom w:type="dxa" w:w="70"/>
              <w:right w:type="dxa" w:w="110"/>
            </w:tcMar>
          </w:tcPr>
          <w:p>
            <w:pPr>
              <w:spacing w:after="0"/>
            </w:pPr>
            <w:r>
              <w:rPr>
                <w:sz w:val="18"/>
                <w:szCs w:val="18"/>
              </w:rPr>
              <w:t xml:space="preserve">Tell affected </w:t>
            </w:r>
            <w:r>
              <w:rPr>
                <w:b/>
                <w:bCs/>
                <w:sz w:val="18"/>
                <w:szCs w:val="18"/>
              </w:rPr>
              <w:t xml:space="preserve">data subjects</w:t>
            </w:r>
            <w:r>
              <w:rPr>
                <w:sz w:val="18"/>
                <w:szCs w:val="18"/>
              </w:rPr>
              <w:t xml:space="preserve">, where the breach is likely to result in a </w:t>
            </w:r>
            <w:r>
              <w:rPr>
                <w:b/>
                <w:bCs/>
                <w:sz w:val="18"/>
                <w:szCs w:val="18"/>
              </w:rPr>
              <w:t xml:space="preserve">high risk</w:t>
            </w:r>
            <w:r>
              <w:rPr>
                <w:sz w:val="18"/>
                <w:szCs w:val="18"/>
              </w:rPr>
              <w:t xml:space="preserve"> to them — with the steps they can take to protect themselves.</w:t>
            </w:r>
          </w:p>
        </w:tc>
      </w:tr>
    </w:tbl>
    <w:p>
      <w:pPr>
        <w:spacing w:after="160"/>
      </w:pPr>
    </w:p>
    <w:p>
      <w:pPr>
        <w:spacing w:after="140" w:line="268"/>
      </w:pPr>
      <w:r>
        <w:t xml:space="preserve">📌 </w:t>
      </w:r>
      <w:r>
        <w:rPr>
          <w:b/>
          <w:bCs/>
        </w:rPr>
        <w:t xml:space="preserve">You do not need the full picture to notify.</w:t>
      </w:r>
      <w:r>
        <w:t xml:space="preserve"> NDPA s.40(2) expressly permits phased reporting where it is not possible to provide everything at once. </w:t>
      </w:r>
      <w:r>
        <w:rPr>
          <w:b/>
          <w:bCs/>
        </w:rPr>
        <w:t xml:space="preserve">Late and complete is worse than early and partial.</w:t>
      </w:r>
    </w:p>
    <w:p>
      <w:pPr>
        <w:pBdr>
          <w:bottom w:val="single" w:color="D0D5DD" w:sz="6" w:space="6"/>
        </w:pBdr>
        <w:spacing w:after="120"/>
      </w:pPr>
    </w:p>
    <w:p>
      <w:pPr>
        <w:pStyle w:val="Heading2"/>
        <w:spacing w:after="140" w:before="300"/>
      </w:pPr>
      <w:r>
        <w:t xml:space="preserve">3. First 60 minutes — contain</w:t>
      </w:r>
    </w:p>
    <w:p>
      <w:pPr>
        <w:spacing w:after="140" w:line="268"/>
      </w:pPr>
      <w:r>
        <w:t xml:space="preserve">Do these in order. Do not investigate first.</w:t>
      </w:r>
    </w:p>
    <w:p>
      <w:pPr>
        <w:pStyle w:val="ListParagraph"/>
        <w:numPr>
          <w:ilvl w:val="0"/>
          <w:numId w:val="3"/>
        </w:numPr>
        <w:spacing w:after="80" w:line="268"/>
      </w:pPr>
      <w:r>
        <w:rPr>
          <w:b/>
          <w:bCs/>
        </w:rPr>
        <w:t xml:space="preserve">Tell the DPO and the ICT manager.</w:t>
      </w:r>
      <w:r>
        <w:t xml:space="preserve"> Phone, not email.</w:t>
      </w:r>
    </w:p>
    <w:p>
      <w:pPr>
        <w:pStyle w:val="ListParagraph"/>
        <w:numPr>
          <w:ilvl w:val="0"/>
          <w:numId w:val="3"/>
        </w:numPr>
        <w:spacing w:after="80" w:line="268"/>
      </w:pPr>
      <w:r>
        <w:rPr>
          <w:b/>
          <w:bCs/>
        </w:rPr>
        <w:t xml:space="preserve">Stop the bleeding.</w:t>
      </w:r>
    </w:p>
    <w:p>
      <w:pPr>
        <w:pStyle w:val="ListParagraph"/>
        <w:numPr>
          <w:ilvl w:val="1"/>
          <w:numId w:val="2"/>
        </w:numPr>
        <w:spacing w:after="80" w:line="268"/>
      </w:pPr>
      <w:r>
        <w:t xml:space="preserve">Suspected credential exposure → rotate it </w:t>
      </w:r>
      <w:r>
        <w:rPr>
          <w:i/>
          <w:iCs/>
        </w:rPr>
        <w:t xml:space="preserve">now</w:t>
      </w:r>
      <w:r>
        <w:t xml:space="preserve"> in Supabase and Vercel. ⚠️ </w:t>
      </w:r>
      <w:r>
        <w:rPr>
          <w:rFonts w:ascii="Consolas" w:cs="Consolas" w:eastAsia="Consolas" w:hAnsi="Consolas"/>
          <w:color w:val="9A3412"/>
          <w:sz w:val="18"/>
          <w:szCs w:val="18"/>
        </w:rPr>
        <w:t xml:space="preserve">GATEWAY_CREDENTIAL_KEY</w:t>
      </w:r>
      <w:r>
        <w:t xml:space="preserve"> is </w:t>
      </w:r>
      <w:r>
        <w:rPr>
          <w:b/>
          <w:bCs/>
        </w:rPr>
        <w:t xml:space="preserve">not</w:t>
      </w:r>
      <w:r>
        <w:t xml:space="preserve"> recoverable if lost — read </w:t>
      </w:r>
      <w:r>
        <w:rPr>
          <w:rFonts w:ascii="Consolas" w:cs="Consolas" w:eastAsia="Consolas" w:hAnsi="Consolas"/>
          <w:color w:val="9A3412"/>
          <w:sz w:val="18"/>
          <w:szCs w:val="18"/>
        </w:rPr>
        <w:t xml:space="preserve">GO_LIVE_CHECKLIST.md</w:t>
      </w:r>
      <w:r>
        <w:t xml:space="preserve"> before touching that one.</w:t>
      </w:r>
    </w:p>
    <w:p>
      <w:pPr>
        <w:pStyle w:val="ListParagraph"/>
        <w:numPr>
          <w:ilvl w:val="1"/>
          <w:numId w:val="2"/>
        </w:numPr>
        <w:spacing w:after="80" w:line="268"/>
      </w:pPr>
      <w:r>
        <w:t xml:space="preserve">Suspected account compromise → deactivate the account. It stays in the trail; deactivation is the correct action, not deletion.</w:t>
      </w:r>
    </w:p>
    <w:p>
      <w:pPr>
        <w:pStyle w:val="ListParagraph"/>
        <w:numPr>
          <w:ilvl w:val="1"/>
          <w:numId w:val="2"/>
        </w:numPr>
        <w:spacing w:after="80" w:line="268"/>
      </w:pPr>
      <w:r>
        <w:t xml:space="preserve">Suspected RLS or access-control failure → take the affected surface down rather than leave it serving wrong data.</w:t>
      </w:r>
    </w:p>
    <w:p>
      <w:pPr>
        <w:pStyle w:val="ListParagraph"/>
        <w:numPr>
          <w:ilvl w:val="0"/>
          <w:numId w:val="3"/>
        </w:numPr>
        <w:spacing w:after="80" w:line="268"/>
      </w:pPr>
      <w:r>
        <w:rPr>
          <w:b/>
          <w:bCs/>
        </w:rPr>
        <w:t xml:space="preserve">Do not delete anything.</w:t>
      </w:r>
      <w:r>
        <w:t xml:space="preserve"> Not logs, not rows, not messages. See §4.</w:t>
      </w:r>
    </w:p>
    <w:p>
      <w:pPr>
        <w:pStyle w:val="ListParagraph"/>
        <w:numPr>
          <w:ilvl w:val="0"/>
          <w:numId w:val="3"/>
        </w:numPr>
        <w:spacing w:after="80" w:line="268"/>
      </w:pPr>
      <w:r>
        <w:rPr>
          <w:b/>
          <w:bCs/>
        </w:rPr>
        <w:t xml:space="preserve">Write down the time you became aware.</w:t>
      </w:r>
      <w:r>
        <w:t xml:space="preserve"> That timestamp is the start of every deadline in §2 and you will be asked for it.</w:t>
      </w:r>
    </w:p>
    <w:p>
      <w:pPr>
        <w:pBdr>
          <w:bottom w:val="single" w:color="D0D5DD" w:sz="6" w:space="6"/>
        </w:pBdr>
        <w:spacing w:after="120"/>
      </w:pPr>
    </w:p>
    <w:p>
      <w:pPr>
        <w:pStyle w:val="Heading2"/>
        <w:spacing w:after="140" w:before="300"/>
      </w:pPr>
      <w:r>
        <w:t xml:space="preserve">4. ⚠️ Preserve the evidence — the system already does most of it</w:t>
      </w:r>
    </w:p>
    <w:p>
      <w:pPr>
        <w:spacing w:after="140" w:line="268"/>
      </w:pPr>
      <w:r>
        <w:rPr>
          <w:rFonts w:ascii="Consolas" w:cs="Consolas" w:eastAsia="Consolas" w:hAnsi="Consolas"/>
          <w:color w:val="9A3412"/>
          <w:sz w:val="18"/>
          <w:szCs w:val="18"/>
        </w:rPr>
        <w:t xml:space="preserve">audit_log</w:t>
      </w:r>
      <w:r>
        <w:t xml:space="preserve"> is </w:t>
      </w:r>
      <w:r>
        <w:rPr>
          <w:b/>
          <w:bCs/>
        </w:rPr>
        <w:t xml:space="preserve">append-only by database trigger</w:t>
      </w:r>
      <w:r>
        <w:t xml:space="preserve">, and </w:t>
      </w:r>
      <w:r>
        <w:rPr>
          <w:rFonts w:ascii="Consolas" w:cs="Consolas" w:eastAsia="Consolas" w:hAnsi="Consolas"/>
          <w:color w:val="9A3412"/>
          <w:sz w:val="18"/>
          <w:szCs w:val="18"/>
        </w:rPr>
        <w:t xml:space="preserve">audit_log_actor_id_fkey</w:t>
      </w:r>
      <w:r>
        <w:t xml:space="preserve"> prevents deleting a user the trail still names. This is deliberate, and in a breach it works in your favour: </w:t>
      </w:r>
      <w:r>
        <w:rPr>
          <w:b/>
          <w:bCs/>
        </w:rPr>
        <w:t xml:space="preserve">the record of who did what cannot be quietly altered, including by whoever caused the breach.</w:t>
      </w:r>
    </w:p>
    <w:p>
      <w:pPr>
        <w:spacing w:after="140" w:line="268"/>
      </w:pPr>
      <w:r>
        <w:t xml:space="preserve">Do not attempt to work around it. Do not delete users to "clean up" — deactivate them. An investigator who finds an intact trail is in a very different conversation from one who finds gaps.</w:t>
      </w:r>
    </w:p>
    <w:p>
      <w:pPr>
        <w:spacing w:after="140" w:line="268"/>
      </w:pPr>
      <w:r>
        <w:t xml:space="preserve">Also preserve: Sentry events, Vercel deployment and function logs, Supabase logs (note their retention window — capture what you need before it rolls off).</w:t>
      </w:r>
    </w:p>
    <w:p>
      <w:pPr>
        <w:pBdr>
          <w:bottom w:val="single" w:color="D0D5DD" w:sz="6" w:space="6"/>
        </w:pBdr>
        <w:spacing w:after="120"/>
      </w:pPr>
    </w:p>
    <w:p>
      <w:pPr>
        <w:pStyle w:val="Heading2"/>
        <w:spacing w:after="140" w:before="300"/>
      </w:pPr>
      <w:r>
        <w:t xml:space="preserve">5. By hour 12 — assess</w:t>
      </w:r>
    </w:p>
    <w:p>
      <w:pPr>
        <w:spacing w:after="140" w:line="268"/>
      </w:pPr>
      <w:r>
        <w:t xml:space="preserve">The DPO decides, and records the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Question</w:t>
            </w:r>
          </w:p>
        </w:tc>
        <w:tc>
          <w:tcPr>
            <w:tcW w:type="dxa" w:w="4680"/>
            <w:shd w:fill="EAECF0" w:val="clear"/>
            <w:tcMar>
              <w:top w:type="dxa" w:w="70"/>
              <w:left w:type="dxa" w:w="110"/>
              <w:bottom w:type="dxa" w:w="70"/>
              <w:right w:type="dxa" w:w="110"/>
            </w:tcMar>
          </w:tcPr>
          <w:p>
            <w:pPr>
              <w:spacing w:after="0"/>
            </w:pPr>
            <w:r>
              <w:rPr>
                <w:b/>
                <w:bCs/>
                <w:sz w:val="18"/>
                <w:szCs w:val="18"/>
              </w:rPr>
              <w:t xml:space="preserve">Why it matters</w:t>
            </w:r>
          </w:p>
        </w:tc>
      </w:tr>
      <w:tr>
        <w:tc>
          <w:tcPr>
            <w:tcW w:type="dxa" w:w="4680"/>
            <w:tcMar>
              <w:top w:type="dxa" w:w="70"/>
              <w:left w:type="dxa" w:w="110"/>
              <w:bottom w:type="dxa" w:w="70"/>
              <w:right w:type="dxa" w:w="110"/>
            </w:tcMar>
          </w:tcPr>
          <w:p>
            <w:pPr>
              <w:spacing w:after="0"/>
            </w:pPr>
            <w:r>
              <w:rPr>
                <w:sz w:val="18"/>
                <w:szCs w:val="18"/>
              </w:rPr>
              <w:t xml:space="preserve">What data, and whose?</w:t>
            </w:r>
          </w:p>
        </w:tc>
        <w:tc>
          <w:tcPr>
            <w:tcW w:type="dxa" w:w="4680"/>
            <w:tcMar>
              <w:top w:type="dxa" w:w="70"/>
              <w:left w:type="dxa" w:w="110"/>
              <w:bottom w:type="dxa" w:w="70"/>
              <w:right w:type="dxa" w:w="110"/>
            </w:tcMar>
          </w:tcPr>
          <w:p>
            <w:pPr>
              <w:spacing w:after="0"/>
            </w:pPr>
            <w:r>
              <w:rPr>
                <w:sz w:val="18"/>
                <w:szCs w:val="18"/>
              </w:rPr>
              <w:t xml:space="preserve">Drives whether it is reportable and to whom</w:t>
            </w:r>
          </w:p>
        </w:tc>
      </w:tr>
      <w:tr>
        <w:tc>
          <w:tcPr>
            <w:tcW w:type="dxa" w:w="4680"/>
            <w:tcMar>
              <w:top w:type="dxa" w:w="70"/>
              <w:left w:type="dxa" w:w="110"/>
              <w:bottom w:type="dxa" w:w="70"/>
              <w:right w:type="dxa" w:w="110"/>
            </w:tcMar>
          </w:tcPr>
          <w:p>
            <w:pPr>
              <w:spacing w:after="0"/>
            </w:pPr>
            <w:r>
              <w:rPr>
                <w:sz w:val="18"/>
                <w:szCs w:val="18"/>
              </w:rPr>
              <w:t xml:space="preserve">How many people?</w:t>
            </w:r>
          </w:p>
        </w:tc>
        <w:tc>
          <w:tcPr>
            <w:tcW w:type="dxa" w:w="4680"/>
            <w:tcMar>
              <w:top w:type="dxa" w:w="70"/>
              <w:left w:type="dxa" w:w="110"/>
              <w:bottom w:type="dxa" w:w="70"/>
              <w:right w:type="dxa" w:w="110"/>
            </w:tcMar>
          </w:tcPr>
          <w:p>
            <w:pPr>
              <w:spacing w:after="0"/>
            </w:pPr>
            <w:r>
              <w:rPr>
                <w:sz w:val="18"/>
                <w:szCs w:val="18"/>
              </w:rPr>
              <w:t xml:space="preserve">Approximate is acceptable</w:t>
            </w:r>
          </w:p>
        </w:tc>
      </w:tr>
      <w:tr>
        <w:tc>
          <w:tcPr>
            <w:tcW w:type="dxa" w:w="4680"/>
            <w:tcMar>
              <w:top w:type="dxa" w:w="70"/>
              <w:left w:type="dxa" w:w="110"/>
              <w:bottom w:type="dxa" w:w="70"/>
              <w:right w:type="dxa" w:w="110"/>
            </w:tcMar>
          </w:tcPr>
          <w:p>
            <w:pPr>
              <w:spacing w:after="0"/>
            </w:pPr>
            <w:r>
              <w:rPr>
                <w:sz w:val="18"/>
                <w:szCs w:val="18"/>
              </w:rPr>
              <w:t xml:space="preserve">Special-category data involved?</w:t>
            </w:r>
          </w:p>
        </w:tc>
        <w:tc>
          <w:tcPr>
            <w:tcW w:type="dxa" w:w="4680"/>
            <w:tcMar>
              <w:top w:type="dxa" w:w="70"/>
              <w:left w:type="dxa" w:w="110"/>
              <w:bottom w:type="dxa" w:w="70"/>
              <w:right w:type="dxa" w:w="110"/>
            </w:tcMar>
          </w:tcPr>
          <w:p>
            <w:pPr>
              <w:spacing w:after="0"/>
            </w:pPr>
            <w:r>
              <w:rPr>
                <w:sz w:val="18"/>
                <w:szCs w:val="18"/>
              </w:rPr>
              <w:t xml:space="preserve">Raises it to high risk almost automatically</w:t>
            </w:r>
          </w:p>
        </w:tc>
      </w:tr>
      <w:tr>
        <w:tc>
          <w:tcPr>
            <w:tcW w:type="dxa" w:w="4680"/>
            <w:tcMar>
              <w:top w:type="dxa" w:w="70"/>
              <w:left w:type="dxa" w:w="110"/>
              <w:bottom w:type="dxa" w:w="70"/>
              <w:right w:type="dxa" w:w="110"/>
            </w:tcMar>
          </w:tcPr>
          <w:p>
            <w:pPr>
              <w:spacing w:after="0"/>
            </w:pPr>
            <w:r>
              <w:rPr>
                <w:sz w:val="18"/>
                <w:szCs w:val="18"/>
              </w:rPr>
              <w:t xml:space="preserve">Financial data — bank details, payment records?</w:t>
            </w:r>
          </w:p>
        </w:tc>
        <w:tc>
          <w:tcPr>
            <w:tcW w:type="dxa" w:w="4680"/>
            <w:tcMar>
              <w:top w:type="dxa" w:w="70"/>
              <w:left w:type="dxa" w:w="110"/>
              <w:bottom w:type="dxa" w:w="70"/>
              <w:right w:type="dxa" w:w="110"/>
            </w:tcMar>
          </w:tcPr>
          <w:p>
            <w:pPr>
              <w:spacing w:after="0"/>
            </w:pPr>
            <w:r>
              <w:rPr>
                <w:sz w:val="18"/>
                <w:szCs w:val="18"/>
              </w:rPr>
              <w:t xml:space="preserve">High risk</w:t>
            </w:r>
          </w:p>
        </w:tc>
      </w:tr>
      <w:tr>
        <w:tc>
          <w:tcPr>
            <w:tcW w:type="dxa" w:w="4680"/>
            <w:tcMar>
              <w:top w:type="dxa" w:w="70"/>
              <w:left w:type="dxa" w:w="110"/>
              <w:bottom w:type="dxa" w:w="70"/>
              <w:right w:type="dxa" w:w="110"/>
            </w:tcMar>
          </w:tcPr>
          <w:p>
            <w:pPr>
              <w:spacing w:after="0"/>
            </w:pPr>
            <w:r>
              <w:rPr>
                <w:sz w:val="18"/>
                <w:szCs w:val="18"/>
              </w:rPr>
              <w:t xml:space="preserve">Is it contained, or still live?</w:t>
            </w:r>
          </w:p>
        </w:tc>
        <w:tc>
          <w:tcPr>
            <w:tcW w:type="dxa" w:w="4680"/>
            <w:tcMar>
              <w:top w:type="dxa" w:w="70"/>
              <w:left w:type="dxa" w:w="110"/>
              <w:bottom w:type="dxa" w:w="70"/>
              <w:right w:type="dxa" w:w="110"/>
            </w:tcMar>
          </w:tcPr>
          <w:p>
            <w:pPr>
              <w:spacing w:after="0"/>
            </w:pPr>
            <w:r>
              <w:rPr>
                <w:sz w:val="18"/>
                <w:szCs w:val="18"/>
              </w:rPr>
              <w:t xml:space="preserve">Changes what you tell people to do</w:t>
            </w:r>
          </w:p>
        </w:tc>
      </w:tr>
      <w:tr>
        <w:tc>
          <w:tcPr>
            <w:tcW w:type="dxa" w:w="4680"/>
            <w:tcMar>
              <w:top w:type="dxa" w:w="70"/>
              <w:left w:type="dxa" w:w="110"/>
              <w:bottom w:type="dxa" w:w="70"/>
              <w:right w:type="dxa" w:w="110"/>
            </w:tcMar>
          </w:tcPr>
          <w:p>
            <w:pPr>
              <w:spacing w:after="0"/>
            </w:pPr>
            <w:r>
              <w:rPr>
                <w:sz w:val="18"/>
                <w:szCs w:val="18"/>
              </w:rPr>
              <w:t xml:space="preserve">Could this cause real harm — fraud, eviction, reputational damage?</w:t>
            </w:r>
          </w:p>
        </w:tc>
        <w:tc>
          <w:tcPr>
            <w:tcW w:type="dxa" w:w="4680"/>
            <w:tcMar>
              <w:top w:type="dxa" w:w="70"/>
              <w:left w:type="dxa" w:w="110"/>
              <w:bottom w:type="dxa" w:w="70"/>
              <w:right w:type="dxa" w:w="110"/>
            </w:tcMar>
          </w:tcPr>
          <w:p>
            <w:pPr>
              <w:spacing w:after="0"/>
            </w:pPr>
            <w:r>
              <w:rPr>
                <w:sz w:val="18"/>
                <w:szCs w:val="18"/>
              </w:rPr>
              <w:t xml:space="preserve">This is the </w:t>
            </w:r>
            <w:r>
              <w:rPr>
                <w:b/>
                <w:bCs/>
                <w:sz w:val="18"/>
                <w:szCs w:val="18"/>
              </w:rPr>
              <w:t xml:space="preserve">high risk</w:t>
            </w:r>
            <w:r>
              <w:rPr>
                <w:sz w:val="18"/>
                <w:szCs w:val="18"/>
              </w:rPr>
              <w:t xml:space="preserve"> test for §2</w:t>
            </w:r>
          </w:p>
        </w:tc>
      </w:tr>
    </w:tbl>
    <w:p>
      <w:pPr>
        <w:spacing w:after="160"/>
      </w:pPr>
    </w:p>
    <w:p>
      <w:pPr>
        <w:spacing w:after="140" w:line="268"/>
      </w:pPr>
      <w:r>
        <w:rPr>
          <w:b/>
          <w:bCs/>
        </w:rPr>
        <w:t xml:space="preserve">If in doubt, notify.</w:t>
      </w:r>
      <w:r>
        <w:t xml:space="preserve"> The cost of an unnecessary notification is paperwork. The cost of a missed one is a regulatory finding plus the loss of the argument that you take this seriously.</w:t>
      </w:r>
    </w:p>
    <w:p>
      <w:pPr>
        <w:pBdr>
          <w:bottom w:val="single" w:color="D0D5DD" w:sz="6" w:space="6"/>
        </w:pBdr>
        <w:spacing w:after="120"/>
      </w:pPr>
    </w:p>
    <w:p>
      <w:pPr>
        <w:pStyle w:val="Heading2"/>
        <w:spacing w:after="140" w:before="300"/>
      </w:pPr>
      <w:r>
        <w:t xml:space="preserve">6. By hour 72 — notify the NDPC</w:t>
      </w:r>
    </w:p>
    <w:p>
      <w:pPr>
        <w:spacing w:after="140" w:line="268"/>
      </w:pPr>
      <w:r>
        <w:t xml:space="preserve">Send from the DPO. Include what you have; say plainly what you do not yet have and when you will follow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100"/>
            </w:pPr>
            <w:r>
              <w:rPr>
                <w:b/>
                <w:bCs/>
                <w:sz w:val="19"/>
                <w:szCs w:val="19"/>
              </w:rPr>
              <w:t xml:space="preserve">Subject:</w:t>
            </w:r>
            <w:r>
              <w:rPr>
                <w:sz w:val="19"/>
                <w:szCs w:val="19"/>
              </w:rPr>
              <w:t xml:space="preserve"> Personal data breach notification — [Organisation], [date]</w:t>
            </w:r>
          </w:p>
          <w:p>
            <w:pPr>
              <w:spacing w:after="0"/>
            </w:pPr>
            <w:r>
              <w:rPr>
                <w:sz w:val="19"/>
                <w:szCs w:val="19"/>
              </w:rPr>
              <w:t xml:space="preserve">1. </w:t>
            </w:r>
            <w:r>
              <w:rPr>
                <w:b/>
                <w:bCs/>
                <w:sz w:val="19"/>
                <w:szCs w:val="19"/>
              </w:rPr>
              <w:t xml:space="preserve">Nature of the breach:</w:t>
            </w:r>
            <w:r>
              <w:rPr>
                <w:sz w:val="19"/>
                <w:szCs w:val="19"/>
              </w:rPr>
              <w:t xml:space="preserve"> what happened, in plain words. 2. </w:t>
            </w:r>
            <w:r>
              <w:rPr>
                <w:b/>
                <w:bCs/>
                <w:sz w:val="19"/>
                <w:szCs w:val="19"/>
              </w:rPr>
              <w:t xml:space="preserve">Categories and approximate number of data subjects</w:t>
            </w:r>
            <w:r>
              <w:rPr>
                <w:sz w:val="19"/>
                <w:szCs w:val="19"/>
              </w:rPr>
              <w:t xml:space="preserve"> affected. 3. </w:t>
            </w:r>
            <w:r>
              <w:rPr>
                <w:b/>
                <w:bCs/>
                <w:sz w:val="19"/>
                <w:szCs w:val="19"/>
              </w:rPr>
              <w:t xml:space="preserve">Categories and approximate number of records</w:t>
            </w:r>
            <w:r>
              <w:rPr>
                <w:sz w:val="19"/>
                <w:szCs w:val="19"/>
              </w:rPr>
              <w:t xml:space="preserve"> affected. 4. </w:t>
            </w:r>
            <w:r>
              <w:rPr>
                <w:b/>
                <w:bCs/>
                <w:sz w:val="19"/>
                <w:szCs w:val="19"/>
              </w:rPr>
              <w:t xml:space="preserve">DPO contact:</w:t>
            </w:r>
            <w:r>
              <w:rPr>
                <w:sz w:val="19"/>
                <w:szCs w:val="19"/>
              </w:rPr>
              <w:t xml:space="preserve"> Ebube Ikechwu, [contact]. 5. </w:t>
            </w:r>
            <w:r>
              <w:rPr>
                <w:b/>
                <w:bCs/>
                <w:sz w:val="19"/>
                <w:szCs w:val="19"/>
              </w:rPr>
              <w:t xml:space="preserve">Likely consequences</w:t>
            </w:r>
            <w:r>
              <w:rPr>
                <w:sz w:val="19"/>
                <w:szCs w:val="19"/>
              </w:rPr>
              <w:t xml:space="preserve"> for the people affected. 6. </w:t>
            </w:r>
            <w:r>
              <w:rPr>
                <w:b/>
                <w:bCs/>
                <w:sz w:val="19"/>
                <w:szCs w:val="19"/>
              </w:rPr>
              <w:t xml:space="preserve">Measures taken or proposed</w:t>
            </w:r>
            <w:r>
              <w:rPr>
                <w:sz w:val="19"/>
                <w:szCs w:val="19"/>
              </w:rPr>
              <w:t xml:space="preserve"> — containment, and what prevents recurrence. 7. </w:t>
            </w:r>
            <w:r>
              <w:rPr>
                <w:b/>
                <w:bCs/>
                <w:sz w:val="19"/>
                <w:szCs w:val="19"/>
              </w:rPr>
              <w:t xml:space="preserve">Whether data subjects have been told</w:t>
            </w:r>
            <w:r>
              <w:rPr>
                <w:sz w:val="19"/>
                <w:szCs w:val="19"/>
              </w:rPr>
              <w:t xml:space="preserve">, and if not, why not. 8. </w:t>
            </w:r>
            <w:r>
              <w:rPr>
                <w:b/>
                <w:bCs/>
                <w:sz w:val="19"/>
                <w:szCs w:val="19"/>
              </w:rPr>
              <w:t xml:space="preserve">What is still unknown</w:t>
            </w:r>
            <w:r>
              <w:rPr>
                <w:sz w:val="19"/>
                <w:szCs w:val="19"/>
              </w:rPr>
              <w:t xml:space="preserve">, and when you will report further.</w:t>
            </w:r>
          </w:p>
        </w:tc>
      </w:tr>
    </w:tbl>
    <w:p>
      <w:pPr>
        <w:spacing w:after="160"/>
      </w:pPr>
    </w:p>
    <w:p>
      <w:pPr>
        <w:pBdr>
          <w:bottom w:val="single" w:color="D0D5DD" w:sz="6" w:space="6"/>
        </w:pBdr>
        <w:spacing w:after="120"/>
      </w:pPr>
    </w:p>
    <w:p>
      <w:pPr>
        <w:pStyle w:val="Heading2"/>
        <w:spacing w:after="140" w:before="300"/>
      </w:pPr>
      <w:r>
        <w:t xml:space="preserve">7. Telling the people affected</w:t>
      </w:r>
    </w:p>
    <w:p>
      <w:pPr>
        <w:spacing w:after="140" w:line="268"/>
      </w:pPr>
      <w:r>
        <w:t xml:space="preserve">Required where the breach is likely to result in a </w:t>
      </w:r>
      <w:r>
        <w:rPr>
          <w:b/>
          <w:bCs/>
        </w:rPr>
        <w:t xml:space="preserve">high risk</w:t>
      </w:r>
      <w:r>
        <w:t xml:space="preserve"> to them. Write it for the person, not for the regulator:</w:t>
      </w:r>
    </w:p>
    <w:p>
      <w:pPr>
        <w:pStyle w:val="ListParagraph"/>
        <w:numPr>
          <w:ilvl w:val="0"/>
          <w:numId w:val="2"/>
        </w:numPr>
        <w:spacing w:after="80" w:line="268"/>
      </w:pPr>
      <w:r>
        <w:t xml:space="preserve">What happened, and when.</w:t>
      </w:r>
    </w:p>
    <w:p>
      <w:pPr>
        <w:pStyle w:val="ListParagraph"/>
        <w:numPr>
          <w:ilvl w:val="0"/>
          <w:numId w:val="2"/>
        </w:numPr>
        <w:spacing w:after="80" w:line="268"/>
      </w:pPr>
      <w:r>
        <w:t xml:space="preserve">What data of theirs was involved.</w:t>
      </w:r>
    </w:p>
    <w:p>
      <w:pPr>
        <w:pStyle w:val="ListParagraph"/>
        <w:numPr>
          <w:ilvl w:val="0"/>
          <w:numId w:val="2"/>
        </w:numPr>
        <w:spacing w:after="80" w:line="268"/>
      </w:pPr>
      <w:r>
        <w:t xml:space="preserve">What you have done about it.</w:t>
      </w:r>
    </w:p>
    <w:p>
      <w:pPr>
        <w:pStyle w:val="ListParagraph"/>
        <w:numPr>
          <w:ilvl w:val="0"/>
          <w:numId w:val="2"/>
        </w:numPr>
        <w:spacing w:after="80" w:line="268"/>
      </w:pPr>
      <w:r>
        <w:rPr>
          <w:b/>
          <w:bCs/>
        </w:rPr>
        <w:t xml:space="preserve">What they should do</w:t>
      </w:r>
      <w:r>
        <w:t xml:space="preserve"> — change a password, watch for a specific scam, check their statement.</w:t>
      </w:r>
    </w:p>
    <w:p>
      <w:pPr>
        <w:pStyle w:val="ListParagraph"/>
        <w:numPr>
          <w:ilvl w:val="0"/>
          <w:numId w:val="2"/>
        </w:numPr>
        <w:spacing w:after="80" w:line="268"/>
      </w:pPr>
      <w:r>
        <w:t xml:space="preserve">Who to contact.</w:t>
      </w:r>
    </w:p>
    <w:p>
      <w:pPr>
        <w:spacing w:after="140" w:line="268"/>
      </w:pPr>
      <w:r>
        <w:t xml:space="preserve">❌ Never: "we take your privacy seriously", "an incident occurred", "may have been affected" when you know they were. People act on clear information and ignore reassurance.</w:t>
      </w:r>
    </w:p>
    <w:p>
      <w:pPr>
        <w:pBdr>
          <w:bottom w:val="single" w:color="D0D5DD" w:sz="6" w:space="6"/>
        </w:pBdr>
        <w:spacing w:after="120"/>
      </w:pPr>
    </w:p>
    <w:p>
      <w:pPr>
        <w:pStyle w:val="Heading2"/>
        <w:spacing w:after="140" w:before="300"/>
      </w:pPr>
      <w:r>
        <w:t xml:space="preserve">8. Afterwards — within 14 days</w:t>
      </w:r>
    </w:p>
    <w:p>
      <w:pPr>
        <w:pStyle w:val="ListParagraph"/>
        <w:numPr>
          <w:ilvl w:val="0"/>
          <w:numId w:val="3"/>
        </w:numPr>
        <w:spacing w:after="80" w:line="268"/>
      </w:pPr>
      <w:r>
        <w:rPr>
          <w:b/>
          <w:bCs/>
        </w:rPr>
        <w:t xml:space="preserve">Record it in the breach register</w:t>
      </w:r>
      <w:r>
        <w:t xml:space="preserve"> (§9). Every breach goes in, including ones you decided not to report, </w:t>
      </w:r>
      <w:r>
        <w:rPr>
          <w:b/>
          <w:bCs/>
        </w:rPr>
        <w:t xml:space="preserve">with the reason for that decision</w:t>
      </w:r>
      <w:r>
        <w:t xml:space="preserve">. The register is what demonstrates judgement was exercised rather than skipped.</w:t>
      </w:r>
    </w:p>
    <w:p>
      <w:pPr>
        <w:pStyle w:val="ListParagraph"/>
        <w:numPr>
          <w:ilvl w:val="0"/>
          <w:numId w:val="3"/>
        </w:numPr>
        <w:spacing w:after="80" w:line="268"/>
      </w:pPr>
      <w:r>
        <w:rPr>
          <w:b/>
          <w:bCs/>
        </w:rPr>
        <w:t xml:space="preserve">Fix the cause, and prove the fix.</w:t>
      </w:r>
      <w:r>
        <w:t xml:space="preserve"> Where the cause is in code, that means a migration or a change plus a suite that fails without it — the convention the whole </w:t>
      </w:r>
      <w:r>
        <w:rPr>
          <w:rFonts w:ascii="Consolas" w:cs="Consolas" w:eastAsia="Consolas" w:hAnsi="Consolas"/>
          <w:color w:val="9A3412"/>
          <w:sz w:val="18"/>
          <w:szCs w:val="18"/>
        </w:rPr>
        <w:t xml:space="preserve">scripts/verify-*</w:t>
      </w:r>
      <w:r>
        <w:t xml:space="preserve"> tree already follows.</w:t>
      </w:r>
    </w:p>
    <w:p>
      <w:pPr>
        <w:pStyle w:val="ListParagraph"/>
        <w:numPr>
          <w:ilvl w:val="0"/>
          <w:numId w:val="3"/>
        </w:numPr>
        <w:spacing w:after="80" w:line="268"/>
      </w:pPr>
      <w:r>
        <w:rPr>
          <w:b/>
          <w:bCs/>
        </w:rPr>
        <w:t xml:space="preserve">Update this document</w:t>
      </w:r>
      <w:r>
        <w:t xml:space="preserve"> if the procedure did not survive contact.</w:t>
      </w:r>
    </w:p>
    <w:p>
      <w:pPr>
        <w:pBdr>
          <w:bottom w:val="single" w:color="D0D5DD" w:sz="6" w:space="6"/>
        </w:pBdr>
        <w:spacing w:after="120"/>
      </w:pPr>
    </w:p>
    <w:p>
      <w:pPr>
        <w:pStyle w:val="Heading2"/>
        <w:spacing w:after="140" w:before="300"/>
      </w:pPr>
      <w:r>
        <w:t xml:space="preserve">9. Breach register</w:t>
      </w:r>
    </w:p>
    <w:p>
      <w:pPr>
        <w:spacing w:after="140" w:line="268"/>
      </w:pPr>
      <w:r>
        <w:t xml:space="preserve">Kept by the DPO. One row per incident, never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shd w:fill="EAECF0" w:val="clear"/>
            <w:tcMar>
              <w:top w:type="dxa" w:w="70"/>
              <w:left w:type="dxa" w:w="110"/>
              <w:bottom w:type="dxa" w:w="70"/>
              <w:right w:type="dxa" w:w="110"/>
            </w:tcMar>
          </w:tcPr>
          <w:p>
            <w:pPr>
              <w:spacing w:after="0"/>
            </w:pPr>
            <w:r>
              <w:rPr>
                <w:b/>
                <w:bCs/>
                <w:sz w:val="18"/>
                <w:szCs w:val="18"/>
              </w:rPr>
              <w:t xml:space="preserve">#</w:t>
            </w:r>
          </w:p>
        </w:tc>
        <w:tc>
          <w:tcPr>
            <w:tcW w:type="dxa" w:w="936"/>
            <w:shd w:fill="EAECF0" w:val="clear"/>
            <w:tcMar>
              <w:top w:type="dxa" w:w="70"/>
              <w:left w:type="dxa" w:w="110"/>
              <w:bottom w:type="dxa" w:w="70"/>
              <w:right w:type="dxa" w:w="110"/>
            </w:tcMar>
          </w:tcPr>
          <w:p>
            <w:pPr>
              <w:spacing w:after="0"/>
            </w:pPr>
            <w:r>
              <w:rPr>
                <w:b/>
                <w:bCs/>
                <w:sz w:val="18"/>
                <w:szCs w:val="18"/>
              </w:rPr>
              <w:t xml:space="preserve">Date aware</w:t>
            </w:r>
          </w:p>
        </w:tc>
        <w:tc>
          <w:tcPr>
            <w:tcW w:type="dxa" w:w="936"/>
            <w:shd w:fill="EAECF0" w:val="clear"/>
            <w:tcMar>
              <w:top w:type="dxa" w:w="70"/>
              <w:left w:type="dxa" w:w="110"/>
              <w:bottom w:type="dxa" w:w="70"/>
              <w:right w:type="dxa" w:w="110"/>
            </w:tcMar>
          </w:tcPr>
          <w:p>
            <w:pPr>
              <w:spacing w:after="0"/>
            </w:pPr>
            <w:r>
              <w:rPr>
                <w:b/>
                <w:bCs/>
                <w:sz w:val="18"/>
                <w:szCs w:val="18"/>
              </w:rPr>
              <w:t xml:space="preserve">What happened</w:t>
            </w:r>
          </w:p>
        </w:tc>
        <w:tc>
          <w:tcPr>
            <w:tcW w:type="dxa" w:w="936"/>
            <w:shd w:fill="EAECF0" w:val="clear"/>
            <w:tcMar>
              <w:top w:type="dxa" w:w="70"/>
              <w:left w:type="dxa" w:w="110"/>
              <w:bottom w:type="dxa" w:w="70"/>
              <w:right w:type="dxa" w:w="110"/>
            </w:tcMar>
          </w:tcPr>
          <w:p>
            <w:pPr>
              <w:spacing w:after="0"/>
            </w:pPr>
            <w:r>
              <w:rPr>
                <w:b/>
                <w:bCs/>
                <w:sz w:val="18"/>
                <w:szCs w:val="18"/>
              </w:rPr>
              <w:t xml:space="preserve">Data &amp; people affected</w:t>
            </w:r>
          </w:p>
        </w:tc>
        <w:tc>
          <w:tcPr>
            <w:tcW w:type="dxa" w:w="936"/>
            <w:shd w:fill="EAECF0" w:val="clear"/>
            <w:tcMar>
              <w:top w:type="dxa" w:w="70"/>
              <w:left w:type="dxa" w:w="110"/>
              <w:bottom w:type="dxa" w:w="70"/>
              <w:right w:type="dxa" w:w="110"/>
            </w:tcMar>
          </w:tcPr>
          <w:p>
            <w:pPr>
              <w:spacing w:after="0"/>
            </w:pPr>
            <w:r>
              <w:rPr>
                <w:b/>
                <w:bCs/>
                <w:sz w:val="18"/>
                <w:szCs w:val="18"/>
              </w:rPr>
              <w:t xml:space="preserve">Risk</w:t>
            </w:r>
          </w:p>
        </w:tc>
        <w:tc>
          <w:tcPr>
            <w:tcW w:type="dxa" w:w="936"/>
            <w:shd w:fill="EAECF0" w:val="clear"/>
            <w:tcMar>
              <w:top w:type="dxa" w:w="70"/>
              <w:left w:type="dxa" w:w="110"/>
              <w:bottom w:type="dxa" w:w="70"/>
              <w:right w:type="dxa" w:w="110"/>
            </w:tcMar>
          </w:tcPr>
          <w:p>
            <w:pPr>
              <w:spacing w:after="0"/>
            </w:pPr>
            <w:r>
              <w:rPr>
                <w:b/>
                <w:bCs/>
                <w:sz w:val="18"/>
                <w:szCs w:val="18"/>
              </w:rPr>
              <w:t xml:space="preserve">NDPC notified?</w:t>
            </w:r>
          </w:p>
        </w:tc>
        <w:tc>
          <w:tcPr>
            <w:tcW w:type="dxa" w:w="936"/>
            <w:shd w:fill="EAECF0" w:val="clear"/>
            <w:tcMar>
              <w:top w:type="dxa" w:w="70"/>
              <w:left w:type="dxa" w:w="110"/>
              <w:bottom w:type="dxa" w:w="70"/>
              <w:right w:type="dxa" w:w="110"/>
            </w:tcMar>
          </w:tcPr>
          <w:p>
            <w:pPr>
              <w:spacing w:after="0"/>
            </w:pPr>
            <w:r>
              <w:rPr>
                <w:b/>
                <w:bCs/>
                <w:sz w:val="18"/>
                <w:szCs w:val="18"/>
              </w:rPr>
              <w:t xml:space="preserve">Subjects notified?</w:t>
            </w:r>
          </w:p>
        </w:tc>
        <w:tc>
          <w:tcPr>
            <w:tcW w:type="dxa" w:w="936"/>
            <w:shd w:fill="EAECF0" w:val="clear"/>
            <w:tcMar>
              <w:top w:type="dxa" w:w="70"/>
              <w:left w:type="dxa" w:w="110"/>
              <w:bottom w:type="dxa" w:w="70"/>
              <w:right w:type="dxa" w:w="110"/>
            </w:tcMar>
          </w:tcPr>
          <w:p>
            <w:pPr>
              <w:spacing w:after="0"/>
            </w:pPr>
            <w:r>
              <w:rPr>
                <w:b/>
                <w:bCs/>
                <w:sz w:val="18"/>
                <w:szCs w:val="18"/>
              </w:rPr>
              <w:t xml:space="preserve">If not, why</w:t>
            </w:r>
          </w:p>
        </w:tc>
        <w:tc>
          <w:tcPr>
            <w:tcW w:type="dxa" w:w="936"/>
            <w:shd w:fill="EAECF0" w:val="clear"/>
            <w:tcMar>
              <w:top w:type="dxa" w:w="70"/>
              <w:left w:type="dxa" w:w="110"/>
              <w:bottom w:type="dxa" w:w="70"/>
              <w:right w:type="dxa" w:w="110"/>
            </w:tcMar>
          </w:tcPr>
          <w:p>
            <w:pPr>
              <w:spacing w:after="0"/>
            </w:pPr>
            <w:r>
              <w:rPr>
                <w:b/>
                <w:bCs/>
                <w:sz w:val="18"/>
                <w:szCs w:val="18"/>
              </w:rPr>
              <w:t xml:space="preserve">Fix + proof</w:t>
            </w:r>
          </w:p>
        </w:tc>
        <w:tc>
          <w:tcPr>
            <w:tcW w:type="dxa" w:w="936"/>
            <w:shd w:fill="EAECF0" w:val="clear"/>
            <w:tcMar>
              <w:top w:type="dxa" w:w="70"/>
              <w:left w:type="dxa" w:w="110"/>
              <w:bottom w:type="dxa" w:w="70"/>
              <w:right w:type="dxa" w:w="110"/>
            </w:tcMar>
          </w:tcPr>
          <w:p>
            <w:pPr>
              <w:spacing w:after="0"/>
            </w:pPr>
            <w:r>
              <w:rPr>
                <w:b/>
                <w:bCs/>
                <w:sz w:val="18"/>
                <w:szCs w:val="18"/>
              </w:rPr>
              <w:t xml:space="preserve">Closed</w:t>
            </w:r>
          </w:p>
        </w:tc>
      </w:tr>
      <w:tr>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c>
          <w:tcPr>
            <w:tcW w:type="dxa" w:w="936"/>
            <w:tcMar>
              <w:top w:type="dxa" w:w="70"/>
              <w:left w:type="dxa" w:w="110"/>
              <w:bottom w:type="dxa" w:w="70"/>
              <w:right w:type="dxa" w:w="110"/>
            </w:tcMar>
          </w:tcPr>
          <w:p>
            <w:pPr>
              <w:spacing w:after="0"/>
            </w:pPr>
            <w:r>
              <w:rPr>
                <w:sz w:val="18"/>
                <w:szCs w:val="18"/>
              </w:rPr>
              <w:t xml:space="preserve"/>
            </w:r>
          </w:p>
        </w:tc>
      </w:tr>
    </w:tbl>
    <w:p>
      <w:pPr>
        <w:spacing w:after="160"/>
      </w:pPr>
    </w:p>
    <w:p>
      <w:pPr>
        <w:pBdr>
          <w:bottom w:val="single" w:color="D0D5DD" w:sz="6" w:space="6"/>
        </w:pBdr>
        <w:spacing w:after="120"/>
      </w:pPr>
    </w:p>
    <w:p>
      <w:pPr>
        <w:pStyle w:val="Heading2"/>
        <w:spacing w:after="140" w:before="300"/>
      </w:pPr>
      <w:r>
        <w:t xml:space="preserve">10.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ECF0" w:val="clear"/>
            <w:tcMar>
              <w:top w:type="dxa" w:w="70"/>
              <w:left w:type="dxa" w:w="110"/>
              <w:bottom w:type="dxa" w:w="70"/>
              <w:right w:type="dxa" w:w="110"/>
            </w:tcMar>
          </w:tcPr>
          <w:p>
            <w:pPr>
              <w:spacing w:after="0"/>
            </w:pPr>
            <w:r>
              <w:rPr>
                <w:b/>
                <w:bCs/>
                <w:sz w:val="18"/>
                <w:szCs w:val="18"/>
              </w:rPr>
              <w:t xml:space="preserve">Role</w:t>
            </w:r>
          </w:p>
        </w:tc>
        <w:tc>
          <w:tcPr>
            <w:tcW w:type="dxa" w:w="3120"/>
            <w:shd w:fill="EAECF0" w:val="clear"/>
            <w:tcMar>
              <w:top w:type="dxa" w:w="70"/>
              <w:left w:type="dxa" w:w="110"/>
              <w:bottom w:type="dxa" w:w="70"/>
              <w:right w:type="dxa" w:w="110"/>
            </w:tcMar>
          </w:tcPr>
          <w:p>
            <w:pPr>
              <w:spacing w:after="0"/>
            </w:pPr>
            <w:r>
              <w:rPr>
                <w:b/>
                <w:bCs/>
                <w:sz w:val="18"/>
                <w:szCs w:val="18"/>
              </w:rPr>
              <w:t xml:space="preserve">Name</w:t>
            </w:r>
          </w:p>
        </w:tc>
        <w:tc>
          <w:tcPr>
            <w:tcW w:type="dxa" w:w="3120"/>
            <w:shd w:fill="EAECF0" w:val="clear"/>
            <w:tcMar>
              <w:top w:type="dxa" w:w="70"/>
              <w:left w:type="dxa" w:w="110"/>
              <w:bottom w:type="dxa" w:w="70"/>
              <w:right w:type="dxa" w:w="110"/>
            </w:tcMar>
          </w:tcPr>
          <w:p>
            <w:pPr>
              <w:spacing w:after="0"/>
            </w:pPr>
            <w:r>
              <w:rPr>
                <w:b/>
                <w:bCs/>
                <w:sz w:val="18"/>
                <w:szCs w:val="18"/>
              </w:rPr>
              <w:t xml:space="preserve">Contact</w:t>
            </w:r>
          </w:p>
        </w:tc>
      </w:tr>
      <w:tr>
        <w:tc>
          <w:tcPr>
            <w:tcW w:type="dxa" w:w="3120"/>
            <w:tcMar>
              <w:top w:type="dxa" w:w="70"/>
              <w:left w:type="dxa" w:w="110"/>
              <w:bottom w:type="dxa" w:w="70"/>
              <w:right w:type="dxa" w:w="110"/>
            </w:tcMar>
          </w:tcPr>
          <w:p>
            <w:pPr>
              <w:spacing w:after="0"/>
            </w:pPr>
            <w:r>
              <w:rPr>
                <w:sz w:val="18"/>
                <w:szCs w:val="18"/>
              </w:rPr>
              <w:t xml:space="preserve">DPO</w:t>
            </w:r>
          </w:p>
        </w:tc>
        <w:tc>
          <w:tcPr>
            <w:tcW w:type="dxa" w:w="3120"/>
            <w:tcMar>
              <w:top w:type="dxa" w:w="70"/>
              <w:left w:type="dxa" w:w="110"/>
              <w:bottom w:type="dxa" w:w="70"/>
              <w:right w:type="dxa" w:w="110"/>
            </w:tcMar>
          </w:tcPr>
          <w:p>
            <w:pPr>
              <w:spacing w:after="0"/>
            </w:pPr>
            <w:r>
              <w:rPr>
                <w:sz w:val="18"/>
                <w:szCs w:val="18"/>
              </w:rPr>
              <w:t xml:space="preserve">Ebube Ikechwu</w:t>
            </w:r>
          </w:p>
        </w:tc>
        <w:tc>
          <w:tcPr>
            <w:tcW w:type="dxa" w:w="3120"/>
            <w:tcMar>
              <w:top w:type="dxa" w:w="70"/>
              <w:left w:type="dxa" w:w="110"/>
              <w:bottom w:type="dxa" w:w="70"/>
              <w:right w:type="dxa" w:w="110"/>
            </w:tcMar>
          </w:tcPr>
          <w:p>
            <w:pPr>
              <w:spacing w:after="0"/>
            </w:pPr>
            <w:r>
              <w:rPr>
                <w:b/>
                <w:bCs/>
                <w:sz w:val="18"/>
                <w:szCs w:val="18"/>
              </w:rPr>
              <w:t xml:space="preserve">[to be completed before publishing]</w:t>
            </w:r>
          </w:p>
        </w:tc>
      </w:tr>
      <w:tr>
        <w:tc>
          <w:tcPr>
            <w:tcW w:type="dxa" w:w="3120"/>
            <w:tcMar>
              <w:top w:type="dxa" w:w="70"/>
              <w:left w:type="dxa" w:w="110"/>
              <w:bottom w:type="dxa" w:w="70"/>
              <w:right w:type="dxa" w:w="110"/>
            </w:tcMar>
          </w:tcPr>
          <w:p>
            <w:pPr>
              <w:spacing w:after="0"/>
            </w:pPr>
            <w:r>
              <w:rPr>
                <w:sz w:val="18"/>
                <w:szCs w:val="18"/>
              </w:rPr>
              <w:t xml:space="preserve">ICT manager</w:t>
            </w:r>
          </w:p>
        </w:tc>
        <w:tc>
          <w:tcPr>
            <w:tcW w:type="dxa" w:w="3120"/>
            <w:tcMar>
              <w:top w:type="dxa" w:w="70"/>
              <w:left w:type="dxa" w:w="110"/>
              <w:bottom w:type="dxa" w:w="70"/>
              <w:right w:type="dxa" w:w="110"/>
            </w:tcMar>
          </w:tcPr>
          <w:p>
            <w:pPr>
              <w:spacing w:after="0"/>
            </w:pPr>
            <w:r>
              <w:rPr>
                <w:sz w:val="18"/>
                <w:szCs w:val="18"/>
              </w:rPr>
              <w:t xml:space="preserve">Joseph Emmanuel</w:t>
            </w:r>
          </w:p>
        </w:tc>
        <w:tc>
          <w:tcPr>
            <w:tcW w:type="dxa" w:w="3120"/>
            <w:tcMar>
              <w:top w:type="dxa" w:w="70"/>
              <w:left w:type="dxa" w:w="110"/>
              <w:bottom w:type="dxa" w:w="70"/>
              <w:right w:type="dxa" w:w="110"/>
            </w:tcMar>
          </w:tcPr>
          <w:p>
            <w:pPr>
              <w:spacing w:after="0"/>
            </w:pPr>
            <w:r>
              <w:rPr>
                <w:b/>
                <w:bCs/>
                <w:sz w:val="18"/>
                <w:szCs w:val="18"/>
              </w:rPr>
              <w:t xml:space="preserve">[to be completed]</w:t>
            </w:r>
          </w:p>
        </w:tc>
      </w:tr>
      <w:tr>
        <w:tc>
          <w:tcPr>
            <w:tcW w:type="dxa" w:w="3120"/>
            <w:tcMar>
              <w:top w:type="dxa" w:w="70"/>
              <w:left w:type="dxa" w:w="110"/>
              <w:bottom w:type="dxa" w:w="70"/>
              <w:right w:type="dxa" w:w="110"/>
            </w:tcMar>
          </w:tcPr>
          <w:p>
            <w:pPr>
              <w:spacing w:after="0"/>
            </w:pPr>
            <w:r>
              <w:rPr>
                <w:sz w:val="18"/>
                <w:szCs w:val="18"/>
              </w:rPr>
              <w:t xml:space="preserve">NDPC</w:t>
            </w:r>
          </w:p>
        </w:tc>
        <w:tc>
          <w:tcPr>
            <w:tcW w:type="dxa" w:w="3120"/>
            <w:tcMar>
              <w:top w:type="dxa" w:w="70"/>
              <w:left w:type="dxa" w:w="110"/>
              <w:bottom w:type="dxa" w:w="70"/>
              <w:right w:type="dxa" w:w="110"/>
            </w:tcMar>
          </w:tcPr>
          <w:p>
            <w:pPr>
              <w:spacing w:after="0"/>
            </w:pPr>
            <w:r>
              <w:rPr>
                <w:sz w:val="18"/>
                <w:szCs w:val="18"/>
              </w:rPr>
              <w:t xml:space="preserve">Nigeria Data Protection Commission</w:t>
            </w:r>
          </w:p>
        </w:tc>
        <w:tc>
          <w:tcPr>
            <w:tcW w:type="dxa" w:w="3120"/>
            <w:tcMar>
              <w:top w:type="dxa" w:w="70"/>
              <w:left w:type="dxa" w:w="110"/>
              <w:bottom w:type="dxa" w:w="70"/>
              <w:right w:type="dxa" w:w="110"/>
            </w:tcMar>
          </w:tcPr>
          <w:p>
            <w:pPr>
              <w:spacing w:after="0"/>
            </w:pPr>
            <w:r>
              <w:rPr>
                <w:b/>
                <w:bCs/>
                <w:sz w:val="18"/>
                <w:szCs w:val="18"/>
              </w:rPr>
              <w:t xml:space="preserve">[to be confirmed by Legal]</w:t>
            </w:r>
          </w:p>
        </w:tc>
      </w:tr>
      <w:tr>
        <w:tc>
          <w:tcPr>
            <w:tcW w:type="dxa" w:w="3120"/>
            <w:tcMar>
              <w:top w:type="dxa" w:w="70"/>
              <w:left w:type="dxa" w:w="110"/>
              <w:bottom w:type="dxa" w:w="70"/>
              <w:right w:type="dxa" w:w="110"/>
            </w:tcMar>
          </w:tcPr>
          <w:p>
            <w:pPr>
              <w:spacing w:after="0"/>
            </w:pPr>
            <w:r>
              <w:rPr>
                <w:sz w:val="18"/>
                <w:szCs w:val="18"/>
              </w:rPr>
              <w:t xml:space="preserve">Legal</w:t>
            </w:r>
          </w:p>
        </w:tc>
        <w:tc>
          <w:tcPr>
            <w:tcW w:type="dxa" w:w="3120"/>
            <w:tcMar>
              <w:top w:type="dxa" w:w="70"/>
              <w:left w:type="dxa" w:w="110"/>
              <w:bottom w:type="dxa" w:w="70"/>
              <w:right w:type="dxa" w:w="110"/>
            </w:tcMar>
          </w:tcPr>
          <w:p>
            <w:pPr>
              <w:spacing w:after="0"/>
            </w:pPr>
            <w:r>
              <w:rPr>
                <w:sz w:val="18"/>
                <w:szCs w:val="18"/>
              </w:rPr>
              <w:t xml:space="preserve"/>
            </w:r>
          </w:p>
        </w:tc>
        <w:tc>
          <w:tcPr>
            <w:tcW w:type="dxa" w:w="3120"/>
            <w:tcMar>
              <w:top w:type="dxa" w:w="70"/>
              <w:left w:type="dxa" w:w="110"/>
              <w:bottom w:type="dxa" w:w="70"/>
              <w:right w:type="dxa" w:w="110"/>
            </w:tcMar>
          </w:tcPr>
          <w:p>
            <w:pPr>
              <w:spacing w:after="0"/>
            </w:pPr>
            <w:r>
              <w:rPr>
                <w:b/>
                <w:bCs/>
                <w:sz w:val="18"/>
                <w:szCs w:val="18"/>
              </w:rPr>
              <w:t xml:space="preserve">[to be completed]</w:t>
            </w:r>
          </w:p>
        </w:tc>
      </w:tr>
    </w:tbl>
    <w:p>
      <w:pPr>
        <w:spacing w:after="160"/>
      </w:pPr>
    </w:p>
    <w:p>
      <w:pPr>
        <w:spacing w:after="140" w:line="268"/>
      </w:pPr>
      <w:r>
        <w:t xml:space="preserve">⚠️ </w:t>
      </w:r>
      <w:r>
        <w:rPr>
          <w:b/>
          <w:bCs/>
        </w:rPr>
        <w:t xml:space="preserve">This document is not finished until that table is.</w:t>
      </w:r>
      <w:r>
        <w:t xml:space="preserve"> A procedure whose first step is "tell the DPO" fails at 3am if nobody can find the number.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lvl w:ilvl="1" w15:tentative="1">
      <w:start w:val="1"/>
      <w:numFmt w:val="bullet"/>
      <w:lvlText w:val="◦"/>
      <w:lvlJc w:val="left"/>
      <w:pPr>
        <w:ind w:left="760" w:hanging="300"/>
      </w:pPr>
    </w:lvl>
    <w:lvl w:ilvl="2" w15:tentative="1">
      <w:start w:val="1"/>
      <w:numFmt w:val="bullet"/>
      <w:lvlText w:val="▪"/>
      <w:lvlJc w:val="left"/>
      <w:pPr>
        <w:ind w:left="112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pPr>
    <w:rPr>
      <w:rFonts w:ascii="Calibri" w:cs="Calibri" w:eastAsia="Calibri" w:hAnsi="Calibri"/>
      <w:b/>
      <w:bCs/>
      <w:color w:val="003366"/>
      <w:sz w:val="34"/>
      <w:szCs w:val="34"/>
    </w:rPr>
  </w:style>
  <w:style w:type="paragraph" w:styleId="Heading2">
    <w:name w:val="Heading 2"/>
    <w:basedOn w:val="Normal"/>
    <w:next w:val="Normal"/>
    <w:qFormat/>
    <w:rPr>
      <w:rFonts w:ascii="Calibri" w:cs="Calibri" w:eastAsia="Calibri" w:hAnsi="Calibri"/>
      <w:b/>
      <w:bCs/>
      <w:color w:val="003366"/>
      <w:sz w:val="25"/>
      <w:szCs w:val="25"/>
    </w:rPr>
  </w:style>
  <w:style w:type="paragraph" w:styleId="Heading3">
    <w:name w:val="Heading 3"/>
    <w:basedOn w:val="Normal"/>
    <w:next w:val="Normal"/>
    <w:qFormat/>
    <w:rPr>
      <w:rFonts w:ascii="Calibri" w:cs="Calibri" w:eastAsia="Calibri" w:hAnsi="Calibri"/>
      <w:b/>
      <w:bCs/>
      <w:color w:val="1F4E79"/>
      <w:sz w:val="22"/>
      <w:szCs w:val="22"/>
    </w:rPr>
  </w:style>
  <w:style w:type="paragraph" w:styleId="Heading4">
    <w:name w:val="Heading 4"/>
    <w:basedOn w:val="Normal"/>
    <w:next w:val="Normal"/>
    <w:qFormat/>
    <w:rPr>
      <w:rFonts w:ascii="Calibri" w:cs="Calibri" w:eastAsia="Calibri" w:hAnsi="Calibri"/>
      <w:b/>
      <w:bCs/>
      <w:color w:val="374151"/>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2026-09-24T07:08:43.897Z</dcterms:created>
  <dcterms:modified xsi:type="dcterms:W3CDTF">2026-09-24T07:08:43.897Z</dcterms:modified>
</cp:coreProperties>
</file>

<file path=docProps/custom.xml><?xml version="1.0" encoding="utf-8"?>
<Properties xmlns="http://schemas.openxmlformats.org/officeDocument/2006/custom-properties" xmlns:vt="http://schemas.openxmlformats.org/officeDocument/2006/docPropsVTypes"/>
</file>