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6B7280"/>
          <w:sz w:val="16"/>
          <w:szCs w:val="16"/>
        </w:rPr>
        <w:t xml:space="preserve">OE GROUP — FOR LEGAL REVIEW · generated from the repository, 24 September 2026</w:t>
      </w:r>
    </w:p>
    <w:p>
      <w:pPr>
        <w:pStyle w:val="Heading1"/>
        <w:spacing w:after="140" w:before="0"/>
      </w:pPr>
      <w:r>
        <w:t xml:space="preserve">Data-subject rights procedure — OE Group IPMS</w:t>
      </w:r>
    </w:p>
    <w:p>
      <w:pPr>
        <w:spacing w:after="140" w:line="268"/>
      </w:pPr>
      <w:r>
        <w:rPr>
          <w:b/>
          <w:bCs/>
        </w:rPr>
        <w:t xml:space="preserve">Status:</w:t>
      </w:r>
      <w:r>
        <w:t xml:space="preserve"> working document, drafted 2026-09-20. Approved by Joseph Emmanuel (ICT) as the working procedure pending DPO and Legal review. </w:t>
      </w:r>
      <w:r>
        <w:rPr>
          <w:b/>
          <w:bCs/>
        </w:rPr>
        <w:t xml:space="preserve">Owner:</w:t>
      </w:r>
      <w:r>
        <w:t xml:space="preserve"> DPO — </w:t>
      </w:r>
      <w:r>
        <w:rPr>
          <w:b/>
          <w:bCs/>
        </w:rPr>
        <w:t xml:space="preserve">Ebube Ikechwu</w:t>
      </w:r>
      <w:r>
        <w:t xml:space="preserve">. </w:t>
      </w:r>
      <w:r>
        <w:rPr>
          <w:b/>
          <w:bCs/>
        </w:rPr>
        <w:t xml:space="preserve">Closes:</w:t>
      </w:r>
      <w:r>
        <w:t xml:space="preserve">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GO_LIVE_BUILD_PLAN.md</w:t>
      </w:r>
      <w:r>
        <w:t xml:space="preserve"> 1.4.</w:t>
      </w:r>
    </w:p>
    <w:p>
      <w:pPr>
        <w:spacing w:after="140" w:line="268"/>
      </w:pPr>
      <w:r>
        <w:t xml:space="preserve">This operationalises the promises already made publicly in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PRIVACY_NOTICE.md</w:t>
      </w:r>
      <w:r>
        <w:t xml:space="preserve"> §6. </w:t>
      </w:r>
      <w:r>
        <w:rPr>
          <w:b/>
          <w:bCs/>
        </w:rPr>
        <w:t xml:space="preserve">Where the two disagree, the notice wins and this document is wrong</w:t>
      </w:r>
      <w:r>
        <w:t xml:space="preserve"> — a published promise cannot be narrowed by an internal procedure.</w:t>
      </w:r>
    </w:p>
    <w:p>
      <w:pPr>
        <w:pBdr>
          <w:bottom w:val="single" w:color="D0D5DD" w:sz="6" w:space="6"/>
        </w:pBdr>
        <w:spacing w:after="120"/>
      </w:pPr>
    </w:p>
    <w:p>
      <w:pPr>
        <w:pStyle w:val="Heading2"/>
        <w:spacing w:after="140" w:before="300"/>
      </w:pPr>
      <w:r>
        <w:t xml:space="preserve">1. The clock</w:t>
      </w:r>
    </w:p>
    <w:p>
      <w:pPr>
        <w:spacing w:after="140" w:line="268"/>
      </w:pPr>
      <w:r>
        <w:rPr>
          <w:b/>
          <w:bCs/>
        </w:rPr>
        <w:t xml:space="preserve">30 days</w:t>
      </w:r>
      <w:r>
        <w:t xml:space="preserve"> from receipt, for every request. That is what the notice tells people and what the Act requires.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Acknowledge </w:t>
      </w:r>
      <w:r>
        <w:rPr>
          <w:b/>
          <w:bCs/>
        </w:rPr>
        <w:t xml:space="preserve">within 3 working days</w:t>
      </w:r>
      <w:r>
        <w:t xml:space="preserve">. A person who hears nothing assumes they are being ignored, and that is how a request becomes a complaint.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If a request is genuinely complex, tell them </w:t>
      </w:r>
      <w:r>
        <w:rPr>
          <w:b/>
          <w:bCs/>
        </w:rPr>
        <w:t xml:space="preserve">before day 30</w:t>
      </w:r>
      <w:r>
        <w:t xml:space="preserve">, say why, and give a date. Silence past day 30 is the failure, not the extra time.</w:t>
      </w:r>
    </w:p>
    <w:p>
      <w:pPr>
        <w:pBdr>
          <w:bottom w:val="single" w:color="D0D5DD" w:sz="6" w:space="6"/>
        </w:pBdr>
        <w:spacing w:after="120"/>
      </w:pPr>
    </w:p>
    <w:p>
      <w:pPr>
        <w:pStyle w:val="Heading2"/>
        <w:spacing w:after="140" w:before="300"/>
      </w:pPr>
      <w:r>
        <w:t xml:space="preserve">2. How a request arrives</w:t>
      </w:r>
    </w:p>
    <w:p>
      <w:pPr>
        <w:spacing w:after="140" w:line="268"/>
      </w:pPr>
      <w:r>
        <w:t xml:space="preserve">Any route counts — email to the DPO, a message to support, WhatsApp, a letter, or a tenant telling an FM in person. </w:t>
      </w:r>
      <w:r>
        <w:rPr>
          <w:b/>
          <w:bCs/>
        </w:rPr>
        <w:t xml:space="preserve">A request does not have to say "data subject access request" or cite the Act.</w:t>
      </w:r>
      <w:r>
        <w:t xml:space="preserve"> "Can you send me everything you hold about me" is a valid access request and the clock has started.</w:t>
      </w:r>
    </w:p>
    <w:p>
      <w:pPr>
        <w:spacing w:after="140" w:line="268"/>
      </w:pPr>
      <w:r>
        <w:t xml:space="preserve">Whoever receives it: forward to the DPO </w:t>
      </w:r>
      <w:r>
        <w:rPr>
          <w:b/>
          <w:bCs/>
        </w:rPr>
        <w:t xml:space="preserve">the same day</w:t>
      </w:r>
      <w:r>
        <w:t xml:space="preserve"> and tell the person you have done so.</w:t>
      </w:r>
    </w:p>
    <w:p>
      <w:pPr>
        <w:pBdr>
          <w:bottom w:val="single" w:color="D0D5DD" w:sz="6" w:space="6"/>
        </w:pBdr>
        <w:spacing w:after="120"/>
      </w:pPr>
    </w:p>
    <w:p>
      <w:pPr>
        <w:pStyle w:val="Heading2"/>
        <w:spacing w:after="140" w:before="300"/>
      </w:pPr>
      <w:r>
        <w:t xml:space="preserve">3. Verify who you are talking to</w:t>
      </w:r>
    </w:p>
    <w:p>
      <w:pPr>
        <w:spacing w:after="140" w:line="268"/>
      </w:pPr>
      <w:r>
        <w:t xml:space="preserve">Before releasing anything, confirm the requester is who they claim.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Signed-in account holder</w:t>
      </w:r>
      <w:r>
        <w:t xml:space="preserve"> — the account itself is the verification, if the request comes from the address on the account.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Anyone else, or a different address</w:t>
      </w:r>
      <w:r>
        <w:t xml:space="preserve"> — ask for one piece of information only they would hold (a tenancy reference, a recent payment amount).</w:t>
      </w:r>
    </w:p>
    <w:p>
      <w:pPr>
        <w:spacing w:after="140" w:line="268"/>
      </w:pPr>
      <w:r>
        <w:t xml:space="preserve">⚠️ </w:t>
      </w:r>
      <w:r>
        <w:rPr>
          <w:b/>
          <w:bCs/>
        </w:rPr>
        <w:t xml:space="preserve">Do not over-verify.</w:t>
      </w:r>
      <w:r>
        <w:t xml:space="preserve"> Demanding ID for a routine access request is itself a recognised obstruction tactic. And ❌ </w:t>
      </w:r>
      <w:r>
        <w:rPr>
          <w:b/>
          <w:bCs/>
        </w:rPr>
        <w:t xml:space="preserve">never create an account for someone in order to verify them</w:t>
      </w:r>
      <w:r>
        <w:t xml:space="preserve"> — that manufactures the record you were asked about.</w:t>
      </w:r>
    </w:p>
    <w:p>
      <w:pPr>
        <w:pBdr>
          <w:bottom w:val="single" w:color="D0D5DD" w:sz="6" w:space="6"/>
        </w:pBdr>
        <w:spacing w:after="120"/>
      </w:pPr>
    </w:p>
    <w:p>
      <w:pPr>
        <w:pStyle w:val="Heading2"/>
        <w:spacing w:after="140" w:before="300"/>
      </w:pPr>
      <w:r>
        <w:t xml:space="preserve">4. The rights, and how each is actually done</w:t>
      </w:r>
    </w:p>
    <w:p>
      <w:pPr>
        <w:pStyle w:val="Heading3"/>
        <w:spacing w:after="140" w:before="300"/>
      </w:pPr>
      <w:r>
        <w:t xml:space="preserve">4.1 Access — "what do you hold about me?"</w:t>
      </w:r>
    </w:p>
    <w:p>
      <w:pPr>
        <w:spacing w:after="140" w:line="268"/>
      </w:pPr>
      <w:r>
        <w:t xml:space="preserve">Most of it they can already see, and pointing them there is a complete answer for those parts: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They ask about</w:t>
            </w:r>
          </w:p>
        </w:tc>
        <w:tc>
          <w:tcPr>
            <w:tcW w:type="dxa" w:w="468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Where it already is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Their requests and messages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 Requests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Rent, charges, payment history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 Rent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Their tenancy, statements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Tenancy statement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Their profile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Profile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vendor's own company, jobs, invoices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 Company / My Work</w:t>
            </w:r>
          </w:p>
        </w:tc>
      </w:tr>
    </w:tbl>
    <w:p>
      <w:pPr>
        <w:spacing w:after="160"/>
      </w:pPr>
    </w:p>
    <w:p>
      <w:pPr>
        <w:spacing w:after="140" w:line="268"/>
      </w:pPr>
      <w:r>
        <w:t xml:space="preserve">For anything beyond that, the DPO assembles it. ⚠️ </w:t>
      </w:r>
      <w:r>
        <w:rPr>
          <w:rFonts w:ascii="Consolas" w:cs="Consolas" w:eastAsia="Consolas" w:hAnsi="Consolas"/>
          <w:b/>
          <w:bCs/>
          <w:color w:val="9A3412"/>
          <w:sz w:val="18"/>
          <w:szCs w:val="18"/>
        </w:rPr>
        <w:t xml:space="preserve">records.export</w:t>
      </w:r>
      <w:r>
        <w:rPr>
          <w:b/>
          <w:bCs/>
        </w:rPr>
        <w:t xml:space="preserve"> is deliberately off for every role in every organisation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0223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0239</w:t>
      </w:r>
      <w:r>
        <w:t xml:space="preserve">) and is operator-gated — that is an internal bulk-export control and </w:t>
      </w:r>
      <w:r>
        <w:rPr>
          <w:b/>
          <w:bCs/>
        </w:rPr>
        <w:t xml:space="preserve">not</w:t>
      </w:r>
      <w:r>
        <w:t xml:space="preserve"> the route for a personal request. Assemble the individual's own data; do not switch a bulk capability on to answer one person.</w:t>
      </w:r>
    </w:p>
    <w:p>
      <w:pPr>
        <w:spacing w:after="140" w:line="268"/>
      </w:pPr>
      <w:r>
        <w:t xml:space="preserve">Provide it in a commonly-used, readable form. A PDF or spreadsheet is fine.</w:t>
      </w:r>
    </w:p>
    <w:p>
      <w:pPr>
        <w:pStyle w:val="Heading3"/>
        <w:spacing w:after="140" w:before="300"/>
      </w:pPr>
      <w:r>
        <w:t xml:space="preserve">4.2 Correction</w:t>
      </w:r>
    </w:p>
    <w:p>
      <w:pPr>
        <w:spacing w:after="140" w:line="268"/>
      </w:pPr>
      <w:r>
        <w:t xml:space="preserve">Most is self-service in Settings → Profile. For the rest — a name on a tenancy, a corrected phone number — an administrator makes the change.</w:t>
      </w:r>
    </w:p>
    <w:p>
      <w:pPr>
        <w:spacing w:after="140" w:line="268"/>
      </w:pPr>
      <w:r>
        <w:t xml:space="preserve">📌 The correction is recorded in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audit_log</w:t>
      </w:r>
      <w:r>
        <w:t xml:space="preserve"> automatically, with who made it. That is the proof the request was honoured, and it is why corrections are never made directly in the database.</w:t>
      </w:r>
    </w:p>
    <w:p>
      <w:pPr>
        <w:pStyle w:val="Heading3"/>
        <w:spacing w:after="140" w:before="300"/>
      </w:pPr>
      <w:r>
        <w:t xml:space="preserve">4.3 Erasure — </w:t>
      </w:r>
      <w:r>
        <w:rPr>
          <w:b/>
          <w:bCs/>
        </w:rPr>
        <w:t xml:space="preserve">and its limits, stated honestly</w:t>
      </w:r>
    </w:p>
    <w:p>
      <w:pPr>
        <w:spacing w:after="140" w:line="268"/>
      </w:pPr>
      <w:r>
        <w:t xml:space="preserve">Some data </w:t>
      </w:r>
      <w:r>
        <w:rPr>
          <w:b/>
          <w:bCs/>
        </w:rPr>
        <w:t xml:space="preserve">will not</w:t>
      </w:r>
      <w:r>
        <w:t xml:space="preserve"> be deleted, and the notice already says so. Repeat the reason rather than hiding behind "we are unable to":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12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Rejected/withdrawn tenancy application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Auto-purged after 90 days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0082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purge-applications</w:t>
            </w:r>
            <w:r>
              <w:rPr>
                <w:sz w:val="18"/>
                <w:szCs w:val="18"/>
              </w:rPr>
              <w:t xml:space="preserve">). A decision record is kept without personal details.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process stays auditable without keeping the person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Financial records — payments, rent, remittances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Retained permanently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settled payment cannot be un-made, for the same reason a bank statement cannot be un-issued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audit_log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Cannot be deleted</w:t>
            </w:r>
            <w:r>
              <w:rPr>
                <w:sz w:val="18"/>
                <w:szCs w:val="18"/>
              </w:rPr>
              <w:t xml:space="preserve"> — append-only by trigger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 is the record of who did what. A trail that can be erased on request is not a trail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user account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Deactivated, not deleted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audit_log_actor_id_fkey</w:t>
            </w:r>
            <w:r>
              <w:rPr>
                <w:sz w:val="18"/>
                <w:szCs w:val="18"/>
              </w:rPr>
              <w:t xml:space="preserve"> holds the account the trail names. Deactivation removes all access — see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verify-deactivation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Everything else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Deleted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line="268"/>
      </w:pPr>
      <w:r>
        <w:t xml:space="preserve">When refusing in part, always say: </w:t>
      </w:r>
      <w:r>
        <w:rPr>
          <w:b/>
          <w:bCs/>
        </w:rPr>
        <w:t xml:space="preserve">what is being kept, why, for how long, and that they may still ask what is held.</w:t>
      </w:r>
    </w:p>
    <w:p>
      <w:pPr>
        <w:pStyle w:val="Heading3"/>
        <w:spacing w:after="140" w:before="300"/>
      </w:pPr>
      <w:r>
        <w:t xml:space="preserve">4.4 Portability</w:t>
      </w:r>
    </w:p>
    <w:p>
      <w:pPr>
        <w:spacing w:after="140" w:line="268"/>
      </w:pPr>
      <w:r>
        <w:t xml:space="preserve">Their own data, in a machine-readable form, where processing rests on consent or a contract. In practice: the same assembly as §4.1, delivered as CSV or JSON.</w:t>
      </w:r>
    </w:p>
    <w:p>
      <w:pPr>
        <w:pStyle w:val="Heading3"/>
        <w:spacing w:after="140" w:before="300"/>
      </w:pPr>
      <w:r>
        <w:t xml:space="preserve">4.5 Objection, and withdrawing consent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Marketing or optional channels</w:t>
      </w:r>
      <w:r>
        <w:t xml:space="preserve"> (WhatsApp, Telegram, SMS) — stop, and turn the consent record off.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consent</w:t>
      </w:r>
      <w:r>
        <w:t xml:space="preserve"> is a record, not a checkbox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0148</w:t>
      </w:r>
      <w:r>
        <w:t xml:space="preserve">), so this is a real state change and is auditable.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Processing necessary to the tenancy</w:t>
      </w:r>
      <w:r>
        <w:t xml:space="preserve"> — cannot simply be stopped. Explain that the tenancy itself is the basis, and what ending it would mean.</w:t>
      </w:r>
    </w:p>
    <w:p>
      <w:pPr>
        <w:spacing w:after="140" w:line="268"/>
      </w:pPr>
      <w:r>
        <w:t xml:space="preserve">⚠️ </w:t>
      </w:r>
      <w:r>
        <w:rPr>
          <w:b/>
          <w:bCs/>
        </w:rPr>
        <w:t xml:space="preserve">Consent is not the basis for the core system</w:t>
      </w:r>
      <w:r>
        <w:t xml:space="preserve">, and should never be described to a tenant as though it were. See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CROSS_BORDER_TRANSFER_BASIS.md</w:t>
      </w:r>
      <w:r>
        <w:t xml:space="preserve"> §5 for why.</w:t>
      </w:r>
    </w:p>
    <w:p>
      <w:pPr>
        <w:pBdr>
          <w:bottom w:val="single" w:color="D0D5DD" w:sz="6" w:space="6"/>
        </w:pBdr>
        <w:spacing w:after="120"/>
      </w:pPr>
    </w:p>
    <w:p>
      <w:pPr>
        <w:pStyle w:val="Heading2"/>
        <w:spacing w:after="140" w:before="300"/>
      </w:pPr>
      <w:r>
        <w:t xml:space="preserve">5. Refusing, properly</w:t>
      </w:r>
    </w:p>
    <w:p>
      <w:pPr>
        <w:spacing w:after="140" w:line="268"/>
      </w:pPr>
      <w:r>
        <w:t xml:space="preserve">You may refuse a request that is manifestly unfounded or excessive, or where an exemption applies. If you do, say </w:t>
      </w:r>
      <w:r>
        <w:rPr>
          <w:b/>
          <w:bCs/>
        </w:rPr>
        <w:t xml:space="preserve">within 30 days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That you are refusing, and which part.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The specific reason.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That they may complain to the </w:t>
      </w:r>
      <w:r>
        <w:rPr>
          <w:b/>
          <w:bCs/>
        </w:rPr>
        <w:t xml:space="preserve">NDPC</w:t>
      </w:r>
      <w:r>
        <w:t xml:space="preserve">, and how.</w:t>
      </w:r>
    </w:p>
    <w:p>
      <w:pPr>
        <w:spacing w:after="140" w:line="268"/>
      </w:pPr>
      <w:r>
        <w:t xml:space="preserve">A refusal without a route to challenge it is what turns a disagreement into a regulatory complaint.</w:t>
      </w:r>
    </w:p>
    <w:p>
      <w:pPr>
        <w:pBdr>
          <w:bottom w:val="single" w:color="D0D5DD" w:sz="6" w:space="6"/>
        </w:pBdr>
        <w:spacing w:after="120"/>
      </w:pPr>
    </w:p>
    <w:p>
      <w:pPr>
        <w:pStyle w:val="Heading2"/>
        <w:spacing w:after="140" w:before="300"/>
      </w:pPr>
      <w:r>
        <w:t xml:space="preserve">6. The register</w:t>
      </w:r>
    </w:p>
    <w:p>
      <w:pPr>
        <w:spacing w:after="140" w:line="268"/>
      </w:pPr>
      <w:r>
        <w:t xml:space="preserve">Kept by the DPO. One row per request, never deleted — this is the evidence that the 30-day promise is met in practice.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Received</w:t>
            </w:r>
          </w:p>
        </w:tc>
        <w:tc>
          <w:tcPr>
            <w:tcW w:type="dxa" w:w="10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Who (ref, not name)</w:t>
            </w:r>
          </w:p>
        </w:tc>
        <w:tc>
          <w:tcPr>
            <w:tcW w:type="dxa" w:w="10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Right</w:t>
            </w:r>
          </w:p>
        </w:tc>
        <w:tc>
          <w:tcPr>
            <w:tcW w:type="dxa" w:w="10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Verified</w:t>
            </w:r>
          </w:p>
        </w:tc>
        <w:tc>
          <w:tcPr>
            <w:tcW w:type="dxa" w:w="10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10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Fulfilled</w:t>
            </w:r>
          </w:p>
        </w:tc>
        <w:tc>
          <w:tcPr>
            <w:tcW w:type="dxa" w:w="10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Partial refusal + reason</w:t>
            </w:r>
          </w:p>
        </w:tc>
        <w:tc>
          <w:tcPr>
            <w:tcW w:type="dxa" w:w="10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line="268"/>
      </w:pPr>
      <w:r>
        <w:t xml:space="preserve">📌 Review quarterly. If a right is never exercised, check whether the notice is actually reachable — an unused rights process usually means an unfindable one, not a satisfied user base.</w:t>
      </w:r>
    </w:p>
    <w:p>
      <w:pPr>
        <w:pBdr>
          <w:bottom w:val="single" w:color="D0D5DD" w:sz="6" w:space="6"/>
        </w:pBdr>
        <w:spacing w:after="120"/>
      </w:pPr>
    </w:p>
    <w:p>
      <w:pPr>
        <w:pStyle w:val="Heading2"/>
        <w:spacing w:after="140" w:before="300"/>
      </w:pPr>
      <w:r>
        <w:t xml:space="preserve">7. Templates</w:t>
      </w:r>
    </w:p>
    <w:p>
      <w:pPr>
        <w:spacing w:after="140" w:line="268"/>
      </w:pPr>
      <w:r>
        <w:rPr>
          <w:b/>
          <w:bCs/>
        </w:rPr>
        <w:t xml:space="preserve">Acknowledgement (within 3 working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Dear [name], we received your request on [date] and are handling it. We will respond by </w:t>
            </w:r>
            <w:r>
              <w:rPr>
                <w:b/>
                <w:bCs/>
                <w:sz w:val="19"/>
                <w:szCs w:val="19"/>
              </w:rPr>
              <w:t xml:space="preserve">[date + 30 days]</w:t>
            </w:r>
            <w:r>
              <w:rPr>
                <w:sz w:val="19"/>
                <w:szCs w:val="19"/>
              </w:rPr>
              <w:t xml:space="preserve">. If we need anything further to confirm your identity we will contact you. — [DPO], Data Protection Officer</w:t>
            </w:r>
          </w:p>
        </w:tc>
      </w:tr>
    </w:tbl>
    <w:p>
      <w:pPr>
        <w:spacing w:after="160"/>
      </w:pPr>
    </w:p>
    <w:p>
      <w:pPr>
        <w:spacing w:after="140" w:line="268"/>
      </w:pPr>
      <w:r>
        <w:rPr>
          <w:b/>
          <w:bCs/>
        </w:rPr>
        <w:t xml:space="preserve">Fulfilment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Dear [name], attached is the personal data we hold about you as of [date]. [Where relevant: some records are retained and cannot be deleted — see below, with the reason and the period.] If anything is inaccurate, tell us and we will correct it. — [DPO]</w:t>
            </w:r>
          </w:p>
        </w:tc>
      </w:tr>
    </w:tbl>
    <w:p>
      <w:pPr>
        <w:spacing w:after="160"/>
      </w:pPr>
    </w:p>
    <w:p>
      <w:pPr>
        <w:spacing w:after="140" w:line="268"/>
      </w:pPr>
      <w:r>
        <w:rPr>
          <w:b/>
          <w:bCs/>
        </w:rPr>
        <w:t xml:space="preserve">Partial refusal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Dear [name], we have [done X]. We are not able to [Y], because [specific reason — e.g. payment records form a permanent financial record]. We will keep that data for [period]. You may ask at any time what we hold. If you are unhappy with this decision you may complain to the Nigeria Data Protection Commission at [contact]. — [DPO]</w:t>
            </w:r>
          </w:p>
        </w:tc>
      </w:tr>
    </w:tbl>
    <w:p>
      <w:pPr>
        <w:spacing w:after="160"/>
      </w:pPr>
    </w:p>
    <w:p>
      <w:pPr>
        <w:pBdr>
          <w:bottom w:val="single" w:color="D0D5DD" w:sz="6" w:space="6"/>
        </w:pBdr>
        <w:spacing w:after="120"/>
      </w:pPr>
    </w:p>
    <w:p>
      <w:pPr>
        <w:pStyle w:val="Heading2"/>
        <w:spacing w:after="140" w:before="300"/>
      </w:pPr>
      <w:r>
        <w:t xml:space="preserve">8.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DPO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Ebube Ikechwu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[to be completed before publishing]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NDPC complaints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[to be confirmed by Legal]</w:t>
            </w:r>
          </w:p>
        </w:tc>
      </w:tr>
    </w:tbl>
    <w:p>
      <w:pPr>
        <w:spacing w:after="160"/>
      </w:pPr>
    </w:p>
    <w:p>
      <w:pPr>
        <w:spacing w:after="140" w:line="268"/>
      </w:pPr>
      <w:r>
        <w:t xml:space="preserve">⚠️ These must be filled in </w:t>
      </w:r>
      <w:r>
        <w:rPr>
          <w:b/>
          <w:bCs/>
        </w:rPr>
        <w:t xml:space="preserve">and match </w:t>
      </w:r>
      <w:r>
        <w:rPr>
          <w:rFonts w:ascii="Consolas" w:cs="Consolas" w:eastAsia="Consolas" w:hAnsi="Consolas"/>
          <w:b/>
          <w:bCs/>
          <w:color w:val="9A3412"/>
          <w:sz w:val="18"/>
          <w:szCs w:val="18"/>
        </w:rPr>
        <w:t xml:space="preserve">PRIVACY_NOTICE.md</w:t>
      </w:r>
      <w:r>
        <w:rPr>
          <w:b/>
          <w:bCs/>
        </w:rPr>
        <w:t xml:space="preserve"> §6 exactly</w:t>
      </w:r>
      <w:r>
        <w:t xml:space="preserve"> before either document is published. A notice that points at a contact this procedure does not use is how a request gets lost between two inboxes.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  <w:lvl w:ilvl="1" w15:tentative="1">
      <w:start w:val="1"/>
      <w:numFmt w:val="bullet"/>
      <w:lvlText w:val="◦"/>
      <w:lvlJc w:val="left"/>
      <w:pPr>
        <w:ind w:left="760" w:hanging="300"/>
      </w:pPr>
    </w:lvl>
    <w:lvl w:ilvl="2" w15:tentative="1">
      <w:start w:val="1"/>
      <w:numFmt w:val="bullet"/>
      <w:lvlText w:val="▪"/>
      <w:lvlJc w:val="left"/>
      <w:pPr>
        <w:ind w:left="11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/>
    </w:pPr>
    <w:rPr>
      <w:rFonts w:ascii="Calibri" w:cs="Calibri" w:eastAsia="Calibri" w:hAnsi="Calibri"/>
      <w:b/>
      <w:bCs/>
      <w:color w:val="003366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336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4E79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374151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2026-09-24T07:08:43.880Z</dcterms:created>
  <dcterms:modified xsi:type="dcterms:W3CDTF">2026-09-24T07:08:43.880Z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