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6B7280"/>
          <w:sz w:val="16"/>
          <w:szCs w:val="16"/>
        </w:rPr>
        <w:t xml:space="preserve">OE GROUP — FOR LEGAL REVIEW · generated from the repository, 24 September 2026</w:t>
      </w:r>
    </w:p>
    <w:p>
      <w:pPr>
        <w:pStyle w:val="Heading1"/>
        <w:spacing w:after="140" w:before="0"/>
      </w:pPr>
      <w:r>
        <w:t xml:space="preserve">Privacy Notice — OE Group</w:t>
      </w:r>
    </w:p>
    <w:p>
      <w:pPr>
        <w:spacing w:after="140" w:line="268"/>
      </w:pPr>
      <w:r>
        <w:rPr>
          <w:b/>
          <w:bCs/>
        </w:rPr>
        <w:t xml:space="preserve">Draft prepared:</w:t>
      </w:r>
      <w:r>
        <w:t xml:space="preserve"> 19 August 2026 · </w:t>
      </w:r>
      <w:r>
        <w:rPr>
          <w:b/>
          <w:bCs/>
        </w:rPr>
        <w:t xml:space="preserve">Status: draft for legal review — not yet published.</w:t>
      </w:r>
      <w:r>
        <w:t xml:space="preserve"> Grounded in </w:t>
      </w:r>
      <w:r>
        <w:rPr>
          <w:rFonts w:ascii="Consolas" w:cs="Consolas" w:eastAsia="Consolas" w:hAnsi="Consolas"/>
          <w:color w:val="9A3412"/>
          <w:sz w:val="18"/>
          <w:szCs w:val="18"/>
        </w:rPr>
        <w:t xml:space="preserve">docs/NDPA_COMPLIANCE_PACK.md</w:t>
      </w:r>
      <w:r>
        <w:t xml:space="preserve">; every factual claim below (what is collected, how long it is kept, how automated checks work) is checked against the actual system, not aspirational.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8FA" w:val="clear"/>
            <w:tcMar>
              <w:top w:type="dxa" w:w="140"/>
              <w:left w:type="dxa" w:w="180"/>
              <w:bottom w:type="dxa" w:w="140"/>
              <w:right w:type="dxa" w:w="180"/>
            </w:tcMar>
          </w:tcPr>
          <w:p>
            <w:pPr>
              <w:spacing w:after="0"/>
            </w:pPr>
            <w:r>
              <w:rPr>
                <w:b/>
                <w:bCs/>
                <w:sz w:val="19"/>
                <w:szCs w:val="19"/>
              </w:rPr>
              <w:t xml:space="preserve">Before publishing:</w:t>
            </w:r>
            <w:r>
              <w:rPr>
                <w:sz w:val="19"/>
                <w:szCs w:val="19"/>
              </w:rPr>
              <w:t xml:space="preserve"> this needs (1) legal review against the Nigeria Data Protection Act 2023, (2) the DPO's contact details completed below, (3) a decision on the bracketed items, and (4) sign-off from both TFML and OEA since one notice serves both brands.</w:t>
            </w:r>
          </w:p>
        </w:tc>
      </w:tr>
    </w:tbl>
    <w:p>
      <w:pPr>
        <w:spacing w:after="160"/>
      </w:pPr>
    </w:p>
    <w:p>
      <w:pPr>
        <w:pBdr>
          <w:bottom w:val="single" w:color="D0D5DD" w:sz="6" w:space="6"/>
        </w:pBdr>
        <w:spacing w:after="120"/>
      </w:pPr>
    </w:p>
    <w:p>
      <w:pPr>
        <w:pStyle w:val="Heading2"/>
        <w:spacing w:after="140" w:before="300"/>
      </w:pPr>
      <w:r>
        <w:t xml:space="preserve">1. Who we are</w:t>
      </w:r>
    </w:p>
    <w:p>
      <w:pPr>
        <w:spacing w:after="140" w:line="268"/>
      </w:pPr>
      <w:r>
        <w:t xml:space="preserve">This notice covers the Integrated Facilities &amp; Property Management platform operated by </w:t>
      </w:r>
      <w:r>
        <w:rPr>
          <w:b/>
          <w:bCs/>
        </w:rPr>
        <w:t xml:space="preserve">OE Group</w:t>
      </w:r>
      <w:r>
        <w:t xml:space="preserve">, through its two brands:</w:t>
      </w:r>
    </w:p>
    <w:p>
      <w:pPr>
        <w:pStyle w:val="ListParagraph"/>
        <w:numPr>
          <w:ilvl w:val="0"/>
          <w:numId w:val="2"/>
        </w:numPr>
        <w:spacing w:after="80" w:line="268"/>
      </w:pPr>
      <w:r>
        <w:rPr>
          <w:b/>
          <w:bCs/>
        </w:rPr>
        <w:t xml:space="preserve">TFML — Total Facilities Management Limited</w:t>
      </w:r>
      <w:r>
        <w:t xml:space="preserve">, a facilities management company.</w:t>
      </w:r>
    </w:p>
    <w:p>
      <w:pPr>
        <w:pStyle w:val="ListParagraph"/>
        <w:numPr>
          <w:ilvl w:val="0"/>
          <w:numId w:val="2"/>
        </w:numPr>
        <w:spacing w:after="80" w:line="268"/>
      </w:pPr>
      <w:r>
        <w:rPr>
          <w:b/>
          <w:bCs/>
        </w:rPr>
        <w:t xml:space="preserve">OEA — Ora Egbunike &amp; Associates</w:t>
      </w:r>
      <w:r>
        <w:t xml:space="preserve">, a chartered property management and valuation firm.</w:t>
      </w:r>
    </w:p>
    <w:p>
      <w:pPr>
        <w:spacing w:after="140" w:line="268"/>
      </w:pPr>
      <w:r>
        <w:t xml:space="preserve">Each brand's clients, tenants, vendors and staff use the same underlying platform, kept fully separated by organisation. Using this platform — as a tenant, applicant, vendor, landlord, or staff member — means your personal data is processed as described below.</w:t>
      </w:r>
    </w:p>
    <w:p>
      <w:pPr>
        <w:spacing w:after="140" w:line="268"/>
      </w:pPr>
      <w:r>
        <w:rPr>
          <w:b/>
          <w:bCs/>
        </w:rPr>
        <w:t xml:space="preserve">Data controller:</w:t>
      </w:r>
      <w:r>
        <w:t xml:space="preserve"> OE Group. Each client organisation's data is controlled by OE Group under its management agreement with that client.</w:t>
      </w:r>
    </w:p>
    <w:p>
      <w:pPr>
        <w:spacing w:after="140" w:line="268"/>
      </w:pPr>
      <w:r>
        <w:rPr>
          <w:b/>
          <w:bCs/>
        </w:rPr>
        <w:t xml:space="preserve">Data Protection Officer:</w:t>
      </w:r>
      <w:r>
        <w:t xml:space="preserve"> Ebube Ikechwu Contact: </w:t>
      </w:r>
      <w:r>
        <w:rPr>
          <w:b/>
          <w:bCs/>
        </w:rPr>
        <w:t xml:space="preserve">[email/phone — to be added before publishing]</w:t>
      </w:r>
    </w:p>
    <w:p>
      <w:pPr>
        <w:pBdr>
          <w:bottom w:val="single" w:color="D0D5DD" w:sz="6" w:space="6"/>
        </w:pBdr>
        <w:spacing w:after="120"/>
      </w:pPr>
    </w:p>
    <w:p>
      <w:pPr>
        <w:pStyle w:val="Heading2"/>
        <w:spacing w:after="140" w:before="300"/>
      </w:pPr>
      <w:r>
        <w:t xml:space="preserve">2. What we collect,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AECF0" w:val="clear"/>
            <w:tcMar>
              <w:top w:type="dxa" w:w="70"/>
              <w:left w:type="dxa" w:w="110"/>
              <w:bottom w:type="dxa" w:w="70"/>
              <w:right w:type="dxa" w:w="110"/>
            </w:tcMar>
          </w:tcPr>
          <w:p>
            <w:pPr>
              <w:spacing w:after="0"/>
            </w:pPr>
            <w:r>
              <w:rPr>
                <w:b/>
                <w:bCs/>
                <w:sz w:val="18"/>
                <w:szCs w:val="18"/>
              </w:rPr>
              <w:t xml:space="preserve">What</w:t>
            </w:r>
          </w:p>
        </w:tc>
        <w:tc>
          <w:tcPr>
            <w:tcW w:type="dxa" w:w="3120"/>
            <w:shd w:fill="EAECF0" w:val="clear"/>
            <w:tcMar>
              <w:top w:type="dxa" w:w="70"/>
              <w:left w:type="dxa" w:w="110"/>
              <w:bottom w:type="dxa" w:w="70"/>
              <w:right w:type="dxa" w:w="110"/>
            </w:tcMar>
          </w:tcPr>
          <w:p>
            <w:pPr>
              <w:spacing w:after="0"/>
            </w:pPr>
            <w:r>
              <w:rPr>
                <w:b/>
                <w:bCs/>
                <w:sz w:val="18"/>
                <w:szCs w:val="18"/>
              </w:rPr>
              <w:t xml:space="preserve">Examples</w:t>
            </w:r>
          </w:p>
        </w:tc>
        <w:tc>
          <w:tcPr>
            <w:tcW w:type="dxa" w:w="3120"/>
            <w:shd w:fill="EAECF0" w:val="clear"/>
            <w:tcMar>
              <w:top w:type="dxa" w:w="70"/>
              <w:left w:type="dxa" w:w="110"/>
              <w:bottom w:type="dxa" w:w="70"/>
              <w:right w:type="dxa" w:w="110"/>
            </w:tcMar>
          </w:tcPr>
          <w:p>
            <w:pPr>
              <w:spacing w:after="0"/>
            </w:pPr>
            <w:r>
              <w:rPr>
                <w:b/>
                <w:bCs/>
                <w:sz w:val="18"/>
                <w:szCs w:val="18"/>
              </w:rPr>
              <w:t xml:space="preserve">Why</w:t>
            </w:r>
          </w:p>
        </w:tc>
      </w:tr>
      <w:tr>
        <w:tc>
          <w:tcPr>
            <w:tcW w:type="dxa" w:w="3120"/>
            <w:tcMar>
              <w:top w:type="dxa" w:w="70"/>
              <w:left w:type="dxa" w:w="110"/>
              <w:bottom w:type="dxa" w:w="70"/>
              <w:right w:type="dxa" w:w="110"/>
            </w:tcMar>
          </w:tcPr>
          <w:p>
            <w:pPr>
              <w:spacing w:after="0"/>
            </w:pPr>
            <w:r>
              <w:rPr>
                <w:sz w:val="18"/>
                <w:szCs w:val="18"/>
              </w:rPr>
              <w:t xml:space="preserve">Identity &amp; contact</w:t>
            </w:r>
          </w:p>
        </w:tc>
        <w:tc>
          <w:tcPr>
            <w:tcW w:type="dxa" w:w="3120"/>
            <w:tcMar>
              <w:top w:type="dxa" w:w="70"/>
              <w:left w:type="dxa" w:w="110"/>
              <w:bottom w:type="dxa" w:w="70"/>
              <w:right w:type="dxa" w:w="110"/>
            </w:tcMar>
          </w:tcPr>
          <w:p>
            <w:pPr>
              <w:spacing w:after="0"/>
            </w:pPr>
            <w:r>
              <w:rPr>
                <w:sz w:val="18"/>
                <w:szCs w:val="18"/>
              </w:rPr>
              <w:t xml:space="preserve">Name, email, phone number, Telegram ID</w:t>
            </w:r>
          </w:p>
        </w:tc>
        <w:tc>
          <w:tcPr>
            <w:tcW w:type="dxa" w:w="3120"/>
            <w:tcMar>
              <w:top w:type="dxa" w:w="70"/>
              <w:left w:type="dxa" w:w="110"/>
              <w:bottom w:type="dxa" w:w="70"/>
              <w:right w:type="dxa" w:w="110"/>
            </w:tcMar>
          </w:tcPr>
          <w:p>
            <w:pPr>
              <w:spacing w:after="0"/>
            </w:pPr>
            <w:r>
              <w:rPr>
                <w:sz w:val="18"/>
                <w:szCs w:val="18"/>
              </w:rPr>
              <w:t xml:space="preserve">To create your account, reach you, and attribute actions to the right person</w:t>
            </w:r>
          </w:p>
        </w:tc>
      </w:tr>
      <w:tr>
        <w:tc>
          <w:tcPr>
            <w:tcW w:type="dxa" w:w="3120"/>
            <w:tcMar>
              <w:top w:type="dxa" w:w="70"/>
              <w:left w:type="dxa" w:w="110"/>
              <w:bottom w:type="dxa" w:w="70"/>
              <w:right w:type="dxa" w:w="110"/>
            </w:tcMar>
          </w:tcPr>
          <w:p>
            <w:pPr>
              <w:spacing w:after="0"/>
            </w:pPr>
            <w:r>
              <w:rPr>
                <w:sz w:val="18"/>
                <w:szCs w:val="18"/>
              </w:rPr>
              <w:t xml:space="preserve">Tenancy application details</w:t>
            </w:r>
          </w:p>
        </w:tc>
        <w:tc>
          <w:tcPr>
            <w:tcW w:type="dxa" w:w="3120"/>
            <w:tcMar>
              <w:top w:type="dxa" w:w="70"/>
              <w:left w:type="dxa" w:w="110"/>
              <w:bottom w:type="dxa" w:w="70"/>
              <w:right w:type="dxa" w:w="110"/>
            </w:tcMar>
          </w:tcPr>
          <w:p>
            <w:pPr>
              <w:spacing w:after="0"/>
            </w:pPr>
            <w:r>
              <w:rPr>
                <w:sz w:val="18"/>
                <w:szCs w:val="18"/>
              </w:rPr>
              <w:t xml:space="preserve">Employment, address, next of kin, income</w:t>
            </w:r>
          </w:p>
        </w:tc>
        <w:tc>
          <w:tcPr>
            <w:tcW w:type="dxa" w:w="3120"/>
            <w:tcMar>
              <w:top w:type="dxa" w:w="70"/>
              <w:left w:type="dxa" w:w="110"/>
              <w:bottom w:type="dxa" w:w="70"/>
              <w:right w:type="dxa" w:w="110"/>
            </w:tcMar>
          </w:tcPr>
          <w:p>
            <w:pPr>
              <w:spacing w:after="0"/>
            </w:pPr>
            <w:r>
              <w:rPr>
                <w:sz w:val="18"/>
                <w:szCs w:val="18"/>
              </w:rPr>
              <w:t xml:space="preserve">To assess a tenancy application, with your consent</w:t>
            </w:r>
          </w:p>
        </w:tc>
      </w:tr>
      <w:tr>
        <w:tc>
          <w:tcPr>
            <w:tcW w:type="dxa" w:w="3120"/>
            <w:tcMar>
              <w:top w:type="dxa" w:w="70"/>
              <w:left w:type="dxa" w:w="110"/>
              <w:bottom w:type="dxa" w:w="70"/>
              <w:right w:type="dxa" w:w="110"/>
            </w:tcMar>
          </w:tcPr>
          <w:p>
            <w:pPr>
              <w:spacing w:after="0"/>
            </w:pPr>
            <w:r>
              <w:rPr>
                <w:b/>
                <w:bCs/>
                <w:sz w:val="18"/>
                <w:szCs w:val="18"/>
              </w:rPr>
              <w:t xml:space="preserve">Special-category information</w:t>
            </w:r>
            <w:r>
              <w:rPr>
                <w:sz w:val="18"/>
                <w:szCs w:val="18"/>
              </w:rPr>
              <w:t xml:space="preserve"> (only where a tenancy application asks for it)</w:t>
            </w:r>
          </w:p>
        </w:tc>
        <w:tc>
          <w:tcPr>
            <w:tcW w:type="dxa" w:w="3120"/>
            <w:tcMar>
              <w:top w:type="dxa" w:w="70"/>
              <w:left w:type="dxa" w:w="110"/>
              <w:bottom w:type="dxa" w:w="70"/>
              <w:right w:type="dxa" w:w="110"/>
            </w:tcMar>
          </w:tcPr>
          <w:p>
            <w:pPr>
              <w:spacing w:after="0"/>
            </w:pPr>
            <w:r>
              <w:rPr>
                <w:sz w:val="18"/>
                <w:szCs w:val="18"/>
              </w:rPr>
              <w:t xml:space="preserve">Religion, marital status</w:t>
            </w:r>
          </w:p>
        </w:tc>
        <w:tc>
          <w:tcPr>
            <w:tcW w:type="dxa" w:w="3120"/>
            <w:tcMar>
              <w:top w:type="dxa" w:w="70"/>
              <w:left w:type="dxa" w:w="110"/>
              <w:bottom w:type="dxa" w:w="70"/>
              <w:right w:type="dxa" w:w="110"/>
            </w:tcMar>
          </w:tcPr>
          <w:p>
            <w:pPr>
              <w:spacing w:after="0"/>
            </w:pPr>
            <w:r>
              <w:rPr>
                <w:sz w:val="18"/>
                <w:szCs w:val="18"/>
              </w:rPr>
              <w:t xml:space="preserve">Only with your </w:t>
            </w:r>
            <w:r>
              <w:rPr>
                <w:b/>
                <w:bCs/>
                <w:sz w:val="18"/>
                <w:szCs w:val="18"/>
              </w:rPr>
              <w:t xml:space="preserve">explicit, separate consent</w:t>
            </w:r>
            <w:r>
              <w:rPr>
                <w:sz w:val="18"/>
                <w:szCs w:val="18"/>
              </w:rPr>
              <w:t xml:space="preserve"> — see §4</w:t>
            </w:r>
          </w:p>
        </w:tc>
      </w:tr>
      <w:tr>
        <w:tc>
          <w:tcPr>
            <w:tcW w:type="dxa" w:w="3120"/>
            <w:tcMar>
              <w:top w:type="dxa" w:w="70"/>
              <w:left w:type="dxa" w:w="110"/>
              <w:bottom w:type="dxa" w:w="70"/>
              <w:right w:type="dxa" w:w="110"/>
            </w:tcMar>
          </w:tcPr>
          <w:p>
            <w:pPr>
              <w:spacing w:after="0"/>
            </w:pPr>
            <w:r>
              <w:rPr>
                <w:sz w:val="18"/>
                <w:szCs w:val="18"/>
              </w:rPr>
              <w:t xml:space="preserve">Identity documents</w:t>
            </w:r>
          </w:p>
        </w:tc>
        <w:tc>
          <w:tcPr>
            <w:tcW w:type="dxa" w:w="3120"/>
            <w:tcMar>
              <w:top w:type="dxa" w:w="70"/>
              <w:left w:type="dxa" w:w="110"/>
              <w:bottom w:type="dxa" w:w="70"/>
              <w:right w:type="dxa" w:w="110"/>
            </w:tcMar>
          </w:tcPr>
          <w:p>
            <w:pPr>
              <w:spacing w:after="0"/>
            </w:pPr>
            <w:r>
              <w:rPr>
                <w:sz w:val="18"/>
                <w:szCs w:val="18"/>
              </w:rPr>
              <w:t xml:space="preserve">Uploaded ID, proof of address, employment letters</w:t>
            </w:r>
          </w:p>
        </w:tc>
        <w:tc>
          <w:tcPr>
            <w:tcW w:type="dxa" w:w="3120"/>
            <w:tcMar>
              <w:top w:type="dxa" w:w="70"/>
              <w:left w:type="dxa" w:w="110"/>
              <w:bottom w:type="dxa" w:w="70"/>
              <w:right w:type="dxa" w:w="110"/>
            </w:tcMar>
          </w:tcPr>
          <w:p>
            <w:pPr>
              <w:spacing w:after="0"/>
            </w:pPr>
            <w:r>
              <w:rPr>
                <w:sz w:val="18"/>
                <w:szCs w:val="18"/>
              </w:rPr>
              <w:t xml:space="preserve">To verify who you are and support a tenancy or vendor application</w:t>
            </w:r>
          </w:p>
        </w:tc>
      </w:tr>
      <w:tr>
        <w:tc>
          <w:tcPr>
            <w:tcW w:type="dxa" w:w="3120"/>
            <w:tcMar>
              <w:top w:type="dxa" w:w="70"/>
              <w:left w:type="dxa" w:w="110"/>
              <w:bottom w:type="dxa" w:w="70"/>
              <w:right w:type="dxa" w:w="110"/>
            </w:tcMar>
          </w:tcPr>
          <w:p>
            <w:pPr>
              <w:spacing w:after="0"/>
            </w:pPr>
            <w:r>
              <w:rPr>
                <w:sz w:val="18"/>
                <w:szCs w:val="18"/>
              </w:rPr>
              <w:t xml:space="preserve">Property photographs and video</w:t>
            </w:r>
          </w:p>
        </w:tc>
        <w:tc>
          <w:tcPr>
            <w:tcW w:type="dxa" w:w="3120"/>
            <w:tcMar>
              <w:top w:type="dxa" w:w="70"/>
              <w:left w:type="dxa" w:w="110"/>
              <w:bottom w:type="dxa" w:w="70"/>
              <w:right w:type="dxa" w:w="110"/>
            </w:tcMar>
          </w:tcPr>
          <w:p>
            <w:pPr>
              <w:spacing w:after="0"/>
            </w:pPr>
            <w:r>
              <w:rPr>
                <w:sz w:val="18"/>
                <w:szCs w:val="18"/>
              </w:rPr>
              <w:t xml:space="preserve">Maintenance job evidence, inspection photos</w:t>
            </w:r>
          </w:p>
        </w:tc>
        <w:tc>
          <w:tcPr>
            <w:tcW w:type="dxa" w:w="3120"/>
            <w:tcMar>
              <w:top w:type="dxa" w:w="70"/>
              <w:left w:type="dxa" w:w="110"/>
              <w:bottom w:type="dxa" w:w="70"/>
              <w:right w:type="dxa" w:w="110"/>
            </w:tcMar>
          </w:tcPr>
          <w:p>
            <w:pPr>
              <w:spacing w:after="0"/>
            </w:pPr>
            <w:r>
              <w:rPr>
                <w:sz w:val="18"/>
                <w:szCs w:val="18"/>
              </w:rPr>
              <w:t xml:space="preserve">To document work carried out, including inside occupied properties</w:t>
            </w:r>
          </w:p>
        </w:tc>
      </w:tr>
      <w:tr>
        <w:tc>
          <w:tcPr>
            <w:tcW w:type="dxa" w:w="3120"/>
            <w:tcMar>
              <w:top w:type="dxa" w:w="70"/>
              <w:left w:type="dxa" w:w="110"/>
              <w:bottom w:type="dxa" w:w="70"/>
              <w:right w:type="dxa" w:w="110"/>
            </w:tcMar>
          </w:tcPr>
          <w:p>
            <w:pPr>
              <w:spacing w:after="0"/>
            </w:pPr>
            <w:r>
              <w:rPr>
                <w:sz w:val="18"/>
                <w:szCs w:val="18"/>
              </w:rPr>
              <w:t xml:space="preserve">Financial records</w:t>
            </w:r>
          </w:p>
        </w:tc>
        <w:tc>
          <w:tcPr>
            <w:tcW w:type="dxa" w:w="3120"/>
            <w:tcMar>
              <w:top w:type="dxa" w:w="70"/>
              <w:left w:type="dxa" w:w="110"/>
              <w:bottom w:type="dxa" w:w="70"/>
              <w:right w:type="dxa" w:w="110"/>
            </w:tcMar>
          </w:tcPr>
          <w:p>
            <w:pPr>
              <w:spacing w:after="0"/>
            </w:pPr>
            <w:r>
              <w:rPr>
                <w:sz w:val="18"/>
                <w:szCs w:val="18"/>
              </w:rPr>
              <w:t xml:space="preserve">Payments, rent charges, service charges, payout details</w:t>
            </w:r>
          </w:p>
        </w:tc>
        <w:tc>
          <w:tcPr>
            <w:tcW w:type="dxa" w:w="3120"/>
            <w:tcMar>
              <w:top w:type="dxa" w:w="70"/>
              <w:left w:type="dxa" w:w="110"/>
              <w:bottom w:type="dxa" w:w="70"/>
              <w:right w:type="dxa" w:w="110"/>
            </w:tcMar>
          </w:tcPr>
          <w:p>
            <w:pPr>
              <w:spacing w:after="0"/>
            </w:pPr>
            <w:r>
              <w:rPr>
                <w:sz w:val="18"/>
                <w:szCs w:val="18"/>
              </w:rPr>
              <w:t xml:space="preserve">To bill correctly, collect and remit money, and keep an accurate account</w:t>
            </w:r>
          </w:p>
        </w:tc>
      </w:tr>
      <w:tr>
        <w:tc>
          <w:tcPr>
            <w:tcW w:type="dxa" w:w="3120"/>
            <w:tcMar>
              <w:top w:type="dxa" w:w="70"/>
              <w:left w:type="dxa" w:w="110"/>
              <w:bottom w:type="dxa" w:w="70"/>
              <w:right w:type="dxa" w:w="110"/>
            </w:tcMar>
          </w:tcPr>
          <w:p>
            <w:pPr>
              <w:spacing w:after="0"/>
            </w:pPr>
            <w:r>
              <w:rPr>
                <w:sz w:val="18"/>
                <w:szCs w:val="18"/>
              </w:rPr>
              <w:t xml:space="preserve">Communications</w:t>
            </w:r>
          </w:p>
        </w:tc>
        <w:tc>
          <w:tcPr>
            <w:tcW w:type="dxa" w:w="3120"/>
            <w:tcMar>
              <w:top w:type="dxa" w:w="70"/>
              <w:left w:type="dxa" w:w="110"/>
              <w:bottom w:type="dxa" w:w="70"/>
              <w:right w:type="dxa" w:w="110"/>
            </w:tcMar>
          </w:tcPr>
          <w:p>
            <w:pPr>
              <w:spacing w:after="0"/>
            </w:pPr>
            <w:r>
              <w:rPr>
                <w:sz w:val="18"/>
                <w:szCs w:val="18"/>
              </w:rPr>
              <w:t xml:space="preserve">Messages sent through WhatsApp, Telegram, or the web portal; request history</w:t>
            </w:r>
          </w:p>
        </w:tc>
        <w:tc>
          <w:tcPr>
            <w:tcW w:type="dxa" w:w="3120"/>
            <w:tcMar>
              <w:top w:type="dxa" w:w="70"/>
              <w:left w:type="dxa" w:w="110"/>
              <w:bottom w:type="dxa" w:w="70"/>
              <w:right w:type="dxa" w:w="110"/>
            </w:tcMar>
          </w:tcPr>
          <w:p>
            <w:pPr>
              <w:spacing w:after="0"/>
            </w:pPr>
            <w:r>
              <w:rPr>
                <w:sz w:val="18"/>
                <w:szCs w:val="18"/>
              </w:rPr>
              <w:t xml:space="preserve">To respond to what you've asked, and keep a record of what was said</w:t>
            </w:r>
          </w:p>
        </w:tc>
      </w:tr>
    </w:tbl>
    <w:p>
      <w:pPr>
        <w:spacing w:after="160"/>
      </w:pPr>
    </w:p>
    <w:p>
      <w:pPr>
        <w:spacing w:after="140" w:line="268"/>
      </w:pPr>
      <w:r>
        <w:t xml:space="preserve">We do not collect more than the above for any of these purposes, and we do not sell personal data to anyone.</w:t>
      </w:r>
    </w:p>
    <w:p>
      <w:pPr>
        <w:pBdr>
          <w:bottom w:val="single" w:color="D0D5DD" w:sz="6" w:space="6"/>
        </w:pBdr>
        <w:spacing w:after="120"/>
      </w:pPr>
    </w:p>
    <w:p>
      <w:pPr>
        <w:pStyle w:val="Heading2"/>
        <w:spacing w:after="140" w:before="300"/>
      </w:pPr>
      <w:r>
        <w:t xml:space="preserve">3. The legal basis for processing your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AECF0" w:val="clear"/>
            <w:tcMar>
              <w:top w:type="dxa" w:w="70"/>
              <w:left w:type="dxa" w:w="110"/>
              <w:bottom w:type="dxa" w:w="70"/>
              <w:right w:type="dxa" w:w="110"/>
            </w:tcMar>
          </w:tcPr>
          <w:p>
            <w:pPr>
              <w:spacing w:after="0"/>
            </w:pPr>
            <w:r>
              <w:rPr>
                <w:b/>
                <w:bCs/>
                <w:sz w:val="18"/>
                <w:szCs w:val="18"/>
              </w:rPr>
              <w:t xml:space="preserve">What we do</w:t>
            </w:r>
          </w:p>
        </w:tc>
        <w:tc>
          <w:tcPr>
            <w:tcW w:type="dxa" w:w="4680"/>
            <w:shd w:fill="EAECF0" w:val="clear"/>
            <w:tcMar>
              <w:top w:type="dxa" w:w="70"/>
              <w:left w:type="dxa" w:w="110"/>
              <w:bottom w:type="dxa" w:w="70"/>
              <w:right w:type="dxa" w:w="110"/>
            </w:tcMar>
          </w:tcPr>
          <w:p>
            <w:pPr>
              <w:spacing w:after="0"/>
            </w:pPr>
            <w:r>
              <w:rPr>
                <w:b/>
                <w:bCs/>
                <w:sz w:val="18"/>
                <w:szCs w:val="18"/>
              </w:rPr>
              <w:t xml:space="preserve">Why we're allowed to</w:t>
            </w:r>
          </w:p>
        </w:tc>
      </w:tr>
      <w:tr>
        <w:tc>
          <w:tcPr>
            <w:tcW w:type="dxa" w:w="4680"/>
            <w:tcMar>
              <w:top w:type="dxa" w:w="70"/>
              <w:left w:type="dxa" w:w="110"/>
              <w:bottom w:type="dxa" w:w="70"/>
              <w:right w:type="dxa" w:w="110"/>
            </w:tcMar>
          </w:tcPr>
          <w:p>
            <w:pPr>
              <w:spacing w:after="0"/>
            </w:pPr>
            <w:r>
              <w:rPr>
                <w:sz w:val="18"/>
                <w:szCs w:val="18"/>
              </w:rPr>
              <w:t xml:space="preserve">Reviewing a tenancy application</w:t>
            </w:r>
          </w:p>
        </w:tc>
        <w:tc>
          <w:tcPr>
            <w:tcW w:type="dxa" w:w="4680"/>
            <w:tcMar>
              <w:top w:type="dxa" w:w="70"/>
              <w:left w:type="dxa" w:w="110"/>
              <w:bottom w:type="dxa" w:w="70"/>
              <w:right w:type="dxa" w:w="110"/>
            </w:tcMar>
          </w:tcPr>
          <w:p>
            <w:pPr>
              <w:spacing w:after="0"/>
            </w:pPr>
            <w:r>
              <w:rPr>
                <w:sz w:val="18"/>
                <w:szCs w:val="18"/>
              </w:rPr>
              <w:t xml:space="preserve">Your </w:t>
            </w:r>
            <w:r>
              <w:rPr>
                <w:b/>
                <w:bCs/>
                <w:sz w:val="18"/>
                <w:szCs w:val="18"/>
              </w:rPr>
              <w:t xml:space="preserve">consent</w:t>
            </w:r>
            <w:r>
              <w:rPr>
                <w:sz w:val="18"/>
                <w:szCs w:val="18"/>
              </w:rPr>
              <w:t xml:space="preserve">, and steps taken before entering a contract</w:t>
            </w:r>
          </w:p>
        </w:tc>
      </w:tr>
      <w:tr>
        <w:tc>
          <w:tcPr>
            <w:tcW w:type="dxa" w:w="4680"/>
            <w:tcMar>
              <w:top w:type="dxa" w:w="70"/>
              <w:left w:type="dxa" w:w="110"/>
              <w:bottom w:type="dxa" w:w="70"/>
              <w:right w:type="dxa" w:w="110"/>
            </w:tcMar>
          </w:tcPr>
          <w:p>
            <w:pPr>
              <w:spacing w:after="0"/>
            </w:pPr>
            <w:r>
              <w:rPr>
                <w:sz w:val="18"/>
                <w:szCs w:val="18"/>
              </w:rPr>
              <w:t xml:space="preserve">Running your lease, rent and service charges</w:t>
            </w:r>
          </w:p>
        </w:tc>
        <w:tc>
          <w:tcPr>
            <w:tcW w:type="dxa" w:w="4680"/>
            <w:tcMar>
              <w:top w:type="dxa" w:w="70"/>
              <w:left w:type="dxa" w:w="110"/>
              <w:bottom w:type="dxa" w:w="70"/>
              <w:right w:type="dxa" w:w="110"/>
            </w:tcMar>
          </w:tcPr>
          <w:p>
            <w:pPr>
              <w:spacing w:after="0"/>
            </w:pPr>
            <w:r>
              <w:rPr>
                <w:sz w:val="18"/>
                <w:szCs w:val="18"/>
              </w:rPr>
              <w:t xml:space="preserve">Performance of a </w:t>
            </w:r>
            <w:r>
              <w:rPr>
                <w:b/>
                <w:bCs/>
                <w:sz w:val="18"/>
                <w:szCs w:val="18"/>
              </w:rPr>
              <w:t xml:space="preserve">contract</w:t>
            </w:r>
            <w:r>
              <w:rPr>
                <w:sz w:val="18"/>
                <w:szCs w:val="18"/>
              </w:rPr>
              <w:t xml:space="preserve"> with you</w:t>
            </w:r>
          </w:p>
        </w:tc>
      </w:tr>
      <w:tr>
        <w:tc>
          <w:tcPr>
            <w:tcW w:type="dxa" w:w="4680"/>
            <w:tcMar>
              <w:top w:type="dxa" w:w="70"/>
              <w:left w:type="dxa" w:w="110"/>
              <w:bottom w:type="dxa" w:w="70"/>
              <w:right w:type="dxa" w:w="110"/>
            </w:tcMar>
          </w:tcPr>
          <w:p>
            <w:pPr>
              <w:spacing w:after="0"/>
            </w:pPr>
            <w:r>
              <w:rPr>
                <w:sz w:val="18"/>
                <w:szCs w:val="18"/>
              </w:rPr>
              <w:t xml:space="preserve">Managing a vendor relationship and paying vendors</w:t>
            </w:r>
          </w:p>
        </w:tc>
        <w:tc>
          <w:tcPr>
            <w:tcW w:type="dxa" w:w="4680"/>
            <w:tcMar>
              <w:top w:type="dxa" w:w="70"/>
              <w:left w:type="dxa" w:w="110"/>
              <w:bottom w:type="dxa" w:w="70"/>
              <w:right w:type="dxa" w:w="110"/>
            </w:tcMar>
          </w:tcPr>
          <w:p>
            <w:pPr>
              <w:spacing w:after="0"/>
            </w:pPr>
            <w:r>
              <w:rPr>
                <w:sz w:val="18"/>
                <w:szCs w:val="18"/>
              </w:rPr>
              <w:t xml:space="preserve">Performance of a </w:t>
            </w:r>
            <w:r>
              <w:rPr>
                <w:b/>
                <w:bCs/>
                <w:sz w:val="18"/>
                <w:szCs w:val="18"/>
              </w:rPr>
              <w:t xml:space="preserve">contract</w:t>
            </w:r>
          </w:p>
        </w:tc>
      </w:tr>
      <w:tr>
        <w:tc>
          <w:tcPr>
            <w:tcW w:type="dxa" w:w="4680"/>
            <w:tcMar>
              <w:top w:type="dxa" w:w="70"/>
              <w:left w:type="dxa" w:w="110"/>
              <w:bottom w:type="dxa" w:w="70"/>
              <w:right w:type="dxa" w:w="110"/>
            </w:tcMar>
          </w:tcPr>
          <w:p>
            <w:pPr>
              <w:spacing w:after="0"/>
            </w:pPr>
            <w:r>
              <w:rPr>
                <w:sz w:val="18"/>
                <w:szCs w:val="18"/>
              </w:rPr>
              <w:t xml:space="preserve">Handling maintenance requests and work orders</w:t>
            </w:r>
          </w:p>
        </w:tc>
        <w:tc>
          <w:tcPr>
            <w:tcW w:type="dxa" w:w="4680"/>
            <w:tcMar>
              <w:top w:type="dxa" w:w="70"/>
              <w:left w:type="dxa" w:w="110"/>
              <w:bottom w:type="dxa" w:w="70"/>
              <w:right w:type="dxa" w:w="110"/>
            </w:tcMar>
          </w:tcPr>
          <w:p>
            <w:pPr>
              <w:spacing w:after="0"/>
            </w:pPr>
            <w:r>
              <w:rPr>
                <w:sz w:val="18"/>
                <w:szCs w:val="18"/>
              </w:rPr>
              <w:t xml:space="preserve">Our </w:t>
            </w:r>
            <w:r>
              <w:rPr>
                <w:b/>
                <w:bCs/>
                <w:sz w:val="18"/>
                <w:szCs w:val="18"/>
              </w:rPr>
              <w:t xml:space="preserve">legitimate interest</w:t>
            </w:r>
            <w:r>
              <w:rPr>
                <w:sz w:val="18"/>
                <w:szCs w:val="18"/>
              </w:rPr>
              <w:t xml:space="preserve"> in operating the property properly</w:t>
            </w:r>
          </w:p>
        </w:tc>
      </w:tr>
      <w:tr>
        <w:tc>
          <w:tcPr>
            <w:tcW w:type="dxa" w:w="4680"/>
            <w:tcMar>
              <w:top w:type="dxa" w:w="70"/>
              <w:left w:type="dxa" w:w="110"/>
              <w:bottom w:type="dxa" w:w="70"/>
              <w:right w:type="dxa" w:w="110"/>
            </w:tcMar>
          </w:tcPr>
          <w:p>
            <w:pPr>
              <w:spacing w:after="0"/>
            </w:pPr>
            <w:r>
              <w:rPr>
                <w:sz w:val="18"/>
                <w:szCs w:val="18"/>
              </w:rPr>
              <w:t xml:space="preserve">Keeping an audit trail of who did what</w:t>
            </w:r>
          </w:p>
        </w:tc>
        <w:tc>
          <w:tcPr>
            <w:tcW w:type="dxa" w:w="4680"/>
            <w:tcMar>
              <w:top w:type="dxa" w:w="70"/>
              <w:left w:type="dxa" w:w="110"/>
              <w:bottom w:type="dxa" w:w="70"/>
              <w:right w:type="dxa" w:w="110"/>
            </w:tcMar>
          </w:tcPr>
          <w:p>
            <w:pPr>
              <w:spacing w:after="0"/>
            </w:pPr>
            <w:r>
              <w:rPr>
                <w:sz w:val="18"/>
                <w:szCs w:val="18"/>
              </w:rPr>
              <w:t xml:space="preserve">A </w:t>
            </w:r>
            <w:r>
              <w:rPr>
                <w:b/>
                <w:bCs/>
                <w:sz w:val="18"/>
                <w:szCs w:val="18"/>
              </w:rPr>
              <w:t xml:space="preserve">legal obligation</w:t>
            </w:r>
            <w:r>
              <w:rPr>
                <w:sz w:val="18"/>
                <w:szCs w:val="18"/>
              </w:rPr>
              <w:t xml:space="preserve">, and our legitimate interest in an accountable system</w:t>
            </w:r>
          </w:p>
        </w:tc>
      </w:tr>
      <w:tr>
        <w:tc>
          <w:tcPr>
            <w:tcW w:type="dxa" w:w="4680"/>
            <w:tcMar>
              <w:top w:type="dxa" w:w="70"/>
              <w:left w:type="dxa" w:w="110"/>
              <w:bottom w:type="dxa" w:w="70"/>
              <w:right w:type="dxa" w:w="110"/>
            </w:tcMar>
          </w:tcPr>
          <w:p>
            <w:pPr>
              <w:spacing w:after="0"/>
            </w:pPr>
            <w:r>
              <w:rPr>
                <w:sz w:val="18"/>
                <w:szCs w:val="18"/>
              </w:rPr>
              <w:t xml:space="preserve">Religion, marital status (where collected)</w:t>
            </w:r>
          </w:p>
        </w:tc>
        <w:tc>
          <w:tcPr>
            <w:tcW w:type="dxa" w:w="4680"/>
            <w:tcMar>
              <w:top w:type="dxa" w:w="70"/>
              <w:left w:type="dxa" w:w="110"/>
              <w:bottom w:type="dxa" w:w="70"/>
              <w:right w:type="dxa" w:w="110"/>
            </w:tcMar>
          </w:tcPr>
          <w:p>
            <w:pPr>
              <w:spacing w:after="0"/>
            </w:pPr>
            <w:r>
              <w:rPr>
                <w:sz w:val="18"/>
                <w:szCs w:val="18"/>
              </w:rPr>
              <w:t xml:space="preserve">Your </w:t>
            </w:r>
            <w:r>
              <w:rPr>
                <w:b/>
                <w:bCs/>
                <w:sz w:val="18"/>
                <w:szCs w:val="18"/>
              </w:rPr>
              <w:t xml:space="preserve">explicit, separate consent only</w:t>
            </w:r>
            <w:r>
              <w:rPr>
                <w:sz w:val="18"/>
                <w:szCs w:val="18"/>
              </w:rPr>
              <w:t xml:space="preserve"> — never assumed, never required to proceed</w:t>
            </w:r>
          </w:p>
        </w:tc>
      </w:tr>
    </w:tbl>
    <w:p>
      <w:pPr>
        <w:spacing w:after="160"/>
      </w:pPr>
    </w:p>
    <w:p>
      <w:pPr>
        <w:pBdr>
          <w:bottom w:val="single" w:color="D0D5DD" w:sz="6" w:space="6"/>
        </w:pBdr>
        <w:spacing w:after="120"/>
      </w:pPr>
    </w:p>
    <w:p>
      <w:pPr>
        <w:pStyle w:val="Heading2"/>
        <w:spacing w:after="140" w:before="300"/>
      </w:pPr>
      <w:r>
        <w:t xml:space="preserve">4. Automated checks on your documents — what they do, and don't, decide</w:t>
      </w:r>
    </w:p>
    <w:p>
      <w:pPr>
        <w:spacing w:after="140" w:line="268"/>
      </w:pPr>
      <w:r>
        <w:t xml:space="preserve">When you submit a tenancy application, some of the initial checks on your documents may be assisted by an automated system. Here is exactly what that means, and what it does not mean:</w:t>
      </w:r>
    </w:p>
    <w:p>
      <w:pPr>
        <w:pStyle w:val="ListParagraph"/>
        <w:numPr>
          <w:ilvl w:val="0"/>
          <w:numId w:val="2"/>
        </w:numPr>
        <w:spacing w:after="80" w:line="268"/>
      </w:pPr>
      <w:r>
        <w:t xml:space="preserve">The system may check that your documents are complete, legible, internally consistent, and not duplicated. It records what it </w:t>
      </w:r>
      <w:r>
        <w:rPr>
          <w:b/>
          <w:bCs/>
        </w:rPr>
        <w:t xml:space="preserve">found</w:t>
      </w:r>
      <w:r>
        <w:t xml:space="preserve"> — never a conclusion about you.</w:t>
      </w:r>
    </w:p>
    <w:p>
      <w:pPr>
        <w:pStyle w:val="ListParagraph"/>
        <w:numPr>
          <w:ilvl w:val="0"/>
          <w:numId w:val="2"/>
        </w:numPr>
        <w:spacing w:after="80" w:line="268"/>
      </w:pPr>
      <w:r>
        <w:rPr>
          <w:b/>
          <w:bCs/>
        </w:rPr>
        <w:t xml:space="preserve">No automated system decides, scores, ranks, or recommends an outcome on your application.</w:t>
      </w:r>
      <w:r>
        <w:t xml:space="preserve"> A staff member always reviews your application and documents personally, and a second, independent staff member makes the final decision. Neither may be the same person.</w:t>
      </w:r>
    </w:p>
    <w:p>
      <w:pPr>
        <w:pStyle w:val="ListParagraph"/>
        <w:numPr>
          <w:ilvl w:val="0"/>
          <w:numId w:val="2"/>
        </w:numPr>
        <w:spacing w:after="80" w:line="268"/>
      </w:pPr>
      <w:r>
        <w:t xml:space="preserve">Whatever a human reviewer decides, they must record their own stated reason — the automated findings inform that reason, they never replace it.</w:t>
      </w:r>
    </w:p>
    <w:p>
      <w:pPr>
        <w:pStyle w:val="ListParagraph"/>
        <w:numPr>
          <w:ilvl w:val="0"/>
          <w:numId w:val="2"/>
        </w:numPr>
        <w:spacing w:after="80" w:line="268"/>
      </w:pPr>
      <w:r>
        <w:t xml:space="preserve">If you believe an automated finding about your documents is wrong, you can ask the reviewing team to look again — this is built to be contestable, not final.</w:t>
      </w:r>
    </w:p>
    <w:p>
      <w:pPr>
        <w:pStyle w:val="ListParagraph"/>
        <w:numPr>
          <w:ilvl w:val="0"/>
          <w:numId w:val="2"/>
        </w:numPr>
        <w:spacing w:after="80" w:line="268"/>
      </w:pPr>
      <w:r>
        <w:t xml:space="preserve">Religion and marital status, where asked, are </w:t>
      </w:r>
      <w:r>
        <w:rPr>
          <w:b/>
          <w:bCs/>
        </w:rPr>
        <w:t xml:space="preserve">never</w:t>
      </w:r>
      <w:r>
        <w:t xml:space="preserve"> sent to any automated system — they are seen only by the human reviewers, and only with your explicit consent.</w:t>
      </w:r>
    </w:p>
    <w:p>
      <w:pPr>
        <w:spacing w:after="140" w:line="268"/>
      </w:pPr>
      <w:r>
        <w:rPr>
          <w:b/>
          <w:bCs/>
        </w:rPr>
        <w:t xml:space="preserve">Consent statement.</w:t>
      </w:r>
      <w:r>
        <w:t xml:space="preserve"> By continuing with an application, you will be shown a specific consent statement covering this. The exact wording you agreed to is kept on your application record, so a later change to this notice never silently changes what you consented to.</w:t>
      </w:r>
    </w:p>
    <w:p>
      <w:pPr>
        <w:pBdr>
          <w:bottom w:val="single" w:color="D0D5DD" w:sz="6" w:space="6"/>
        </w:pBdr>
        <w:spacing w:after="120"/>
      </w:pPr>
    </w:p>
    <w:p>
      <w:pPr>
        <w:pStyle w:val="Heading2"/>
        <w:spacing w:after="140" w:before="300"/>
      </w:pPr>
      <w:r>
        <w:t xml:space="preserve">5. How long we keep your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AECF0" w:val="clear"/>
            <w:tcMar>
              <w:top w:type="dxa" w:w="70"/>
              <w:left w:type="dxa" w:w="110"/>
              <w:bottom w:type="dxa" w:w="70"/>
              <w:right w:type="dxa" w:w="110"/>
            </w:tcMar>
          </w:tcPr>
          <w:p>
            <w:pPr>
              <w:spacing w:after="0"/>
            </w:pPr>
            <w:r>
              <w:rPr>
                <w:b/>
                <w:bCs/>
                <w:sz w:val="18"/>
                <w:szCs w:val="18"/>
              </w:rPr>
              <w:t xml:space="preserve">Data</w:t>
            </w:r>
          </w:p>
        </w:tc>
        <w:tc>
          <w:tcPr>
            <w:tcW w:type="dxa" w:w="4680"/>
            <w:shd w:fill="EAECF0" w:val="clear"/>
            <w:tcMar>
              <w:top w:type="dxa" w:w="70"/>
              <w:left w:type="dxa" w:w="110"/>
              <w:bottom w:type="dxa" w:w="70"/>
              <w:right w:type="dxa" w:w="110"/>
            </w:tcMar>
          </w:tcPr>
          <w:p>
            <w:pPr>
              <w:spacing w:after="0"/>
            </w:pPr>
            <w:r>
              <w:rPr>
                <w:b/>
                <w:bCs/>
                <w:sz w:val="18"/>
                <w:szCs w:val="18"/>
              </w:rPr>
              <w:t xml:space="preserve">How long</w:t>
            </w:r>
          </w:p>
        </w:tc>
      </w:tr>
      <w:tr>
        <w:tc>
          <w:tcPr>
            <w:tcW w:type="dxa" w:w="4680"/>
            <w:tcMar>
              <w:top w:type="dxa" w:w="70"/>
              <w:left w:type="dxa" w:w="110"/>
              <w:bottom w:type="dxa" w:w="70"/>
              <w:right w:type="dxa" w:w="110"/>
            </w:tcMar>
          </w:tcPr>
          <w:p>
            <w:pPr>
              <w:spacing w:after="0"/>
            </w:pPr>
            <w:r>
              <w:rPr>
                <w:sz w:val="18"/>
                <w:szCs w:val="18"/>
              </w:rPr>
              <w:t xml:space="preserve">A tenancy application that is rejected or withdrawn</w:t>
            </w:r>
          </w:p>
        </w:tc>
        <w:tc>
          <w:tcPr>
            <w:tcW w:type="dxa" w:w="4680"/>
            <w:tcMar>
              <w:top w:type="dxa" w:w="70"/>
              <w:left w:type="dxa" w:w="110"/>
              <w:bottom w:type="dxa" w:w="70"/>
              <w:right w:type="dxa" w:w="110"/>
            </w:tcMar>
          </w:tcPr>
          <w:p>
            <w:pPr>
              <w:spacing w:after="0"/>
            </w:pPr>
            <w:r>
              <w:rPr>
                <w:b/>
                <w:bCs/>
                <w:sz w:val="18"/>
                <w:szCs w:val="18"/>
              </w:rPr>
              <w:t xml:space="preserve">90 days</w:t>
            </w:r>
            <w:r>
              <w:rPr>
                <w:sz w:val="18"/>
                <w:szCs w:val="18"/>
              </w:rPr>
              <w:t xml:space="preserve">, then your personal details are permanently removed. A record that a decision was made is kept (without your personal details), so the process remains auditable.</w:t>
            </w:r>
          </w:p>
        </w:tc>
      </w:tr>
      <w:tr>
        <w:tc>
          <w:tcPr>
            <w:tcW w:type="dxa" w:w="4680"/>
            <w:tcMar>
              <w:top w:type="dxa" w:w="70"/>
              <w:left w:type="dxa" w:w="110"/>
              <w:bottom w:type="dxa" w:w="70"/>
              <w:right w:type="dxa" w:w="110"/>
            </w:tcMar>
          </w:tcPr>
          <w:p>
            <w:pPr>
              <w:spacing w:after="0"/>
            </w:pPr>
            <w:r>
              <w:rPr>
                <w:sz w:val="18"/>
                <w:szCs w:val="18"/>
              </w:rPr>
              <w:t xml:space="preserve">An approved tenancy application</w:t>
            </w:r>
          </w:p>
        </w:tc>
        <w:tc>
          <w:tcPr>
            <w:tcW w:type="dxa" w:w="4680"/>
            <w:tcMar>
              <w:top w:type="dxa" w:w="70"/>
              <w:left w:type="dxa" w:w="110"/>
              <w:bottom w:type="dxa" w:w="70"/>
              <w:right w:type="dxa" w:w="110"/>
            </w:tcMar>
          </w:tcPr>
          <w:p>
            <w:pPr>
              <w:spacing w:after="0"/>
            </w:pPr>
            <w:r>
              <w:rPr>
                <w:sz w:val="18"/>
                <w:szCs w:val="18"/>
              </w:rPr>
              <w:t xml:space="preserve">For the length of the tenancy, plus </w:t>
            </w:r>
            <w:r>
              <w:rPr>
                <w:b/>
                <w:bCs/>
                <w:sz w:val="18"/>
                <w:szCs w:val="18"/>
              </w:rPr>
              <w:t xml:space="preserve">6 years</w:t>
            </w:r>
            <w:r>
              <w:rPr>
                <w:sz w:val="18"/>
                <w:szCs w:val="18"/>
              </w:rPr>
              <w:t xml:space="preserve"> after it ends</w:t>
            </w:r>
          </w:p>
        </w:tc>
      </w:tr>
      <w:tr>
        <w:tc>
          <w:tcPr>
            <w:tcW w:type="dxa" w:w="4680"/>
            <w:tcMar>
              <w:top w:type="dxa" w:w="70"/>
              <w:left w:type="dxa" w:w="110"/>
              <w:bottom w:type="dxa" w:w="70"/>
              <w:right w:type="dxa" w:w="110"/>
            </w:tcMar>
          </w:tcPr>
          <w:p>
            <w:pPr>
              <w:spacing w:after="0"/>
            </w:pPr>
            <w:r>
              <w:rPr>
                <w:sz w:val="18"/>
                <w:szCs w:val="18"/>
              </w:rPr>
              <w:t xml:space="preserve">Financial records (payments, rent, remittances)</w:t>
            </w:r>
          </w:p>
        </w:tc>
        <w:tc>
          <w:tcPr>
            <w:tcW w:type="dxa" w:w="4680"/>
            <w:tcMar>
              <w:top w:type="dxa" w:w="70"/>
              <w:left w:type="dxa" w:w="110"/>
              <w:bottom w:type="dxa" w:w="70"/>
              <w:right w:type="dxa" w:w="110"/>
            </w:tcMar>
          </w:tcPr>
          <w:p>
            <w:pPr>
              <w:spacing w:after="0"/>
            </w:pPr>
            <w:r>
              <w:rPr>
                <w:sz w:val="18"/>
                <w:szCs w:val="18"/>
              </w:rPr>
              <w:t xml:space="preserve">Retained as a permanent financial record — this cannot be deleted on request, for the same reason a bank statement can't be un-issued, but you can always ask what is held</w:t>
            </w:r>
          </w:p>
        </w:tc>
      </w:tr>
      <w:tr>
        <w:tc>
          <w:tcPr>
            <w:tcW w:type="dxa" w:w="4680"/>
            <w:tcMar>
              <w:top w:type="dxa" w:w="70"/>
              <w:left w:type="dxa" w:w="110"/>
              <w:bottom w:type="dxa" w:w="70"/>
              <w:right w:type="dxa" w:w="110"/>
            </w:tcMar>
          </w:tcPr>
          <w:p>
            <w:pPr>
              <w:spacing w:after="0"/>
            </w:pPr>
            <w:r>
              <w:rPr>
                <w:sz w:val="18"/>
                <w:szCs w:val="18"/>
              </w:rPr>
              <w:t xml:space="preserve">The audit trail of actions taken on your account</w:t>
            </w:r>
          </w:p>
        </w:tc>
        <w:tc>
          <w:tcPr>
            <w:tcW w:type="dxa" w:w="4680"/>
            <w:tcMar>
              <w:top w:type="dxa" w:w="70"/>
              <w:left w:type="dxa" w:w="110"/>
              <w:bottom w:type="dxa" w:w="70"/>
              <w:right w:type="dxa" w:w="110"/>
            </w:tcMar>
          </w:tcPr>
          <w:p>
            <w:pPr>
              <w:spacing w:after="0"/>
            </w:pPr>
            <w:r>
              <w:rPr>
                <w:sz w:val="18"/>
                <w:szCs w:val="18"/>
              </w:rPr>
              <w:t xml:space="preserve">Retained permanently, and cannot be altered by anyone, including OE Group staff</w:t>
            </w:r>
          </w:p>
        </w:tc>
      </w:tr>
    </w:tbl>
    <w:p>
      <w:pPr>
        <w:spacing w:after="160"/>
      </w:pPr>
    </w:p>
    <w:p>
      <w:pPr>
        <w:pBdr>
          <w:bottom w:val="single" w:color="D0D5DD" w:sz="6" w:space="6"/>
        </w:pBdr>
        <w:spacing w:after="120"/>
      </w:pPr>
    </w:p>
    <w:p>
      <w:pPr>
        <w:pStyle w:val="Heading2"/>
        <w:spacing w:after="140" w:before="300"/>
      </w:pPr>
      <w:r>
        <w:t xml:space="preserve">6. Your rights</w:t>
      </w:r>
    </w:p>
    <w:p>
      <w:pPr>
        <w:spacing w:after="140" w:line="268"/>
      </w:pPr>
      <w:r>
        <w:t xml:space="preserve">You can ask us to:</w:t>
      </w:r>
    </w:p>
    <w:p>
      <w:pPr>
        <w:pStyle w:val="ListParagraph"/>
        <w:numPr>
          <w:ilvl w:val="0"/>
          <w:numId w:val="2"/>
        </w:numPr>
        <w:spacing w:after="80" w:line="268"/>
      </w:pPr>
      <w:r>
        <w:rPr>
          <w:b/>
          <w:bCs/>
        </w:rPr>
        <w:t xml:space="preserve">See what we hold about you</w:t>
      </w:r>
      <w:r>
        <w:t xml:space="preserve"> — much of this is already visible to you directly (your requests, rent history, statements, payment history, or your own application if it's still in progress).</w:t>
      </w:r>
    </w:p>
    <w:p>
      <w:pPr>
        <w:pStyle w:val="ListParagraph"/>
        <w:numPr>
          <w:ilvl w:val="0"/>
          <w:numId w:val="2"/>
        </w:numPr>
        <w:spacing w:after="80" w:line="268"/>
      </w:pPr>
      <w:r>
        <w:rPr>
          <w:b/>
          <w:bCs/>
        </w:rPr>
        <w:t xml:space="preserve">Correct</w:t>
      </w:r>
      <w:r>
        <w:t xml:space="preserve"> inaccurate information — some of this you can fix yourself in your profile; for the rest, ask your administrator or the DPO.</w:t>
      </w:r>
    </w:p>
    <w:p>
      <w:pPr>
        <w:pStyle w:val="ListParagraph"/>
        <w:numPr>
          <w:ilvl w:val="0"/>
          <w:numId w:val="2"/>
        </w:numPr>
        <w:spacing w:after="80" w:line="268"/>
      </w:pPr>
      <w:r>
        <w:rPr>
          <w:b/>
          <w:bCs/>
        </w:rPr>
        <w:t xml:space="preserve">Delete</w:t>
      </w:r>
      <w:r>
        <w:t xml:space="preserve"> your data — this is automatic for a rejected/withdrawn application after 90 days (§5). For anything else, contact the DPO; we will explain clearly where a legal reason (like a financial record) means we can't fully delete something, rather than simply refusing.</w:t>
      </w:r>
    </w:p>
    <w:p>
      <w:pPr>
        <w:pStyle w:val="ListParagraph"/>
        <w:numPr>
          <w:ilvl w:val="0"/>
          <w:numId w:val="2"/>
        </w:numPr>
        <w:spacing w:after="80" w:line="268"/>
      </w:pPr>
      <w:r>
        <w:rPr>
          <w:b/>
          <w:bCs/>
        </w:rPr>
        <w:t xml:space="preserve">Withdraw consent</w:t>
      </w:r>
      <w:r>
        <w:t xml:space="preserve"> you previously gave — contact the DPO.</w:t>
      </w:r>
    </w:p>
    <w:p>
      <w:pPr>
        <w:spacing w:after="140" w:line="268"/>
      </w:pPr>
      <w:r>
        <w:t xml:space="preserve">We aim to respond to any request within </w:t>
      </w:r>
      <w:r>
        <w:rPr>
          <w:b/>
          <w:bCs/>
        </w:rPr>
        <w:t xml:space="preserve">30 days</w:t>
      </w:r>
      <w:r>
        <w:t xml:space="preserve">, as required by the Nigeria Data Protection Act.</w:t>
      </w:r>
    </w:p>
    <w:p>
      <w:pPr>
        <w:spacing w:after="140" w:line="268"/>
      </w:pPr>
      <w:r>
        <w:rPr>
          <w:b/>
          <w:bCs/>
        </w:rPr>
        <w:t xml:space="preserve">To exercise any of these rights, contact the DPO:</w:t>
      </w:r>
      <w:r>
        <w:t xml:space="preserve"> Ebube Ikechwu, </w:t>
      </w:r>
      <w:r>
        <w:rPr>
          <w:b/>
          <w:bCs/>
        </w:rPr>
        <w:t xml:space="preserve">[contact details — to be added before publishing]</w:t>
      </w:r>
      <w:r>
        <w:t xml:space="preserve">.</w:t>
      </w:r>
    </w:p>
    <w:p>
      <w:pPr>
        <w:pBdr>
          <w:bottom w:val="single" w:color="D0D5DD" w:sz="6" w:space="6"/>
        </w:pBdr>
        <w:spacing w:after="120"/>
      </w:pPr>
    </w:p>
    <w:p>
      <w:pPr>
        <w:pStyle w:val="Heading2"/>
        <w:spacing w:after="140" w:before="300"/>
      </w:pPr>
      <w:r>
        <w:t xml:space="preserve">7. Who else sees your data</w:t>
      </w:r>
    </w:p>
    <w:p>
      <w:pPr>
        <w:spacing w:after="140" w:line="268"/>
      </w:pPr>
      <w:r>
        <w:t xml:space="preserve">We use a number of service providers to run this platform — for hosting, messaging, payments, and error monitoring. They only process your data to provide that service to us, under contract, and never for their own purposes. Some of these providers are based outside Nigeria; where that's the case, we put safeguards in place appropriate to that transfer.</w:t>
      </w:r>
    </w:p>
    <w:p>
      <w:pPr>
        <w:spacing w:after="140" w:line="268"/>
      </w:pPr>
      <w:r>
        <w:rPr>
          <w:b/>
          <w:bCs/>
        </w:rPr>
        <w:t xml:space="preserve">[Full list of processors and transfer safeguards — see internal register; whether to publish the full list here or a summary is a decision for legal review.]</w:t>
      </w:r>
    </w:p>
    <w:p>
      <w:pPr>
        <w:pBdr>
          <w:bottom w:val="single" w:color="D0D5DD" w:sz="6" w:space="6"/>
        </w:pBdr>
        <w:spacing w:after="120"/>
      </w:pPr>
    </w:p>
    <w:p>
      <w:pPr>
        <w:pStyle w:val="Heading2"/>
        <w:spacing w:after="140" w:before="300"/>
      </w:pPr>
      <w:r>
        <w:t xml:space="preserve">8. How we keep your data secure</w:t>
      </w:r>
    </w:p>
    <w:p>
      <w:pPr>
        <w:pStyle w:val="ListParagraph"/>
        <w:numPr>
          <w:ilvl w:val="0"/>
          <w:numId w:val="2"/>
        </w:numPr>
        <w:spacing w:after="80" w:line="268"/>
      </w:pPr>
      <w:r>
        <w:t xml:space="preserve">All data is encrypted in transit and at rest.</w:t>
      </w:r>
    </w:p>
    <w:p>
      <w:pPr>
        <w:pStyle w:val="ListParagraph"/>
        <w:numPr>
          <w:ilvl w:val="0"/>
          <w:numId w:val="2"/>
        </w:numPr>
        <w:spacing w:after="80" w:line="268"/>
      </w:pPr>
      <w:r>
        <w:t xml:space="preserve">Access to your data is restricted by role — a staff member can only see what their role and assignment require, and this is enforced by the system itself, not only by policy.</w:t>
      </w:r>
    </w:p>
    <w:p>
      <w:pPr>
        <w:pStyle w:val="ListParagraph"/>
        <w:numPr>
          <w:ilvl w:val="0"/>
          <w:numId w:val="2"/>
        </w:numPr>
        <w:spacing w:after="80" w:line="268"/>
      </w:pPr>
      <w:r>
        <w:t xml:space="preserve">Every action taken on your data is recorded in a permanent, tamper-evident audit trail.</w:t>
      </w:r>
    </w:p>
    <w:p>
      <w:pPr>
        <w:pStyle w:val="ListParagraph"/>
        <w:numPr>
          <w:ilvl w:val="0"/>
          <w:numId w:val="2"/>
        </w:numPr>
        <w:spacing w:after="80" w:line="268"/>
      </w:pPr>
      <w:r>
        <w:t xml:space="preserve">Identity documents and property photographs/videos are stored privately — not publicly accessible by URL.</w:t>
      </w:r>
    </w:p>
    <w:p>
      <w:pPr>
        <w:pBdr>
          <w:bottom w:val="single" w:color="D0D5DD" w:sz="6" w:space="6"/>
        </w:pBdr>
        <w:spacing w:after="120"/>
      </w:pPr>
    </w:p>
    <w:p>
      <w:pPr>
        <w:pStyle w:val="Heading2"/>
        <w:spacing w:after="140" w:before="300"/>
      </w:pPr>
      <w:r>
        <w:t xml:space="preserve">9. If something goes wrong</w:t>
      </w:r>
    </w:p>
    <w:p>
      <w:pPr>
        <w:spacing w:after="140" w:line="268"/>
      </w:pPr>
      <w:r>
        <w:rPr>
          <w:b/>
          <w:bCs/>
        </w:rPr>
        <w:t xml:space="preserve">[Breach notification procedure — to be completed once </w:t>
      </w:r>
      <w:r>
        <w:rPr>
          <w:rFonts w:ascii="Consolas" w:cs="Consolas" w:eastAsia="Consolas" w:hAnsi="Consolas"/>
          <w:b/>
          <w:bCs/>
          <w:color w:val="9A3412"/>
          <w:sz w:val="18"/>
          <w:szCs w:val="18"/>
        </w:rPr>
        <w:t xml:space="preserve">docs/NDPA_COMPLIANCE_PACK.md</w:t>
      </w:r>
      <w:r>
        <w:rPr>
          <w:b/>
          <w:bCs/>
        </w:rPr>
        <w:t xml:space="preserve"> §9 is written. This section must exist before publishing, since it is what tells you what happens and when you'd be told if your data were ever involved in a breach.]</w:t>
      </w:r>
    </w:p>
    <w:p>
      <w:pPr>
        <w:pBdr>
          <w:bottom w:val="single" w:color="D0D5DD" w:sz="6" w:space="6"/>
        </w:pBdr>
        <w:spacing w:after="120"/>
      </w:pPr>
    </w:p>
    <w:p>
      <w:pPr>
        <w:pStyle w:val="Heading2"/>
        <w:spacing w:after="140" w:before="300"/>
      </w:pPr>
      <w:r>
        <w:t xml:space="preserve">10. Changes to this notice</w:t>
      </w:r>
    </w:p>
    <w:p>
      <w:pPr>
        <w:spacing w:after="140" w:line="268"/>
      </w:pPr>
      <w:r>
        <w:t xml:space="preserve">We'll update this notice as needed and note the date below. Where a change is significant, we'll take reasonable steps to let you know before it takes effect.</w:t>
      </w:r>
    </w:p>
    <w:p>
      <w:pPr>
        <w:spacing w:after="140" w:line="268"/>
      </w:pPr>
      <w:r>
        <w:rPr>
          <w:b/>
          <w:bCs/>
        </w:rPr>
        <w:t xml:space="preserve">Last updated:</w:t>
      </w:r>
      <w:r>
        <w:t xml:space="preserve"> [date of publication]</w:t>
      </w:r>
    </w:p>
    <w:p>
      <w:pPr>
        <w:pBdr>
          <w:bottom w:val="single" w:color="D0D5DD" w:sz="6" w:space="6"/>
        </w:pBdr>
        <w:spacing w:after="120"/>
      </w:pPr>
    </w:p>
    <w:p>
      <w:pPr>
        <w:pStyle w:val="Heading2"/>
        <w:spacing w:after="140" w:before="300"/>
      </w:pPr>
      <w:r>
        <w:t xml:space="preserve">11. Contact</w:t>
      </w:r>
    </w:p>
    <w:p>
      <w:pPr>
        <w:spacing w:after="140" w:line="268"/>
      </w:pPr>
      <w:r>
        <w:t xml:space="preserve">Data Protection Officer: </w:t>
      </w:r>
      <w:r>
        <w:rPr>
          <w:b/>
          <w:bCs/>
        </w:rPr>
        <w:t xml:space="preserve">Ebube Ikechwu</w:t>
      </w:r>
      <w:r>
        <w:t xml:space="preserve"> — </w:t>
      </w:r>
      <w:r>
        <w:rPr>
          <w:b/>
          <w:bCs/>
        </w:rPr>
        <w:t xml:space="preserve">[email/phone]</w:t>
      </w:r>
    </w:p>
    <w:p>
      <w:pPr>
        <w:spacing w:after="140" w:line="268"/>
      </w:pPr>
      <w:r>
        <w:t xml:space="preserve">General enquiries: </w:t>
      </w:r>
      <w:r>
        <w:rPr>
          <w:b/>
          <w:bCs/>
        </w:rPr>
        <w:t xml:space="preserve">[TFML/OEA support contact]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lvl>
    <w:lvl w:ilvl="1" w15:tentative="1">
      <w:start w:val="1"/>
      <w:numFmt w:val="bullet"/>
      <w:lvlText w:val="◦"/>
      <w:lvlJc w:val="left"/>
      <w:pPr>
        <w:ind w:left="760" w:hanging="300"/>
      </w:pPr>
    </w:lvl>
    <w:lvl w:ilvl="2" w15:tentative="1">
      <w:start w:val="1"/>
      <w:numFmt w:val="bullet"/>
      <w:lvlText w:val="▪"/>
      <w:lvlJc w:val="left"/>
      <w:pPr>
        <w:ind w:left="1120" w:hanging="30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pPr>
    <w:rPr>
      <w:rFonts w:ascii="Calibri" w:cs="Calibri" w:eastAsia="Calibri" w:hAnsi="Calibri"/>
      <w:b/>
      <w:bCs/>
      <w:color w:val="003366"/>
      <w:sz w:val="34"/>
      <w:szCs w:val="34"/>
    </w:rPr>
  </w:style>
  <w:style w:type="paragraph" w:styleId="Heading2">
    <w:name w:val="Heading 2"/>
    <w:basedOn w:val="Normal"/>
    <w:next w:val="Normal"/>
    <w:qFormat/>
    <w:rPr>
      <w:rFonts w:ascii="Calibri" w:cs="Calibri" w:eastAsia="Calibri" w:hAnsi="Calibri"/>
      <w:b/>
      <w:bCs/>
      <w:color w:val="003366"/>
      <w:sz w:val="25"/>
      <w:szCs w:val="25"/>
    </w:rPr>
  </w:style>
  <w:style w:type="paragraph" w:styleId="Heading3">
    <w:name w:val="Heading 3"/>
    <w:basedOn w:val="Normal"/>
    <w:next w:val="Normal"/>
    <w:qFormat/>
    <w:rPr>
      <w:rFonts w:ascii="Calibri" w:cs="Calibri" w:eastAsia="Calibri" w:hAnsi="Calibri"/>
      <w:b/>
      <w:bCs/>
      <w:color w:val="1F4E79"/>
      <w:sz w:val="22"/>
      <w:szCs w:val="22"/>
    </w:rPr>
  </w:style>
  <w:style w:type="paragraph" w:styleId="Heading4">
    <w:name w:val="Heading 4"/>
    <w:basedOn w:val="Normal"/>
    <w:next w:val="Normal"/>
    <w:qFormat/>
    <w:rPr>
      <w:rFonts w:ascii="Calibri" w:cs="Calibri" w:eastAsia="Calibri" w:hAnsi="Calibri"/>
      <w:b/>
      <w:bCs/>
      <w:color w:val="374151"/>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2026-09-24T07:08:43.779Z</dcterms:created>
  <dcterms:modified xsi:type="dcterms:W3CDTF">2026-09-24T07:08:43.779Z</dcterms:modified>
</cp:coreProperties>
</file>

<file path=docProps/custom.xml><?xml version="1.0" encoding="utf-8"?>
<Properties xmlns="http://schemas.openxmlformats.org/officeDocument/2006/custom-properties" xmlns:vt="http://schemas.openxmlformats.org/officeDocument/2006/docPropsVTypes"/>
</file>