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Cross-border transfer basis — OE Group IPMS</w:t>
      </w:r>
    </w:p>
    <w:p>
      <w:pPr>
        <w:spacing w:after="140" w:line="268"/>
      </w:pPr>
      <w:r>
        <w:rPr>
          <w:b/>
          <w:bCs/>
        </w:rPr>
        <w:t xml:space="preserve">Status:</w:t>
      </w:r>
      <w:r>
        <w:t xml:space="preserve"> working document. Approved by Joseph Emmanuel (ICT) 2026-09-20 to serve as the working basis pending review by the DPO (</w:t>
      </w:r>
      <w:r>
        <w:rPr>
          <w:b/>
          <w:bCs/>
        </w:rPr>
        <w:t xml:space="preserve">Ebube Ikechwu</w:t>
      </w:r>
      <w:r>
        <w:t xml:space="preserve">) and Legal. </w:t>
      </w:r>
      <w:r>
        <w:rPr>
          <w:b/>
          <w:bCs/>
        </w:rPr>
        <w:t xml:space="preserve">Board confirmed 2026-09-20: production stays on Supabase</w:t>
      </w:r>
      <w:r>
        <w:t xml:space="preserve">, with Legal pursuing the NDPC approvals in parallel. Legal has confirmed the transfer clauses can be approved and filed, so that work proceeds alongside the build rather than gating it. It is not legal advice; it is the record NDPA s.41 requires a controller to keep, written so that review has something concrete to correct.</w:t>
      </w:r>
    </w:p>
    <w:p>
      <w:pPr>
        <w:spacing w:after="140" w:line="268"/>
      </w:pPr>
      <w:r>
        <w:rPr>
          <w:b/>
          <w:bCs/>
        </w:rPr>
        <w:t xml:space="preserve">Closes:</w:t>
      </w:r>
      <w:r>
        <w:t xml:space="preserve"> </w:t>
      </w:r>
      <w:r>
        <w:rPr>
          <w:rFonts w:ascii="Consolas" w:cs="Consolas" w:eastAsia="Consolas" w:hAnsi="Consolas"/>
          <w:color w:val="9A3412"/>
          <w:sz w:val="18"/>
          <w:szCs w:val="18"/>
        </w:rPr>
        <w:t xml:space="preserve">NDPA_COMPLIANCE_PACK.md</w:t>
      </w:r>
      <w:r>
        <w:t xml:space="preserve"> §10 and §11 row 5 (hosting region and transfer basis). </w:t>
      </w:r>
      <w:r>
        <w:rPr>
          <w:b/>
          <w:bCs/>
        </w:rPr>
        <w:t xml:space="preserve">Gates:</w:t>
      </w:r>
      <w:r>
        <w:t xml:space="preserve"> </w:t>
      </w:r>
      <w:r>
        <w:rPr>
          <w:rFonts w:ascii="Consolas" w:cs="Consolas" w:eastAsia="Consolas" w:hAnsi="Consolas"/>
          <w:color w:val="9A3412"/>
          <w:sz w:val="18"/>
          <w:szCs w:val="18"/>
        </w:rPr>
        <w:t xml:space="preserve">GO_LIVE_BUILD_PLAN.md</w:t>
      </w:r>
      <w:r>
        <w:t xml:space="preserve"> step 1.7 → Stage 3.</w:t>
      </w:r>
    </w:p>
    <w:p>
      <w:pPr>
        <w:pBdr>
          <w:bottom w:val="single" w:color="D0D5DD" w:sz="6" w:space="6"/>
        </w:pBdr>
        <w:spacing w:after="120"/>
      </w:pPr>
    </w:p>
    <w:p>
      <w:pPr>
        <w:pStyle w:val="Heading2"/>
        <w:spacing w:after="140" w:before="300"/>
      </w:pPr>
      <w:r>
        <w:t xml:space="preserve">1. The rule we are answering to</w:t>
      </w:r>
    </w:p>
    <w:p>
      <w:pPr>
        <w:spacing w:after="140" w:line="268"/>
      </w:pPr>
      <w:r>
        <w:rPr>
          <w:b/>
          <w:bCs/>
        </w:rPr>
        <w:t xml:space="preserve">NDPA 2023 s.41</w:t>
      </w:r>
      <w:r>
        <w:t xml:space="preserve"> forbids transferring personal data out of Nigeria unless the recipient is subject to </w:t>
      </w:r>
      <w:r>
        <w:rPr>
          <w:i/>
          <w:iCs/>
        </w:rPr>
        <w:t xml:space="preserve">a law, binding corporate rules, contractual clauses, a code of conduct, or a certification mechanism</w:t>
      </w:r>
      <w:r>
        <w:t xml:space="preserve"> affording an adequate level of protection — or one of the </w:t>
      </w:r>
      <w:r>
        <w:rPr>
          <w:b/>
          <w:bCs/>
        </w:rPr>
        <w:t xml:space="preserve">s.43</w:t>
      </w:r>
      <w:r>
        <w:t xml:space="preserve"> conditions applies (informed consent, necessity for a contract with the data subject, the data subject's sole benefit, public interest, legal claims, vital interests).</w:t>
      </w:r>
    </w:p>
    <w:p>
      <w:pPr>
        <w:spacing w:after="140" w:line="268"/>
      </w:pPr>
      <w:r>
        <w:t xml:space="preserve">The same section requires the controller to </w:t>
      </w:r>
      <w:r>
        <w:rPr>
          <w:b/>
          <w:bCs/>
        </w:rPr>
        <w:t xml:space="preserve">record the basis for each transfer</w:t>
      </w:r>
      <w:r>
        <w:t xml:space="preserve">. That is what this file is.</w:t>
      </w:r>
    </w:p>
    <w:p>
      <w:pPr>
        <w:spacing w:after="140" w:line="268"/>
      </w:pPr>
      <w:r>
        <w:rPr>
          <w:b/>
          <w:bCs/>
        </w:rPr>
        <w:t xml:space="preserve">s.42</w:t>
      </w:r>
      <w:r>
        <w:t xml:space="preserve"> defines adequacy as protection substantially similar to the Act's, and lets the NDPC take account of adequacy decisions made by comparable authorities elsewhere.</w:t>
      </w:r>
    </w:p>
    <w:p>
      <w:pPr>
        <w:spacing w:after="140" w:line="268"/>
      </w:pPr>
      <w:r>
        <w:rPr>
          <w:b/>
          <w:bCs/>
        </w:rPr>
        <w:t xml:space="preserve">GAID 2025</w:t>
      </w:r>
      <w:r>
        <w:t xml:space="preserve"> — </w:t>
      </w:r>
      <w:r>
        <w:rPr>
          <w:rFonts w:ascii="Consolas" w:cs="Consolas" w:eastAsia="Consolas" w:hAnsi="Consolas"/>
          <w:color w:val="9A3412"/>
          <w:sz w:val="18"/>
          <w:szCs w:val="18"/>
        </w:rPr>
        <w:t xml:space="preserve">NDPC/NDP ACT-GAID/01/2025</w:t>
      </w:r>
      <w:r>
        <w:t xml:space="preserve">, issued 20 March 2025, </w:t>
      </w:r>
      <w:r>
        <w:rPr>
          <w:b/>
          <w:bCs/>
        </w:rPr>
        <w:t xml:space="preserve">in force 19 September 2025</w:t>
      </w:r>
      <w:r>
        <w:t xml:space="preserve"> — is the operative directive. Article 45 and Schedule 5 set the transfer conditions and the adequacy criteria.</w:t>
      </w:r>
    </w:p>
    <w:p>
      <w:pPr>
        <w:pBdr>
          <w:bottom w:val="single" w:color="D0D5DD" w:sz="6" w:space="6"/>
        </w:pBdr>
        <w:spacing w:after="120"/>
      </w:pPr>
    </w:p>
    <w:p>
      <w:pPr>
        <w:pStyle w:val="Heading2"/>
        <w:spacing w:after="140" w:before="300"/>
      </w:pPr>
      <w:r>
        <w:t xml:space="preserve">2. ⚠️ The assumption to discard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0"/>
            </w:pPr>
            <w:r>
              <w:rPr>
                <w:i/>
                <w:iCs/>
                <w:sz w:val="19"/>
                <w:szCs w:val="19"/>
              </w:rPr>
              <w:t xml:space="preserve">"Our data sits in Ireland, Ireland is in the EEA, the EEA is on Nigeria's whitelist, therefore we are covered."</w:t>
            </w:r>
          </w:p>
        </w:tc>
      </w:tr>
    </w:tbl>
    <w:p>
      <w:pPr>
        <w:spacing w:after="160"/>
      </w:pPr>
    </w:p>
    <w:p>
      <w:pPr>
        <w:spacing w:after="140" w:line="268"/>
      </w:pPr>
      <w:r>
        <w:rPr>
          <w:b/>
          <w:bCs/>
        </w:rPr>
        <w:t xml:space="preserve">That reasoning no longer holds.</w:t>
      </w:r>
      <w:r>
        <w:t xml:space="preserve"> GAID 2025 repealed the NDPR 2019, and with it the old whitelist that named the EEA, the UK, Canada, Switzerland and others as adequate. The whitelist has no legal effect.</w:t>
      </w:r>
    </w:p>
    <w:p>
      <w:pPr>
        <w:spacing w:after="140" w:line="268"/>
      </w:pPr>
      <w:r>
        <w:rPr>
          <w:b/>
          <w:bCs/>
        </w:rPr>
        <w:t xml:space="preserve">And the NDPC has not yet issued an adequacy decision for any country.</w:t>
      </w:r>
      <w:r>
        <w:t xml:space="preserve"> So there is, at present, </w:t>
      </w:r>
      <w:r>
        <w:rPr>
          <w:i/>
          <w:iCs/>
        </w:rPr>
        <w:t xml:space="preserve">no adequacy route available to us at all</w:t>
      </w:r>
      <w:r>
        <w:t xml:space="preserve"> — not for Ireland, not for anywhere.</w:t>
      </w:r>
    </w:p>
    <w:p>
      <w:pPr>
        <w:spacing w:after="140" w:line="268"/>
      </w:pPr>
      <w:r>
        <w:t xml:space="preserve">📌 This is the single most important line in this document. Choosing an EU region is sound engineering and sound optics. </w:t>
      </w:r>
      <w:r>
        <w:rPr>
          <w:b/>
          <w:bCs/>
        </w:rPr>
        <w:t xml:space="preserve">It is not, by itself, a lawful basis for transfer.</w:t>
      </w:r>
      <w:r>
        <w:t xml:space="preserve"> Anyone who stops at "we host in the EU" has not answered the question.</w:t>
      </w:r>
    </w:p>
    <w:p>
      <w:pPr>
        <w:pBdr>
          <w:bottom w:val="single" w:color="D0D5DD" w:sz="6" w:space="6"/>
        </w:pBdr>
        <w:spacing w:after="120"/>
      </w:pPr>
    </w:p>
    <w:p>
      <w:pPr>
        <w:pStyle w:val="Heading2"/>
        <w:spacing w:after="140" w:before="300"/>
      </w:pPr>
      <w:r>
        <w:t xml:space="preserve">3. Where the data will actually sit</w:t>
      </w:r>
    </w:p>
    <w:p>
      <w:pPr>
        <w:spacing w:after="140" w:line="268"/>
      </w:pPr>
      <w:r>
        <w:t xml:space="preserve">Recorded here because the region is fixed at project creation and cannot be edited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Service</w:t>
            </w:r>
          </w:p>
        </w:tc>
        <w:tc>
          <w:tcPr>
            <w:tcW w:type="dxa" w:w="3120"/>
            <w:shd w:fill="EAECF0" w:val="clear"/>
            <w:tcMar>
              <w:top w:type="dxa" w:w="70"/>
              <w:left w:type="dxa" w:w="110"/>
              <w:bottom w:type="dxa" w:w="70"/>
              <w:right w:type="dxa" w:w="110"/>
            </w:tcMar>
          </w:tcPr>
          <w:p>
            <w:pPr>
              <w:spacing w:after="0"/>
            </w:pPr>
            <w:r>
              <w:rPr>
                <w:b/>
                <w:bCs/>
                <w:sz w:val="18"/>
                <w:szCs w:val="18"/>
              </w:rPr>
              <w:t xml:space="preserve">Production region</w:t>
            </w:r>
          </w:p>
        </w:tc>
        <w:tc>
          <w:tcPr>
            <w:tcW w:type="dxa" w:w="3120"/>
            <w:shd w:fill="EAECF0" w:val="clear"/>
            <w:tcMar>
              <w:top w:type="dxa" w:w="70"/>
              <w:left w:type="dxa" w:w="110"/>
              <w:bottom w:type="dxa" w:w="70"/>
              <w:right w:type="dxa" w:w="110"/>
            </w:tcMar>
          </w:tcPr>
          <w:p>
            <w:pPr>
              <w:spacing w:after="0"/>
            </w:pPr>
            <w:r>
              <w:rPr>
                <w:b/>
                <w:bCs/>
                <w:sz w:val="18"/>
                <w:szCs w:val="18"/>
              </w:rPr>
              <w:t xml:space="preserve">Jurisdiction</w:t>
            </w:r>
          </w:p>
        </w:tc>
      </w:tr>
      <w:tr>
        <w:tc>
          <w:tcPr>
            <w:tcW w:type="dxa" w:w="3120"/>
            <w:tcMar>
              <w:top w:type="dxa" w:w="70"/>
              <w:left w:type="dxa" w:w="110"/>
              <w:bottom w:type="dxa" w:w="70"/>
              <w:right w:type="dxa" w:w="110"/>
            </w:tcMar>
          </w:tcPr>
          <w:p>
            <w:pPr>
              <w:spacing w:after="0"/>
            </w:pPr>
            <w:r>
              <w:rPr>
                <w:sz w:val="18"/>
                <w:szCs w:val="18"/>
              </w:rPr>
              <w:t xml:space="preserve">Supabase (database, auth, storage)</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eu-west-1</w:t>
            </w:r>
          </w:p>
        </w:tc>
        <w:tc>
          <w:tcPr>
            <w:tcW w:type="dxa" w:w="3120"/>
            <w:tcMar>
              <w:top w:type="dxa" w:w="70"/>
              <w:left w:type="dxa" w:w="110"/>
              <w:bottom w:type="dxa" w:w="70"/>
              <w:right w:type="dxa" w:w="110"/>
            </w:tcMar>
          </w:tcPr>
          <w:p>
            <w:pPr>
              <w:spacing w:after="0"/>
            </w:pPr>
            <w:r>
              <w:rPr>
                <w:sz w:val="18"/>
                <w:szCs w:val="18"/>
              </w:rPr>
              <w:t xml:space="preserve">Ireland</w:t>
            </w:r>
          </w:p>
        </w:tc>
      </w:tr>
      <w:tr>
        <w:tc>
          <w:tcPr>
            <w:tcW w:type="dxa" w:w="3120"/>
            <w:tcMar>
              <w:top w:type="dxa" w:w="70"/>
              <w:left w:type="dxa" w:w="110"/>
              <w:bottom w:type="dxa" w:w="70"/>
              <w:right w:type="dxa" w:w="110"/>
            </w:tcMar>
          </w:tcPr>
          <w:p>
            <w:pPr>
              <w:spacing w:after="0"/>
            </w:pPr>
            <w:r>
              <w:rPr>
                <w:sz w:val="18"/>
                <w:szCs w:val="18"/>
              </w:rPr>
              <w:t xml:space="preserve">Vercel (hosting, serverless functions)</w:t>
            </w:r>
          </w:p>
        </w:tc>
        <w:tc>
          <w:tcPr>
            <w:tcW w:type="dxa" w:w="3120"/>
            <w:tcMar>
              <w:top w:type="dxa" w:w="70"/>
              <w:left w:type="dxa" w:w="110"/>
              <w:bottom w:type="dxa" w:w="70"/>
              <w:right w:type="dxa" w:w="110"/>
            </w:tcMar>
          </w:tcPr>
          <w:p>
            <w:pPr>
              <w:spacing w:after="0"/>
            </w:pPr>
            <w:r>
              <w:rPr>
                <w:rFonts w:ascii="Consolas" w:cs="Consolas" w:eastAsia="Consolas" w:hAnsi="Consolas"/>
                <w:color w:val="9A3412"/>
                <w:sz w:val="18"/>
                <w:szCs w:val="18"/>
              </w:rPr>
              <w:t xml:space="preserve">dub1</w:t>
            </w:r>
          </w:p>
        </w:tc>
        <w:tc>
          <w:tcPr>
            <w:tcW w:type="dxa" w:w="3120"/>
            <w:tcMar>
              <w:top w:type="dxa" w:w="70"/>
              <w:left w:type="dxa" w:w="110"/>
              <w:bottom w:type="dxa" w:w="70"/>
              <w:right w:type="dxa" w:w="110"/>
            </w:tcMar>
          </w:tcPr>
          <w:p>
            <w:pPr>
              <w:spacing w:after="0"/>
            </w:pPr>
            <w:r>
              <w:rPr>
                <w:sz w:val="18"/>
                <w:szCs w:val="18"/>
              </w:rPr>
              <w:t xml:space="preserve">Dublin, Ireland</w:t>
            </w:r>
          </w:p>
        </w:tc>
      </w:tr>
    </w:tbl>
    <w:p>
      <w:pPr>
        <w:spacing w:after="160"/>
      </w:pPr>
    </w:p>
    <w:p>
      <w:pPr>
        <w:spacing w:after="140" w:line="268"/>
      </w:pPr>
      <w:r>
        <w:t xml:space="preserve">Chosen 2026-09-20. Both are Ireland, so the primary store and the compute that reads it sit under one legal regime rather than two — which keeps the analysis below to a single conversation per processor instead of two.</w:t>
      </w:r>
    </w:p>
    <w:p>
      <w:pPr>
        <w:spacing w:after="140" w:line="268"/>
      </w:pPr>
      <w:r>
        <w:t xml:space="preserve">⚠️ Dev runs on </w:t>
      </w:r>
      <w:r>
        <w:rPr>
          <w:rFonts w:ascii="Consolas" w:cs="Consolas" w:eastAsia="Consolas" w:hAnsi="Consolas"/>
          <w:color w:val="9A3412"/>
          <w:sz w:val="18"/>
          <w:szCs w:val="18"/>
        </w:rPr>
        <w:t xml:space="preserve">eu-west-2</w:t>
      </w:r>
      <w:r>
        <w:t xml:space="preserve"> (London). That was a convenience choice and is </w:t>
      </w:r>
      <w:r>
        <w:rPr>
          <w:b/>
          <w:bCs/>
        </w:rPr>
        <w:t xml:space="preserve">not</w:t>
      </w:r>
      <w:r>
        <w:t xml:space="preserve"> the production answer. Do not let it propagate.</w:t>
      </w:r>
    </w:p>
    <w:p>
      <w:pPr>
        <w:pBdr>
          <w:bottom w:val="single" w:color="D0D5DD" w:sz="6" w:space="6"/>
        </w:pBdr>
        <w:spacing w:after="120"/>
      </w:pPr>
    </w:p>
    <w:p>
      <w:pPr>
        <w:pStyle w:val="Heading2"/>
        <w:spacing w:after="140" w:before="300"/>
      </w:pPr>
      <w:r>
        <w:t xml:space="preserve">4. The basis we rely on, per processor</w:t>
      </w:r>
    </w:p>
    <w:p>
      <w:pPr>
        <w:spacing w:after="140" w:line="268"/>
      </w:pPr>
      <w:r>
        <w:t xml:space="preserve">Since adequacy is unavailable, </w:t>
      </w:r>
      <w:r>
        <w:rPr>
          <w:b/>
          <w:bCs/>
        </w:rPr>
        <w:t xml:space="preserve">every transfer here rests on contractual clauses under s.41</w:t>
      </w:r>
      <w:r>
        <w:t xml:space="preserve"> — which means the transfer basis and the thirteen unsigned DPAs (</w:t>
      </w:r>
      <w:r>
        <w:rPr>
          <w:rFonts w:ascii="Consolas" w:cs="Consolas" w:eastAsia="Consolas" w:hAnsi="Consolas"/>
          <w:color w:val="9A3412"/>
          <w:sz w:val="18"/>
          <w:szCs w:val="18"/>
        </w:rPr>
        <w:t xml:space="preserve">DPA_TEMPLATE_AND_TRACKER.md</w:t>
      </w:r>
      <w:r>
        <w:t xml:space="preserve">) are </w:t>
      </w:r>
      <w:r>
        <w:rPr>
          <w:b/>
          <w:bCs/>
        </w:rPr>
        <w:t xml:space="preserve">one piece of work, not two</w:t>
      </w:r>
      <w:r>
        <w:t xml:space="preserve">. Each DPA must carry transfer clauses; a DPA without them does not discharge s.41.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AECF0" w:val="clear"/>
            <w:tcMar>
              <w:top w:type="dxa" w:w="70"/>
              <w:left w:type="dxa" w:w="110"/>
              <w:bottom w:type="dxa" w:w="70"/>
              <w:right w:type="dxa" w:w="110"/>
            </w:tcMar>
          </w:tcPr>
          <w:p>
            <w:pPr>
              <w:spacing w:after="0"/>
            </w:pPr>
            <w:r>
              <w:rPr>
                <w:b/>
                <w:bCs/>
                <w:sz w:val="18"/>
                <w:szCs w:val="18"/>
              </w:rPr>
              <w:t xml:space="preserve">#</w:t>
            </w:r>
          </w:p>
        </w:tc>
        <w:tc>
          <w:tcPr>
            <w:tcW w:type="dxa" w:w="1872"/>
            <w:shd w:fill="EAECF0" w:val="clear"/>
            <w:tcMar>
              <w:top w:type="dxa" w:w="70"/>
              <w:left w:type="dxa" w:w="110"/>
              <w:bottom w:type="dxa" w:w="70"/>
              <w:right w:type="dxa" w:w="110"/>
            </w:tcMar>
          </w:tcPr>
          <w:p>
            <w:pPr>
              <w:spacing w:after="0"/>
            </w:pPr>
            <w:r>
              <w:rPr>
                <w:b/>
                <w:bCs/>
                <w:sz w:val="18"/>
                <w:szCs w:val="18"/>
              </w:rPr>
              <w:t xml:space="preserve">Processor</w:t>
            </w:r>
          </w:p>
        </w:tc>
        <w:tc>
          <w:tcPr>
            <w:tcW w:type="dxa" w:w="1872"/>
            <w:shd w:fill="EAECF0" w:val="clear"/>
            <w:tcMar>
              <w:top w:type="dxa" w:w="70"/>
              <w:left w:type="dxa" w:w="110"/>
              <w:bottom w:type="dxa" w:w="70"/>
              <w:right w:type="dxa" w:w="110"/>
            </w:tcMar>
          </w:tcPr>
          <w:p>
            <w:pPr>
              <w:spacing w:after="0"/>
            </w:pPr>
            <w:r>
              <w:rPr>
                <w:b/>
                <w:bCs/>
                <w:sz w:val="18"/>
                <w:szCs w:val="18"/>
              </w:rPr>
              <w:t xml:space="preserve">Purpose</w:t>
            </w:r>
          </w:p>
        </w:tc>
        <w:tc>
          <w:tcPr>
            <w:tcW w:type="dxa" w:w="1872"/>
            <w:shd w:fill="EAECF0" w:val="clear"/>
            <w:tcMar>
              <w:top w:type="dxa" w:w="70"/>
              <w:left w:type="dxa" w:w="110"/>
              <w:bottom w:type="dxa" w:w="70"/>
              <w:right w:type="dxa" w:w="110"/>
            </w:tcMar>
          </w:tcPr>
          <w:p>
            <w:pPr>
              <w:spacing w:after="0"/>
            </w:pPr>
            <w:r>
              <w:rPr>
                <w:b/>
                <w:bCs/>
                <w:sz w:val="18"/>
                <w:szCs w:val="18"/>
              </w:rPr>
              <w:t xml:space="preserve">Basis relied on</w:t>
            </w:r>
          </w:p>
        </w:tc>
        <w:tc>
          <w:tcPr>
            <w:tcW w:type="dxa" w:w="1872"/>
            <w:shd w:fill="EAECF0" w:val="clear"/>
            <w:tcMar>
              <w:top w:type="dxa" w:w="70"/>
              <w:left w:type="dxa" w:w="110"/>
              <w:bottom w:type="dxa" w:w="70"/>
              <w:right w:type="dxa" w:w="110"/>
            </w:tcMar>
          </w:tcPr>
          <w:p>
            <w:pPr>
              <w:spacing w:after="0"/>
            </w:pPr>
            <w:r>
              <w:rPr>
                <w:b/>
                <w:bCs/>
                <w:sz w:val="18"/>
                <w:szCs w:val="18"/>
              </w:rPr>
              <w:t xml:space="preserve">Must be pinned down in the DPA</w:t>
            </w:r>
          </w:p>
        </w:tc>
      </w:tr>
      <w:tr>
        <w:tc>
          <w:tcPr>
            <w:tcW w:type="dxa" w:w="1872"/>
            <w:tcMar>
              <w:top w:type="dxa" w:w="70"/>
              <w:left w:type="dxa" w:w="110"/>
              <w:bottom w:type="dxa" w:w="70"/>
              <w:right w:type="dxa" w:w="110"/>
            </w:tcMar>
          </w:tcPr>
          <w:p>
            <w:pPr>
              <w:spacing w:after="0"/>
            </w:pPr>
            <w:r>
              <w:rPr>
                <w:sz w:val="18"/>
                <w:szCs w:val="18"/>
              </w:rPr>
              <w:t xml:space="preserve">1</w:t>
            </w:r>
          </w:p>
        </w:tc>
        <w:tc>
          <w:tcPr>
            <w:tcW w:type="dxa" w:w="1872"/>
            <w:tcMar>
              <w:top w:type="dxa" w:w="70"/>
              <w:left w:type="dxa" w:w="110"/>
              <w:bottom w:type="dxa" w:w="70"/>
              <w:right w:type="dxa" w:w="110"/>
            </w:tcMar>
          </w:tcPr>
          <w:p>
            <w:pPr>
              <w:spacing w:after="0"/>
            </w:pPr>
            <w:r>
              <w:rPr>
                <w:sz w:val="18"/>
                <w:szCs w:val="18"/>
              </w:rPr>
              <w:t xml:space="preserve">Supabase</w:t>
            </w:r>
          </w:p>
        </w:tc>
        <w:tc>
          <w:tcPr>
            <w:tcW w:type="dxa" w:w="1872"/>
            <w:tcMar>
              <w:top w:type="dxa" w:w="70"/>
              <w:left w:type="dxa" w:w="110"/>
              <w:bottom w:type="dxa" w:w="70"/>
              <w:right w:type="dxa" w:w="110"/>
            </w:tcMar>
          </w:tcPr>
          <w:p>
            <w:pPr>
              <w:spacing w:after="0"/>
            </w:pPr>
            <w:r>
              <w:rPr>
                <w:sz w:val="18"/>
                <w:szCs w:val="18"/>
              </w:rPr>
              <w:t xml:space="preserve">database, auth, storage</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Region locked to </w:t>
            </w:r>
            <w:r>
              <w:rPr>
                <w:rFonts w:ascii="Consolas" w:cs="Consolas" w:eastAsia="Consolas" w:hAnsi="Consolas"/>
                <w:color w:val="9A3412"/>
                <w:sz w:val="18"/>
                <w:szCs w:val="18"/>
              </w:rPr>
              <w:t xml:space="preserve">eu-west-1</w:t>
            </w:r>
            <w:r>
              <w:rPr>
                <w:sz w:val="18"/>
                <w:szCs w:val="18"/>
              </w:rPr>
              <w:t xml:space="preserve">; sub-processor list; no support access without a ticket</w:t>
            </w:r>
          </w:p>
        </w:tc>
      </w:tr>
      <w:tr>
        <w:tc>
          <w:tcPr>
            <w:tcW w:type="dxa" w:w="1872"/>
            <w:tcMar>
              <w:top w:type="dxa" w:w="70"/>
              <w:left w:type="dxa" w:w="110"/>
              <w:bottom w:type="dxa" w:w="70"/>
              <w:right w:type="dxa" w:w="110"/>
            </w:tcMar>
          </w:tcPr>
          <w:p>
            <w:pPr>
              <w:spacing w:after="0"/>
            </w:pPr>
            <w:r>
              <w:rPr>
                <w:sz w:val="18"/>
                <w:szCs w:val="18"/>
              </w:rPr>
              <w:t xml:space="preserve">2</w:t>
            </w:r>
          </w:p>
        </w:tc>
        <w:tc>
          <w:tcPr>
            <w:tcW w:type="dxa" w:w="1872"/>
            <w:tcMar>
              <w:top w:type="dxa" w:w="70"/>
              <w:left w:type="dxa" w:w="110"/>
              <w:bottom w:type="dxa" w:w="70"/>
              <w:right w:type="dxa" w:w="110"/>
            </w:tcMar>
          </w:tcPr>
          <w:p>
            <w:pPr>
              <w:spacing w:after="0"/>
            </w:pPr>
            <w:r>
              <w:rPr>
                <w:sz w:val="18"/>
                <w:szCs w:val="18"/>
              </w:rPr>
              <w:t xml:space="preserve">Vercel</w:t>
            </w:r>
          </w:p>
        </w:tc>
        <w:tc>
          <w:tcPr>
            <w:tcW w:type="dxa" w:w="1872"/>
            <w:tcMar>
              <w:top w:type="dxa" w:w="70"/>
              <w:left w:type="dxa" w:w="110"/>
              <w:bottom w:type="dxa" w:w="70"/>
              <w:right w:type="dxa" w:w="110"/>
            </w:tcMar>
          </w:tcPr>
          <w:p>
            <w:pPr>
              <w:spacing w:after="0"/>
            </w:pPr>
            <w:r>
              <w:rPr>
                <w:sz w:val="18"/>
                <w:szCs w:val="18"/>
              </w:rPr>
              <w:t xml:space="preserve">hosting</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Function region </w:t>
            </w:r>
            <w:r>
              <w:rPr>
                <w:rFonts w:ascii="Consolas" w:cs="Consolas" w:eastAsia="Consolas" w:hAnsi="Consolas"/>
                <w:color w:val="9A3412"/>
                <w:sz w:val="18"/>
                <w:szCs w:val="18"/>
              </w:rPr>
              <w:t xml:space="preserve">dub1</w:t>
            </w:r>
            <w:r>
              <w:rPr>
                <w:sz w:val="18"/>
                <w:szCs w:val="18"/>
              </w:rPr>
              <w:t xml:space="preserve">; log retention and where logs live</w:t>
            </w:r>
          </w:p>
        </w:tc>
      </w:tr>
      <w:tr>
        <w:tc>
          <w:tcPr>
            <w:tcW w:type="dxa" w:w="1872"/>
            <w:tcMar>
              <w:top w:type="dxa" w:w="70"/>
              <w:left w:type="dxa" w:w="110"/>
              <w:bottom w:type="dxa" w:w="70"/>
              <w:right w:type="dxa" w:w="110"/>
            </w:tcMar>
          </w:tcPr>
          <w:p>
            <w:pPr>
              <w:spacing w:after="0"/>
            </w:pPr>
            <w:r>
              <w:rPr>
                <w:sz w:val="18"/>
                <w:szCs w:val="18"/>
              </w:rPr>
              <w:t xml:space="preserve">3</w:t>
            </w:r>
          </w:p>
        </w:tc>
        <w:tc>
          <w:tcPr>
            <w:tcW w:type="dxa" w:w="1872"/>
            <w:tcMar>
              <w:top w:type="dxa" w:w="70"/>
              <w:left w:type="dxa" w:w="110"/>
              <w:bottom w:type="dxa" w:w="70"/>
              <w:right w:type="dxa" w:w="110"/>
            </w:tcMar>
          </w:tcPr>
          <w:p>
            <w:pPr>
              <w:spacing w:after="0"/>
            </w:pPr>
            <w:r>
              <w:rPr>
                <w:sz w:val="18"/>
                <w:szCs w:val="18"/>
              </w:rPr>
              <w:t xml:space="preserve">Anthropic</w:t>
            </w:r>
          </w:p>
        </w:tc>
        <w:tc>
          <w:tcPr>
            <w:tcW w:type="dxa" w:w="1872"/>
            <w:tcMar>
              <w:top w:type="dxa" w:w="70"/>
              <w:left w:type="dxa" w:w="110"/>
              <w:bottom w:type="dxa" w:w="70"/>
              <w:right w:type="dxa" w:w="110"/>
            </w:tcMar>
          </w:tcPr>
          <w:p>
            <w:pPr>
              <w:spacing w:after="0"/>
            </w:pPr>
            <w:r>
              <w:rPr>
                <w:sz w:val="18"/>
                <w:szCs w:val="18"/>
              </w:rPr>
              <w:t xml:space="preserve">request triage, document-check findings</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b/>
                <w:bCs/>
                <w:sz w:val="18"/>
                <w:szCs w:val="18"/>
              </w:rPr>
              <w:t xml:space="preserve">No training on our data</w:t>
            </w:r>
            <w:r>
              <w:rPr>
                <w:sz w:val="18"/>
                <w:szCs w:val="18"/>
              </w:rPr>
              <w:t xml:space="preserve">; retention window; processing location</w:t>
            </w:r>
          </w:p>
        </w:tc>
      </w:tr>
      <w:tr>
        <w:tc>
          <w:tcPr>
            <w:tcW w:type="dxa" w:w="1872"/>
            <w:tcMar>
              <w:top w:type="dxa" w:w="70"/>
              <w:left w:type="dxa" w:w="110"/>
              <w:bottom w:type="dxa" w:w="70"/>
              <w:right w:type="dxa" w:w="110"/>
            </w:tcMar>
          </w:tcPr>
          <w:p>
            <w:pPr>
              <w:spacing w:after="0"/>
            </w:pPr>
            <w:r>
              <w:rPr>
                <w:sz w:val="18"/>
                <w:szCs w:val="18"/>
              </w:rPr>
              <w:t xml:space="preserve">4</w:t>
            </w:r>
          </w:p>
        </w:tc>
        <w:tc>
          <w:tcPr>
            <w:tcW w:type="dxa" w:w="1872"/>
            <w:tcMar>
              <w:top w:type="dxa" w:w="70"/>
              <w:left w:type="dxa" w:w="110"/>
              <w:bottom w:type="dxa" w:w="70"/>
              <w:right w:type="dxa" w:w="110"/>
            </w:tcMar>
          </w:tcPr>
          <w:p>
            <w:pPr>
              <w:spacing w:after="0"/>
            </w:pPr>
            <w:r>
              <w:rPr>
                <w:sz w:val="18"/>
                <w:szCs w:val="18"/>
              </w:rPr>
              <w:t xml:space="preserve">Google (Gemini)</w:t>
            </w:r>
          </w:p>
        </w:tc>
        <w:tc>
          <w:tcPr>
            <w:tcW w:type="dxa" w:w="1872"/>
            <w:tcMar>
              <w:top w:type="dxa" w:w="70"/>
              <w:left w:type="dxa" w:w="110"/>
              <w:bottom w:type="dxa" w:w="70"/>
              <w:right w:type="dxa" w:w="110"/>
            </w:tcMar>
          </w:tcPr>
          <w:p>
            <w:pPr>
              <w:spacing w:after="0"/>
            </w:pPr>
            <w:r>
              <w:rPr>
                <w:sz w:val="18"/>
                <w:szCs w:val="18"/>
              </w:rPr>
              <w:t xml:space="preserve">classifier failover</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Same three, and whether the failover path can be disabled per org</w:t>
            </w:r>
          </w:p>
        </w:tc>
      </w:tr>
      <w:tr>
        <w:tc>
          <w:tcPr>
            <w:tcW w:type="dxa" w:w="1872"/>
            <w:tcMar>
              <w:top w:type="dxa" w:w="70"/>
              <w:left w:type="dxa" w:w="110"/>
              <w:bottom w:type="dxa" w:w="70"/>
              <w:right w:type="dxa" w:w="110"/>
            </w:tcMar>
          </w:tcPr>
          <w:p>
            <w:pPr>
              <w:spacing w:after="0"/>
            </w:pPr>
            <w:r>
              <w:rPr>
                <w:sz w:val="18"/>
                <w:szCs w:val="18"/>
              </w:rPr>
              <w:t xml:space="preserve">5</w:t>
            </w:r>
          </w:p>
        </w:tc>
        <w:tc>
          <w:tcPr>
            <w:tcW w:type="dxa" w:w="1872"/>
            <w:tcMar>
              <w:top w:type="dxa" w:w="70"/>
              <w:left w:type="dxa" w:w="110"/>
              <w:bottom w:type="dxa" w:w="70"/>
              <w:right w:type="dxa" w:w="110"/>
            </w:tcMar>
          </w:tcPr>
          <w:p>
            <w:pPr>
              <w:spacing w:after="0"/>
            </w:pPr>
            <w:r>
              <w:rPr>
                <w:sz w:val="18"/>
                <w:szCs w:val="18"/>
              </w:rPr>
              <w:t xml:space="preserve">360dialog</w:t>
            </w:r>
          </w:p>
        </w:tc>
        <w:tc>
          <w:tcPr>
            <w:tcW w:type="dxa" w:w="1872"/>
            <w:tcMar>
              <w:top w:type="dxa" w:w="70"/>
              <w:left w:type="dxa" w:w="110"/>
              <w:bottom w:type="dxa" w:w="70"/>
              <w:right w:type="dxa" w:w="110"/>
            </w:tcMar>
          </w:tcPr>
          <w:p>
            <w:pPr>
              <w:spacing w:after="0"/>
            </w:pPr>
            <w:r>
              <w:rPr>
                <w:sz w:val="18"/>
                <w:szCs w:val="18"/>
              </w:rPr>
              <w:t xml:space="preserve">WhatsApp</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Hosting location; message retention</w:t>
            </w:r>
          </w:p>
        </w:tc>
      </w:tr>
      <w:tr>
        <w:tc>
          <w:tcPr>
            <w:tcW w:type="dxa" w:w="1872"/>
            <w:tcMar>
              <w:top w:type="dxa" w:w="70"/>
              <w:left w:type="dxa" w:w="110"/>
              <w:bottom w:type="dxa" w:w="70"/>
              <w:right w:type="dxa" w:w="110"/>
            </w:tcMar>
          </w:tcPr>
          <w:p>
            <w:pPr>
              <w:spacing w:after="0"/>
            </w:pPr>
            <w:r>
              <w:rPr>
                <w:sz w:val="18"/>
                <w:szCs w:val="18"/>
              </w:rPr>
              <w:t xml:space="preserve">6</w:t>
            </w:r>
          </w:p>
        </w:tc>
        <w:tc>
          <w:tcPr>
            <w:tcW w:type="dxa" w:w="1872"/>
            <w:tcMar>
              <w:top w:type="dxa" w:w="70"/>
              <w:left w:type="dxa" w:w="110"/>
              <w:bottom w:type="dxa" w:w="70"/>
              <w:right w:type="dxa" w:w="110"/>
            </w:tcMar>
          </w:tcPr>
          <w:p>
            <w:pPr>
              <w:spacing w:after="0"/>
            </w:pPr>
            <w:r>
              <w:rPr>
                <w:sz w:val="18"/>
                <w:szCs w:val="18"/>
              </w:rPr>
              <w:t xml:space="preserve">Telegram</w:t>
            </w:r>
          </w:p>
        </w:tc>
        <w:tc>
          <w:tcPr>
            <w:tcW w:type="dxa" w:w="1872"/>
            <w:tcMar>
              <w:top w:type="dxa" w:w="70"/>
              <w:left w:type="dxa" w:w="110"/>
              <w:bottom w:type="dxa" w:w="70"/>
              <w:right w:type="dxa" w:w="110"/>
            </w:tcMar>
          </w:tcPr>
          <w:p>
            <w:pPr>
              <w:spacing w:after="0"/>
            </w:pPr>
            <w:r>
              <w:rPr>
                <w:sz w:val="18"/>
                <w:szCs w:val="18"/>
              </w:rPr>
              <w:t xml:space="preserve">optional vendor channel</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b/>
                <w:bCs/>
                <w:sz w:val="18"/>
                <w:szCs w:val="18"/>
              </w:rPr>
              <w:t xml:space="preserve">Confirm a DPA is even offered.</w:t>
            </w:r>
            <w:r>
              <w:rPr>
                <w:sz w:val="18"/>
                <w:szCs w:val="18"/>
              </w:rPr>
              <w:t xml:space="preserve"> If not, this channel does not go live</w:t>
            </w:r>
          </w:p>
        </w:tc>
      </w:tr>
      <w:tr>
        <w:tc>
          <w:tcPr>
            <w:tcW w:type="dxa" w:w="1872"/>
            <w:tcMar>
              <w:top w:type="dxa" w:w="70"/>
              <w:left w:type="dxa" w:w="110"/>
              <w:bottom w:type="dxa" w:w="70"/>
              <w:right w:type="dxa" w:w="110"/>
            </w:tcMar>
          </w:tcPr>
          <w:p>
            <w:pPr>
              <w:spacing w:after="0"/>
            </w:pPr>
            <w:r>
              <w:rPr>
                <w:sz w:val="18"/>
                <w:szCs w:val="18"/>
              </w:rPr>
              <w:t xml:space="preserve">7</w:t>
            </w:r>
          </w:p>
        </w:tc>
        <w:tc>
          <w:tcPr>
            <w:tcW w:type="dxa" w:w="1872"/>
            <w:tcMar>
              <w:top w:type="dxa" w:w="70"/>
              <w:left w:type="dxa" w:w="110"/>
              <w:bottom w:type="dxa" w:w="70"/>
              <w:right w:type="dxa" w:w="110"/>
            </w:tcMar>
          </w:tcPr>
          <w:p>
            <w:pPr>
              <w:spacing w:after="0"/>
            </w:pPr>
            <w:r>
              <w:rPr>
                <w:sz w:val="18"/>
                <w:szCs w:val="18"/>
              </w:rPr>
              <w:t xml:space="preserve">Paystack</w:t>
            </w:r>
          </w:p>
        </w:tc>
        <w:tc>
          <w:tcPr>
            <w:tcW w:type="dxa" w:w="1872"/>
            <w:tcMar>
              <w:top w:type="dxa" w:w="70"/>
              <w:left w:type="dxa" w:w="110"/>
              <w:bottom w:type="dxa" w:w="70"/>
              <w:right w:type="dxa" w:w="110"/>
            </w:tcMar>
          </w:tcPr>
          <w:p>
            <w:pPr>
              <w:spacing w:after="0"/>
            </w:pPr>
            <w:r>
              <w:rPr>
                <w:sz w:val="18"/>
                <w:szCs w:val="18"/>
              </w:rPr>
              <w:t xml:space="preserve">collections, transfers</w:t>
            </w:r>
          </w:p>
        </w:tc>
        <w:tc>
          <w:tcPr>
            <w:tcW w:type="dxa" w:w="1872"/>
            <w:tcMar>
              <w:top w:type="dxa" w:w="70"/>
              <w:left w:type="dxa" w:w="110"/>
              <w:bottom w:type="dxa" w:w="70"/>
              <w:right w:type="dxa" w:w="110"/>
            </w:tcMar>
          </w:tcPr>
          <w:p>
            <w:pPr>
              <w:spacing w:after="0"/>
            </w:pPr>
            <w:r>
              <w:rPr>
                <w:sz w:val="18"/>
                <w:szCs w:val="18"/>
              </w:rPr>
              <w:t xml:space="preserve">Confirm — may not be a transfer</w:t>
            </w:r>
          </w:p>
        </w:tc>
        <w:tc>
          <w:tcPr>
            <w:tcW w:type="dxa" w:w="1872"/>
            <w:tcMar>
              <w:top w:type="dxa" w:w="70"/>
              <w:left w:type="dxa" w:w="110"/>
              <w:bottom w:type="dxa" w:w="70"/>
              <w:right w:type="dxa" w:w="110"/>
            </w:tcMar>
          </w:tcPr>
          <w:p>
            <w:pPr>
              <w:spacing w:after="0"/>
            </w:pPr>
            <w:r>
              <w:rPr>
                <w:sz w:val="18"/>
                <w:szCs w:val="18"/>
              </w:rPr>
              <w:t xml:space="preserve">Nigerian-incorporated, but confirm where data is </w:t>
            </w:r>
            <w:r>
              <w:rPr>
                <w:i/>
                <w:iCs/>
                <w:sz w:val="18"/>
                <w:szCs w:val="18"/>
              </w:rPr>
              <w:t xml:space="preserve">hosted</w:t>
            </w:r>
          </w:p>
        </w:tc>
      </w:tr>
      <w:tr>
        <w:tc>
          <w:tcPr>
            <w:tcW w:type="dxa" w:w="1872"/>
            <w:tcMar>
              <w:top w:type="dxa" w:w="70"/>
              <w:left w:type="dxa" w:w="110"/>
              <w:bottom w:type="dxa" w:w="70"/>
              <w:right w:type="dxa" w:w="110"/>
            </w:tcMar>
          </w:tcPr>
          <w:p>
            <w:pPr>
              <w:spacing w:after="0"/>
            </w:pPr>
            <w:r>
              <w:rPr>
                <w:sz w:val="18"/>
                <w:szCs w:val="18"/>
              </w:rPr>
              <w:t xml:space="preserve">8</w:t>
            </w:r>
          </w:p>
        </w:tc>
        <w:tc>
          <w:tcPr>
            <w:tcW w:type="dxa" w:w="1872"/>
            <w:tcMar>
              <w:top w:type="dxa" w:w="70"/>
              <w:left w:type="dxa" w:w="110"/>
              <w:bottom w:type="dxa" w:w="70"/>
              <w:right w:type="dxa" w:w="110"/>
            </w:tcMar>
          </w:tcPr>
          <w:p>
            <w:pPr>
              <w:spacing w:after="0"/>
            </w:pPr>
            <w:r>
              <w:rPr>
                <w:sz w:val="18"/>
                <w:szCs w:val="18"/>
              </w:rPr>
              <w:t xml:space="preserve">Flutterwave</w:t>
            </w:r>
          </w:p>
        </w:tc>
        <w:tc>
          <w:tcPr>
            <w:tcW w:type="dxa" w:w="1872"/>
            <w:tcMar>
              <w:top w:type="dxa" w:w="70"/>
              <w:left w:type="dxa" w:w="110"/>
              <w:bottom w:type="dxa" w:w="70"/>
              <w:right w:type="dxa" w:w="110"/>
            </w:tcMar>
          </w:tcPr>
          <w:p>
            <w:pPr>
              <w:spacing w:after="0"/>
            </w:pPr>
            <w:r>
              <w:rPr>
                <w:sz w:val="18"/>
                <w:szCs w:val="18"/>
              </w:rPr>
              <w:t xml:space="preserve">FX collections</w:t>
            </w:r>
          </w:p>
        </w:tc>
        <w:tc>
          <w:tcPr>
            <w:tcW w:type="dxa" w:w="1872"/>
            <w:tcMar>
              <w:top w:type="dxa" w:w="70"/>
              <w:left w:type="dxa" w:w="110"/>
              <w:bottom w:type="dxa" w:w="70"/>
              <w:right w:type="dxa" w:w="110"/>
            </w:tcMar>
          </w:tcPr>
          <w:p>
            <w:pPr>
              <w:spacing w:after="0"/>
            </w:pPr>
            <w:r>
              <w:rPr>
                <w:sz w:val="18"/>
                <w:szCs w:val="18"/>
              </w:rPr>
              <w:t xml:space="preserve">Confirm — may not be a transfer</w:t>
            </w:r>
          </w:p>
        </w:tc>
        <w:tc>
          <w:tcPr>
            <w:tcW w:type="dxa" w:w="1872"/>
            <w:tcMar>
              <w:top w:type="dxa" w:w="70"/>
              <w:left w:type="dxa" w:w="110"/>
              <w:bottom w:type="dxa" w:w="70"/>
              <w:right w:type="dxa" w:w="110"/>
            </w:tcMar>
          </w:tcPr>
          <w:p>
            <w:pPr>
              <w:spacing w:after="0"/>
            </w:pPr>
            <w:r>
              <w:rPr>
                <w:sz w:val="18"/>
                <w:szCs w:val="18"/>
              </w:rPr>
              <w:t xml:space="preserve">As above; only if FX is in scope</w:t>
            </w:r>
          </w:p>
        </w:tc>
      </w:tr>
      <w:tr>
        <w:tc>
          <w:tcPr>
            <w:tcW w:type="dxa" w:w="1872"/>
            <w:tcMar>
              <w:top w:type="dxa" w:w="70"/>
              <w:left w:type="dxa" w:w="110"/>
              <w:bottom w:type="dxa" w:w="70"/>
              <w:right w:type="dxa" w:w="110"/>
            </w:tcMar>
          </w:tcPr>
          <w:p>
            <w:pPr>
              <w:spacing w:after="0"/>
            </w:pPr>
            <w:r>
              <w:rPr>
                <w:sz w:val="18"/>
                <w:szCs w:val="18"/>
              </w:rPr>
              <w:t xml:space="preserve">9</w:t>
            </w:r>
          </w:p>
        </w:tc>
        <w:tc>
          <w:tcPr>
            <w:tcW w:type="dxa" w:w="1872"/>
            <w:tcMar>
              <w:top w:type="dxa" w:w="70"/>
              <w:left w:type="dxa" w:w="110"/>
              <w:bottom w:type="dxa" w:w="70"/>
              <w:right w:type="dxa" w:w="110"/>
            </w:tcMar>
          </w:tcPr>
          <w:p>
            <w:pPr>
              <w:spacing w:after="0"/>
            </w:pPr>
            <w:r>
              <w:rPr>
                <w:sz w:val="18"/>
                <w:szCs w:val="18"/>
              </w:rPr>
              <w:t xml:space="preserve">Resend</w:t>
            </w:r>
          </w:p>
        </w:tc>
        <w:tc>
          <w:tcPr>
            <w:tcW w:type="dxa" w:w="1872"/>
            <w:tcMar>
              <w:top w:type="dxa" w:w="70"/>
              <w:left w:type="dxa" w:w="110"/>
              <w:bottom w:type="dxa" w:w="70"/>
              <w:right w:type="dxa" w:w="110"/>
            </w:tcMar>
          </w:tcPr>
          <w:p>
            <w:pPr>
              <w:spacing w:after="0"/>
            </w:pPr>
            <w:r>
              <w:rPr>
                <w:sz w:val="18"/>
                <w:szCs w:val="18"/>
              </w:rPr>
              <w:t xml:space="preserve">email</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Region; how long message bodies are held</w:t>
            </w:r>
          </w:p>
        </w:tc>
      </w:tr>
      <w:tr>
        <w:tc>
          <w:tcPr>
            <w:tcW w:type="dxa" w:w="1872"/>
            <w:tcMar>
              <w:top w:type="dxa" w:w="70"/>
              <w:left w:type="dxa" w:w="110"/>
              <w:bottom w:type="dxa" w:w="70"/>
              <w:right w:type="dxa" w:w="110"/>
            </w:tcMar>
          </w:tcPr>
          <w:p>
            <w:pPr>
              <w:spacing w:after="0"/>
            </w:pPr>
            <w:r>
              <w:rPr>
                <w:sz w:val="18"/>
                <w:szCs w:val="18"/>
              </w:rPr>
              <w:t xml:space="preserve">10</w:t>
            </w:r>
          </w:p>
        </w:tc>
        <w:tc>
          <w:tcPr>
            <w:tcW w:type="dxa" w:w="1872"/>
            <w:tcMar>
              <w:top w:type="dxa" w:w="70"/>
              <w:left w:type="dxa" w:w="110"/>
              <w:bottom w:type="dxa" w:w="70"/>
              <w:right w:type="dxa" w:w="110"/>
            </w:tcMar>
          </w:tcPr>
          <w:p>
            <w:pPr>
              <w:spacing w:after="0"/>
            </w:pPr>
            <w:r>
              <w:rPr>
                <w:sz w:val="18"/>
                <w:szCs w:val="18"/>
              </w:rPr>
              <w:t xml:space="preserve">Africa's Talking</w:t>
            </w:r>
          </w:p>
        </w:tc>
        <w:tc>
          <w:tcPr>
            <w:tcW w:type="dxa" w:w="1872"/>
            <w:tcMar>
              <w:top w:type="dxa" w:w="70"/>
              <w:left w:type="dxa" w:w="110"/>
              <w:bottom w:type="dxa" w:w="70"/>
              <w:right w:type="dxa" w:w="110"/>
            </w:tcMar>
          </w:tcPr>
          <w:p>
            <w:pPr>
              <w:spacing w:after="0"/>
            </w:pPr>
            <w:r>
              <w:rPr>
                <w:sz w:val="18"/>
                <w:szCs w:val="18"/>
              </w:rPr>
              <w:t xml:space="preserve">SMS fallback</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Only if enabled</w:t>
            </w:r>
          </w:p>
        </w:tc>
      </w:tr>
      <w:tr>
        <w:tc>
          <w:tcPr>
            <w:tcW w:type="dxa" w:w="1872"/>
            <w:tcMar>
              <w:top w:type="dxa" w:w="70"/>
              <w:left w:type="dxa" w:w="110"/>
              <w:bottom w:type="dxa" w:w="70"/>
              <w:right w:type="dxa" w:w="110"/>
            </w:tcMar>
          </w:tcPr>
          <w:p>
            <w:pPr>
              <w:spacing w:after="0"/>
            </w:pPr>
            <w:r>
              <w:rPr>
                <w:sz w:val="18"/>
                <w:szCs w:val="18"/>
              </w:rPr>
              <w:t xml:space="preserve">11</w:t>
            </w:r>
          </w:p>
        </w:tc>
        <w:tc>
          <w:tcPr>
            <w:tcW w:type="dxa" w:w="1872"/>
            <w:tcMar>
              <w:top w:type="dxa" w:w="70"/>
              <w:left w:type="dxa" w:w="110"/>
              <w:bottom w:type="dxa" w:w="70"/>
              <w:right w:type="dxa" w:w="110"/>
            </w:tcMar>
          </w:tcPr>
          <w:p>
            <w:pPr>
              <w:spacing w:after="0"/>
            </w:pPr>
            <w:r>
              <w:rPr>
                <w:sz w:val="18"/>
                <w:szCs w:val="18"/>
              </w:rPr>
              <w:t xml:space="preserve">Upstash</w:t>
            </w:r>
          </w:p>
        </w:tc>
        <w:tc>
          <w:tcPr>
            <w:tcW w:type="dxa" w:w="1872"/>
            <w:tcMar>
              <w:top w:type="dxa" w:w="70"/>
              <w:left w:type="dxa" w:w="110"/>
              <w:bottom w:type="dxa" w:w="70"/>
              <w:right w:type="dxa" w:w="110"/>
            </w:tcMar>
          </w:tcPr>
          <w:p>
            <w:pPr>
              <w:spacing w:after="0"/>
            </w:pPr>
            <w:r>
              <w:rPr>
                <w:sz w:val="18"/>
                <w:szCs w:val="18"/>
              </w:rPr>
              <w:t xml:space="preserve">rate limiting</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sz w:val="18"/>
                <w:szCs w:val="18"/>
              </w:rPr>
              <w:t xml:space="preserve">Region; what a user id is joined to</w:t>
            </w:r>
          </w:p>
        </w:tc>
      </w:tr>
      <w:tr>
        <w:tc>
          <w:tcPr>
            <w:tcW w:type="dxa" w:w="1872"/>
            <w:tcMar>
              <w:top w:type="dxa" w:w="70"/>
              <w:left w:type="dxa" w:w="110"/>
              <w:bottom w:type="dxa" w:w="70"/>
              <w:right w:type="dxa" w:w="110"/>
            </w:tcMar>
          </w:tcPr>
          <w:p>
            <w:pPr>
              <w:spacing w:after="0"/>
            </w:pPr>
            <w:r>
              <w:rPr>
                <w:sz w:val="18"/>
                <w:szCs w:val="18"/>
              </w:rPr>
              <w:t xml:space="preserve">12</w:t>
            </w:r>
          </w:p>
        </w:tc>
        <w:tc>
          <w:tcPr>
            <w:tcW w:type="dxa" w:w="1872"/>
            <w:tcMar>
              <w:top w:type="dxa" w:w="70"/>
              <w:left w:type="dxa" w:w="110"/>
              <w:bottom w:type="dxa" w:w="70"/>
              <w:right w:type="dxa" w:w="110"/>
            </w:tcMar>
          </w:tcPr>
          <w:p>
            <w:pPr>
              <w:spacing w:after="0"/>
            </w:pPr>
            <w:r>
              <w:rPr>
                <w:sz w:val="18"/>
                <w:szCs w:val="18"/>
              </w:rPr>
              <w:t xml:space="preserve">Sentry</w:t>
            </w:r>
          </w:p>
        </w:tc>
        <w:tc>
          <w:tcPr>
            <w:tcW w:type="dxa" w:w="1872"/>
            <w:tcMar>
              <w:top w:type="dxa" w:w="70"/>
              <w:left w:type="dxa" w:w="110"/>
              <w:bottom w:type="dxa" w:w="70"/>
              <w:right w:type="dxa" w:w="110"/>
            </w:tcMar>
          </w:tcPr>
          <w:p>
            <w:pPr>
              <w:spacing w:after="0"/>
            </w:pPr>
            <w:r>
              <w:rPr>
                <w:sz w:val="18"/>
                <w:szCs w:val="18"/>
              </w:rPr>
              <w:t xml:space="preserve">error tracking</w:t>
            </w:r>
          </w:p>
        </w:tc>
        <w:tc>
          <w:tcPr>
            <w:tcW w:type="dxa" w:w="1872"/>
            <w:tcMar>
              <w:top w:type="dxa" w:w="70"/>
              <w:left w:type="dxa" w:w="110"/>
              <w:bottom w:type="dxa" w:w="70"/>
              <w:right w:type="dxa" w:w="110"/>
            </w:tcMar>
          </w:tcPr>
          <w:p>
            <w:pPr>
              <w:spacing w:after="0"/>
            </w:pPr>
            <w:r>
              <w:rPr>
                <w:sz w:val="18"/>
                <w:szCs w:val="18"/>
              </w:rPr>
              <w:t xml:space="preserve">Contractual clauses</w:t>
            </w:r>
          </w:p>
        </w:tc>
        <w:tc>
          <w:tcPr>
            <w:tcW w:type="dxa" w:w="1872"/>
            <w:tcMar>
              <w:top w:type="dxa" w:w="70"/>
              <w:left w:type="dxa" w:w="110"/>
              <w:bottom w:type="dxa" w:w="70"/>
              <w:right w:type="dxa" w:w="110"/>
            </w:tcMar>
          </w:tcPr>
          <w:p>
            <w:pPr>
              <w:spacing w:after="0"/>
            </w:pPr>
            <w:r>
              <w:rPr>
                <w:b/>
                <w:bCs/>
                <w:sz w:val="18"/>
                <w:szCs w:val="18"/>
              </w:rPr>
              <w:t xml:space="preserve">EU region</w:t>
            </w:r>
            <w:r>
              <w:rPr>
                <w:sz w:val="18"/>
                <w:szCs w:val="18"/>
              </w:rPr>
              <w:t xml:space="preserve">; PII scrubbing settings as configured</w:t>
            </w:r>
          </w:p>
        </w:tc>
      </w:tr>
      <w:tr>
        <w:tc>
          <w:tcPr>
            <w:tcW w:type="dxa" w:w="1872"/>
            <w:tcMar>
              <w:top w:type="dxa" w:w="70"/>
              <w:left w:type="dxa" w:w="110"/>
              <w:bottom w:type="dxa" w:w="70"/>
              <w:right w:type="dxa" w:w="110"/>
            </w:tcMar>
          </w:tcPr>
          <w:p>
            <w:pPr>
              <w:spacing w:after="0"/>
            </w:pPr>
            <w:r>
              <w:rPr>
                <w:sz w:val="18"/>
                <w:szCs w:val="18"/>
              </w:rPr>
              <w:t xml:space="preserve">13</w:t>
            </w:r>
          </w:p>
        </w:tc>
        <w:tc>
          <w:tcPr>
            <w:tcW w:type="dxa" w:w="1872"/>
            <w:tcMar>
              <w:top w:type="dxa" w:w="70"/>
              <w:left w:type="dxa" w:w="110"/>
              <w:bottom w:type="dxa" w:w="70"/>
              <w:right w:type="dxa" w:w="110"/>
            </w:tcMar>
          </w:tcPr>
          <w:p>
            <w:pPr>
              <w:spacing w:after="0"/>
            </w:pPr>
            <w:r>
              <w:rPr>
                <w:sz w:val="18"/>
                <w:szCs w:val="18"/>
              </w:rPr>
              <w:t xml:space="preserve">Anthropic </w:t>
            </w:r>
            <w:r>
              <w:rPr>
                <w:i/>
                <w:iCs/>
                <w:sz w:val="18"/>
                <w:szCs w:val="18"/>
              </w:rPr>
              <w:t xml:space="preserve">(Claude Code)</w:t>
            </w:r>
          </w:p>
        </w:tc>
        <w:tc>
          <w:tcPr>
            <w:tcW w:type="dxa" w:w="1872"/>
            <w:tcMar>
              <w:top w:type="dxa" w:w="70"/>
              <w:left w:type="dxa" w:w="110"/>
              <w:bottom w:type="dxa" w:w="70"/>
              <w:right w:type="dxa" w:w="110"/>
            </w:tcMar>
          </w:tcPr>
          <w:p>
            <w:pPr>
              <w:spacing w:after="0"/>
            </w:pPr>
            <w:r>
              <w:rPr>
                <w:sz w:val="18"/>
                <w:szCs w:val="18"/>
              </w:rPr>
              <w:t xml:space="preserve">engineering tooling</w:t>
            </w:r>
          </w:p>
        </w:tc>
        <w:tc>
          <w:tcPr>
            <w:tcW w:type="dxa" w:w="1872"/>
            <w:tcMar>
              <w:top w:type="dxa" w:w="70"/>
              <w:left w:type="dxa" w:w="110"/>
              <w:bottom w:type="dxa" w:w="70"/>
              <w:right w:type="dxa" w:w="110"/>
            </w:tcMar>
          </w:tcPr>
          <w:p>
            <w:pPr>
              <w:spacing w:after="0"/>
            </w:pPr>
            <w:r>
              <w:rPr>
                <w:sz w:val="18"/>
                <w:szCs w:val="18"/>
              </w:rPr>
              <w:t xml:space="preserve">Not a production data flow</w:t>
            </w:r>
          </w:p>
        </w:tc>
        <w:tc>
          <w:tcPr>
            <w:tcW w:type="dxa" w:w="1872"/>
            <w:tcMar>
              <w:top w:type="dxa" w:w="70"/>
              <w:left w:type="dxa" w:w="110"/>
              <w:bottom w:type="dxa" w:w="70"/>
              <w:right w:type="dxa" w:w="110"/>
            </w:tcMar>
          </w:tcPr>
          <w:p>
            <w:pPr>
              <w:spacing w:after="0"/>
            </w:pPr>
            <w:r>
              <w:rPr>
                <w:sz w:val="18"/>
                <w:szCs w:val="18"/>
              </w:rPr>
              <w:t xml:space="preserve">Confirm it never touches production data. It has not.</w:t>
            </w:r>
          </w:p>
        </w:tc>
      </w:tr>
    </w:tbl>
    <w:p>
      <w:pPr>
        <w:spacing w:after="160"/>
      </w:pPr>
    </w:p>
    <w:p>
      <w:pPr>
        <w:spacing w:after="140" w:line="268"/>
      </w:pPr>
      <w:r>
        <w:t xml:space="preserve">⚠️ §10 of the compliance pack names five processors as processing outside Nigeria. That count is wrong — it is closer to eleven. Rows 7 and 8 are the only plausible exceptions, and only if their hosting is Nigerian, which nobody has checked.</w:t>
      </w:r>
    </w:p>
    <w:p>
      <w:pPr>
        <w:spacing w:after="140" w:line="268"/>
      </w:pPr>
      <w:r>
        <w:t xml:space="preserve">📌 Rows 7, 8 and 13 are the ones to settle first, because each may </w:t>
      </w:r>
      <w:r>
        <w:rPr>
          <w:i/>
          <w:iCs/>
        </w:rPr>
        <w:t xml:space="preserve">remove</w:t>
      </w:r>
      <w:r>
        <w:t xml:space="preserve"> an obligation rather than add one. Cheaper to answer than to assume.</w:t>
      </w:r>
    </w:p>
    <w:p>
      <w:pPr>
        <w:pBdr>
          <w:bottom w:val="single" w:color="D0D5DD" w:sz="6" w:space="6"/>
        </w:pBdr>
        <w:spacing w:after="120"/>
      </w:pPr>
    </w:p>
    <w:p>
      <w:pPr>
        <w:pStyle w:val="Heading2"/>
        <w:spacing w:after="140" w:before="300"/>
      </w:pPr>
      <w:r>
        <w:t xml:space="preserve">5. What we are not relying on, and why</w:t>
      </w:r>
    </w:p>
    <w:p>
      <w:pPr>
        <w:pStyle w:val="ListParagraph"/>
        <w:numPr>
          <w:ilvl w:val="0"/>
          <w:numId w:val="2"/>
        </w:numPr>
        <w:spacing w:after="80" w:line="268"/>
      </w:pPr>
      <w:r>
        <w:rPr>
          <w:b/>
          <w:bCs/>
        </w:rPr>
        <w:t xml:space="preserve">Consent (s.43).</w:t>
      </w:r>
      <w:r>
        <w:t xml:space="preserve"> Available, and wrong for this. A tenant cannot meaningfully refuse the database their tenancy lives in, so consent would be neither freely given nor withdrawable. Using it here would make the record less honest, not more compliant.</w:t>
      </w:r>
    </w:p>
    <w:p>
      <w:pPr>
        <w:pStyle w:val="ListParagraph"/>
        <w:numPr>
          <w:ilvl w:val="0"/>
          <w:numId w:val="2"/>
        </w:numPr>
        <w:spacing w:after="80" w:line="268"/>
      </w:pPr>
      <w:r>
        <w:rPr>
          <w:b/>
          <w:bCs/>
        </w:rPr>
        <w:t xml:space="preserve">Contract necessity (s.43).</w:t>
      </w:r>
      <w:r>
        <w:t xml:space="preserve"> Genuinely arguable for Supabase and Paystack — you cannot perform a tenancy or take a rent payment without them. But it does not stretch to Sentry or Upstash, and a basis that covers two of thirteen is not a framework. Contractual clauses cover all of them uniformly.</w:t>
      </w:r>
    </w:p>
    <w:p>
      <w:pPr>
        <w:pStyle w:val="ListParagraph"/>
        <w:numPr>
          <w:ilvl w:val="0"/>
          <w:numId w:val="2"/>
        </w:numPr>
        <w:spacing w:after="80" w:line="268"/>
      </w:pPr>
      <w:r>
        <w:rPr>
          <w:b/>
          <w:bCs/>
        </w:rPr>
        <w:t xml:space="preserve">Adequacy (s.42).</w:t>
      </w:r>
      <w:r>
        <w:t xml:space="preserve"> Unavailable today. </w:t>
      </w:r>
      <w:r>
        <w:rPr>
          <w:b/>
          <w:bCs/>
        </w:rPr>
        <w:t xml:space="preserve">Revisit when the NDPC issues its first decisions</w:t>
      </w:r>
      <w:r>
        <w:t xml:space="preserve"> — if Ireland is covered, several rows above get simpler.</w:t>
      </w:r>
    </w:p>
    <w:p>
      <w:pPr>
        <w:pBdr>
          <w:bottom w:val="single" w:color="D0D5DD" w:sz="6" w:space="6"/>
        </w:pBdr>
        <w:spacing w:after="120"/>
      </w:pPr>
    </w:p>
    <w:p>
      <w:pPr>
        <w:pStyle w:val="Heading2"/>
        <w:spacing w:after="140" w:before="300"/>
      </w:pPr>
      <w:r>
        <w:t xml:space="preserve">5b. Hosting alternatives considered, and why we stayed</w:t>
      </w:r>
    </w:p>
    <w:p>
      <w:pPr>
        <w:spacing w:after="140" w:line="268"/>
      </w:pPr>
      <w:r>
        <w:t xml:space="preserve">Asked 2026-09-20: could the database move to a Nigerian provider — </w:t>
      </w:r>
      <w:r>
        <w:rPr>
          <w:rFonts w:ascii="Consolas" w:cs="Consolas" w:eastAsia="Consolas" w:hAnsi="Consolas"/>
          <w:color w:val="9A3412"/>
          <w:sz w:val="18"/>
          <w:szCs w:val="18"/>
        </w:rPr>
        <w:t xml:space="preserve">pxxl.app</w:t>
      </w:r>
      <w:r>
        <w:t xml:space="preserve">, </w:t>
      </w:r>
      <w:r>
        <w:rPr>
          <w:rFonts w:ascii="Consolas" w:cs="Consolas" w:eastAsia="Consolas" w:hAnsi="Consolas"/>
          <w:color w:val="9A3412"/>
          <w:sz w:val="18"/>
          <w:szCs w:val="18"/>
        </w:rPr>
        <w:t xml:space="preserve">hostafrica.ng</w:t>
      </w:r>
      <w:r>
        <w:t xml:space="preserve"> — and remove the transfer altogether?</w:t>
      </w:r>
    </w:p>
    <w:p>
      <w:pPr>
        <w:spacing w:after="140" w:line="268"/>
      </w:pPr>
      <w:r>
        <w:t xml:space="preserve">⚠️ </w:t>
      </w:r>
      <w:r>
        <w:rPr>
          <w:b/>
          <w:bCs/>
        </w:rPr>
        <w:t xml:space="preserve">First, a framing error worth naming.</w:t>
      </w:r>
      <w:r>
        <w:t xml:space="preserve"> Supabase is not storage. Measured in this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
            </w:r>
          </w:p>
        </w:tc>
        <w:tc>
          <w:tcPr>
            <w:tcW w:type="dxa" w:w="4680"/>
            <w:shd w:fill="EAECF0" w:val="clear"/>
            <w:tcMar>
              <w:top w:type="dxa" w:w="70"/>
              <w:left w:type="dxa" w:w="110"/>
              <w:bottom w:type="dxa" w:w="70"/>
              <w:right w:type="dxa" w:w="110"/>
            </w:tcMar>
          </w:tcPr>
          <w:p>
            <w:pPr>
              <w:spacing w:after="0"/>
            </w:pPr>
            <w:r>
              <w:rPr>
                <w:b/>
                <w:bCs/>
                <w:sz w:val="18"/>
                <w:szCs w:val="18"/>
              </w:rPr>
              <w:t xml:space="preserve"/>
            </w:r>
          </w:p>
        </w:tc>
      </w:tr>
      <w:tr>
        <w:tc>
          <w:tcPr>
            <w:tcW w:type="dxa" w:w="4680"/>
            <w:tcMar>
              <w:top w:type="dxa" w:w="70"/>
              <w:left w:type="dxa" w:w="110"/>
              <w:bottom w:type="dxa" w:w="70"/>
              <w:right w:type="dxa" w:w="110"/>
            </w:tcMar>
          </w:tcPr>
          <w:p>
            <w:pPr>
              <w:spacing w:after="0"/>
            </w:pPr>
            <w:r>
              <w:rPr>
                <w:sz w:val="18"/>
                <w:szCs w:val="18"/>
              </w:rPr>
              <w:t xml:space="preserve">RLS policies</w:t>
            </w:r>
          </w:p>
        </w:tc>
        <w:tc>
          <w:tcPr>
            <w:tcW w:type="dxa" w:w="4680"/>
            <w:tcMar>
              <w:top w:type="dxa" w:w="70"/>
              <w:left w:type="dxa" w:w="110"/>
              <w:bottom w:type="dxa" w:w="70"/>
              <w:right w:type="dxa" w:w="110"/>
            </w:tcMar>
          </w:tcPr>
          <w:p>
            <w:pPr>
              <w:spacing w:after="0"/>
            </w:pPr>
            <w:r>
              <w:rPr>
                <w:b/>
                <w:bCs/>
                <w:sz w:val="18"/>
                <w:szCs w:val="18"/>
              </w:rPr>
              <w:t xml:space="preserve">157</w:t>
            </w:r>
          </w:p>
        </w:tc>
      </w:tr>
      <w:tr>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auth.uid()</w:t>
            </w:r>
            <w:r>
              <w:rPr>
                <w:sz w:val="18"/>
                <w:szCs w:val="18"/>
              </w:rPr>
              <w:t xml:space="preserve"> references in migrations</w:t>
            </w:r>
          </w:p>
        </w:tc>
        <w:tc>
          <w:tcPr>
            <w:tcW w:type="dxa" w:w="4680"/>
            <w:tcMar>
              <w:top w:type="dxa" w:w="70"/>
              <w:left w:type="dxa" w:w="110"/>
              <w:bottom w:type="dxa" w:w="70"/>
              <w:right w:type="dxa" w:w="110"/>
            </w:tcMar>
          </w:tcPr>
          <w:p>
            <w:pPr>
              <w:spacing w:after="0"/>
            </w:pPr>
            <w:r>
              <w:rPr>
                <w:b/>
                <w:bCs/>
                <w:sz w:val="18"/>
                <w:szCs w:val="18"/>
              </w:rPr>
              <w:t xml:space="preserve">639</w:t>
            </w:r>
          </w:p>
        </w:tc>
      </w:tr>
      <w:tr>
        <w:tc>
          <w:tcPr>
            <w:tcW w:type="dxa" w:w="4680"/>
            <w:tcMar>
              <w:top w:type="dxa" w:w="70"/>
              <w:left w:type="dxa" w:w="110"/>
              <w:bottom w:type="dxa" w:w="70"/>
              <w:right w:type="dxa" w:w="110"/>
            </w:tcMar>
          </w:tcPr>
          <w:p>
            <w:pPr>
              <w:spacing w:after="0"/>
            </w:pPr>
            <w:r>
              <w:rPr>
                <w:sz w:val="18"/>
                <w:szCs w:val="18"/>
              </w:rPr>
              <w:t xml:space="preserve">Migrations touching storage</w:t>
            </w:r>
          </w:p>
        </w:tc>
        <w:tc>
          <w:tcPr>
            <w:tcW w:type="dxa" w:w="4680"/>
            <w:tcMar>
              <w:top w:type="dxa" w:w="70"/>
              <w:left w:type="dxa" w:w="110"/>
              <w:bottom w:type="dxa" w:w="70"/>
              <w:right w:type="dxa" w:w="110"/>
            </w:tcMar>
          </w:tcPr>
          <w:p>
            <w:pPr>
              <w:spacing w:after="0"/>
            </w:pPr>
            <w:r>
              <w:rPr>
                <w:sz w:val="18"/>
                <w:szCs w:val="18"/>
              </w:rPr>
              <w:t xml:space="preserve">15</w:t>
            </w:r>
          </w:p>
        </w:tc>
      </w:tr>
      <w:tr>
        <w:tc>
          <w:tcPr>
            <w:tcW w:type="dxa" w:w="4680"/>
            <w:tcMar>
              <w:top w:type="dxa" w:w="70"/>
              <w:left w:type="dxa" w:w="110"/>
              <w:bottom w:type="dxa" w:w="70"/>
              <w:right w:type="dxa" w:w="110"/>
            </w:tcMar>
          </w:tcPr>
          <w:p>
            <w:pPr>
              <w:spacing w:after="0"/>
            </w:pPr>
            <w:r>
              <w:rPr>
                <w:sz w:val="18"/>
                <w:szCs w:val="18"/>
              </w:rPr>
              <w:t xml:space="preserve">PostgREST embeds the application issues</w:t>
            </w:r>
          </w:p>
        </w:tc>
        <w:tc>
          <w:tcPr>
            <w:tcW w:type="dxa" w:w="4680"/>
            <w:tcMar>
              <w:top w:type="dxa" w:w="70"/>
              <w:left w:type="dxa" w:w="110"/>
              <w:bottom w:type="dxa" w:w="70"/>
              <w:right w:type="dxa" w:w="110"/>
            </w:tcMar>
          </w:tcPr>
          <w:p>
            <w:pPr>
              <w:spacing w:after="0"/>
            </w:pPr>
            <w:r>
              <w:rPr>
                <w:sz w:val="18"/>
                <w:szCs w:val="18"/>
              </w:rPr>
              <w:t xml:space="preserve">38</w:t>
            </w:r>
          </w:p>
        </w:tc>
      </w:tr>
      <w:tr>
        <w:tc>
          <w:tcPr>
            <w:tcW w:type="dxa" w:w="4680"/>
            <w:tcMar>
              <w:top w:type="dxa" w:w="70"/>
              <w:left w:type="dxa" w:w="110"/>
              <w:bottom w:type="dxa" w:w="70"/>
              <w:right w:type="dxa" w:w="110"/>
            </w:tcMar>
          </w:tcPr>
          <w:p>
            <w:pPr>
              <w:spacing w:after="0"/>
            </w:pPr>
            <w:r>
              <w:rPr>
                <w:sz w:val="18"/>
                <w:szCs w:val="18"/>
              </w:rPr>
              <w:t xml:space="preserve">Suites covering all of it</w:t>
            </w:r>
          </w:p>
        </w:tc>
        <w:tc>
          <w:tcPr>
            <w:tcW w:type="dxa" w:w="4680"/>
            <w:tcMar>
              <w:top w:type="dxa" w:w="70"/>
              <w:left w:type="dxa" w:w="110"/>
              <w:bottom w:type="dxa" w:w="70"/>
              <w:right w:type="dxa" w:w="110"/>
            </w:tcMar>
          </w:tcPr>
          <w:p>
            <w:pPr>
              <w:spacing w:after="0"/>
            </w:pPr>
            <w:r>
              <w:rPr>
                <w:sz w:val="18"/>
                <w:szCs w:val="18"/>
              </w:rPr>
              <w:t xml:space="preserve">120</w:t>
            </w:r>
          </w:p>
        </w:tc>
      </w:tr>
    </w:tbl>
    <w:p>
      <w:pPr>
        <w:spacing w:after="160"/>
      </w:pPr>
    </w:p>
    <w:p>
      <w:pPr>
        <w:spacing w:after="140" w:line="268"/>
      </w:pPr>
      <w:r>
        <w:rPr>
          <w:rFonts w:ascii="Consolas" w:cs="Consolas" w:eastAsia="Consolas" w:hAnsi="Consolas"/>
          <w:color w:val="9A3412"/>
          <w:sz w:val="18"/>
          <w:szCs w:val="18"/>
        </w:rPr>
        <w:t xml:space="preserve">auth.uid()</w:t>
      </w:r>
      <w:r>
        <w:t xml:space="preserve"> is Supabase Auth. Those 157 policies </w:t>
      </w:r>
      <w:r>
        <w:rPr>
          <w:b/>
          <w:bCs/>
        </w:rPr>
        <w:t xml:space="preserve">are</w:t>
      </w:r>
      <w:r>
        <w:t xml:space="preserve"> the security model — the thing that decides whether one tenant sees another's rent, not a layer on top of it. On a plain Postgres host </w:t>
      </w:r>
      <w:r>
        <w:rPr>
          <w:rFonts w:ascii="Consolas" w:cs="Consolas" w:eastAsia="Consolas" w:hAnsi="Consolas"/>
          <w:color w:val="9A3412"/>
          <w:sz w:val="18"/>
          <w:szCs w:val="18"/>
        </w:rPr>
        <w:t xml:space="preserve">auth.uid()</w:t>
      </w:r>
      <w:r>
        <w:t xml:space="preserve"> resolves to nothing and every policy has to be rewritten. That is a rebuild of authorisation on a money system, not a migration.</w:t>
      </w:r>
    </w:p>
    <w:p>
      <w:pPr>
        <w:spacing w:after="140" w:line="268"/>
      </w:pPr>
      <w:r>
        <w:rPr>
          <w:b/>
          <w:bCs/>
        </w:rPr>
        <w:t xml:space="preserve">And Supabase has no African region.</w:t>
      </w:r>
      <w:r>
        <w:t xml:space="preserve"> </w:t>
      </w:r>
      <w:r>
        <w:rPr>
          <w:rFonts w:ascii="Consolas" w:cs="Consolas" w:eastAsia="Consolas" w:hAnsi="Consolas"/>
          <w:color w:val="9A3412"/>
          <w:sz w:val="18"/>
          <w:szCs w:val="18"/>
        </w:rPr>
        <w:t xml:space="preserve">af-south-1</w:t>
      </w:r>
      <w:r>
        <w:t xml:space="preserve"> existed during alpha and is not offered for new projects. Managed Supabase hosted in Nigeria is not available at any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AECF0" w:val="clear"/>
            <w:tcMar>
              <w:top w:type="dxa" w:w="70"/>
              <w:left w:type="dxa" w:w="110"/>
              <w:bottom w:type="dxa" w:w="70"/>
              <w:right w:type="dxa" w:w="110"/>
            </w:tcMar>
          </w:tcPr>
          <w:p>
            <w:pPr>
              <w:spacing w:after="0"/>
            </w:pPr>
            <w:r>
              <w:rPr>
                <w:b/>
                <w:bCs/>
                <w:sz w:val="18"/>
                <w:szCs w:val="18"/>
              </w:rPr>
              <w:t xml:space="preserve">Option</w:t>
            </w:r>
          </w:p>
        </w:tc>
        <w:tc>
          <w:tcPr>
            <w:tcW w:type="dxa" w:w="2340"/>
            <w:shd w:fill="EAECF0" w:val="clear"/>
            <w:tcMar>
              <w:top w:type="dxa" w:w="70"/>
              <w:left w:type="dxa" w:w="110"/>
              <w:bottom w:type="dxa" w:w="70"/>
              <w:right w:type="dxa" w:w="110"/>
            </w:tcMar>
          </w:tcPr>
          <w:p>
            <w:pPr>
              <w:spacing w:after="0"/>
            </w:pPr>
            <w:r>
              <w:rPr>
                <w:b/>
                <w:bCs/>
                <w:sz w:val="18"/>
                <w:szCs w:val="18"/>
              </w:rPr>
              <w:t xml:space="preserve">Migration cost</w:t>
            </w:r>
          </w:p>
        </w:tc>
        <w:tc>
          <w:tcPr>
            <w:tcW w:type="dxa" w:w="2340"/>
            <w:shd w:fill="EAECF0" w:val="clear"/>
            <w:tcMar>
              <w:top w:type="dxa" w:w="70"/>
              <w:left w:type="dxa" w:w="110"/>
              <w:bottom w:type="dxa" w:w="70"/>
              <w:right w:type="dxa" w:w="110"/>
            </w:tcMar>
          </w:tcPr>
          <w:p>
            <w:pPr>
              <w:spacing w:after="0"/>
            </w:pPr>
            <w:r>
              <w:rPr>
                <w:b/>
                <w:bCs/>
                <w:sz w:val="18"/>
                <w:szCs w:val="18"/>
              </w:rPr>
              <w:t xml:space="preserve">Transfer position</w:t>
            </w:r>
          </w:p>
        </w:tc>
        <w:tc>
          <w:tcPr>
            <w:tcW w:type="dxa" w:w="2340"/>
            <w:shd w:fill="EAECF0" w:val="clear"/>
            <w:tcMar>
              <w:top w:type="dxa" w:w="70"/>
              <w:left w:type="dxa" w:w="110"/>
              <w:bottom w:type="dxa" w:w="70"/>
              <w:right w:type="dxa" w:w="110"/>
            </w:tcMar>
          </w:tcPr>
          <w:p>
            <w:pPr>
              <w:spacing w:after="0"/>
            </w:pPr>
            <w:r>
              <w:rPr>
                <w:b/>
                <w:bCs/>
                <w:sz w:val="18"/>
                <w:szCs w:val="18"/>
              </w:rPr>
              <w:t xml:space="preserve">Ongoing burden</w:t>
            </w:r>
          </w:p>
        </w:tc>
      </w:tr>
      <w:tr>
        <w:tc>
          <w:tcPr>
            <w:tcW w:type="dxa" w:w="2340"/>
            <w:tcMar>
              <w:top w:type="dxa" w:w="70"/>
              <w:left w:type="dxa" w:w="110"/>
              <w:bottom w:type="dxa" w:w="70"/>
              <w:right w:type="dxa" w:w="110"/>
            </w:tcMar>
          </w:tcPr>
          <w:p>
            <w:pPr>
              <w:spacing w:after="0"/>
            </w:pPr>
            <w:r>
              <w:rPr>
                <w:b/>
                <w:bCs/>
                <w:sz w:val="18"/>
                <w:szCs w:val="18"/>
              </w:rPr>
              <w:t xml:space="preserve">A. Supabase </w:t>
            </w:r>
            <w:r>
              <w:rPr>
                <w:rFonts w:ascii="Consolas" w:cs="Consolas" w:eastAsia="Consolas" w:hAnsi="Consolas"/>
                <w:b/>
                <w:bCs/>
                <w:color w:val="9A3412"/>
                <w:sz w:val="18"/>
                <w:szCs w:val="18"/>
              </w:rPr>
              <w:t xml:space="preserve">eu-west-1</w:t>
            </w:r>
            <w:r>
              <w:rPr>
                <w:sz w:val="18"/>
                <w:szCs w:val="18"/>
              </w:rPr>
              <w:t xml:space="preserve"> ✅ chosen</w:t>
            </w:r>
          </w:p>
        </w:tc>
        <w:tc>
          <w:tcPr>
            <w:tcW w:type="dxa" w:w="2340"/>
            <w:tcMar>
              <w:top w:type="dxa" w:w="70"/>
              <w:left w:type="dxa" w:w="110"/>
              <w:bottom w:type="dxa" w:w="70"/>
              <w:right w:type="dxa" w:w="110"/>
            </w:tcMar>
          </w:tcPr>
          <w:p>
            <w:pPr>
              <w:spacing w:after="0"/>
            </w:pPr>
            <w:r>
              <w:rPr>
                <w:sz w:val="18"/>
                <w:szCs w:val="18"/>
              </w:rPr>
              <w:t xml:space="preserve">none</w:t>
            </w:r>
          </w:p>
        </w:tc>
        <w:tc>
          <w:tcPr>
            <w:tcW w:type="dxa" w:w="2340"/>
            <w:tcMar>
              <w:top w:type="dxa" w:w="70"/>
              <w:left w:type="dxa" w:w="110"/>
              <w:bottom w:type="dxa" w:w="70"/>
              <w:right w:type="dxa" w:w="110"/>
            </w:tcMar>
          </w:tcPr>
          <w:p>
            <w:pPr>
              <w:spacing w:after="0"/>
            </w:pPr>
            <w:r>
              <w:rPr>
                <w:sz w:val="18"/>
                <w:szCs w:val="18"/>
              </w:rPr>
              <w:t xml:space="preserve">contractual clauses (the 13 DPAs)</w:t>
            </w:r>
          </w:p>
        </w:tc>
        <w:tc>
          <w:tcPr>
            <w:tcW w:type="dxa" w:w="2340"/>
            <w:tcMar>
              <w:top w:type="dxa" w:w="70"/>
              <w:left w:type="dxa" w:w="110"/>
              <w:bottom w:type="dxa" w:w="70"/>
              <w:right w:type="dxa" w:w="110"/>
            </w:tcMar>
          </w:tcPr>
          <w:p>
            <w:pPr>
              <w:spacing w:after="0"/>
            </w:pPr>
            <w:r>
              <w:rPr>
                <w:sz w:val="18"/>
                <w:szCs w:val="18"/>
              </w:rPr>
              <w:t xml:space="preserve">none</w:t>
            </w:r>
          </w:p>
        </w:tc>
      </w:tr>
      <w:tr>
        <w:tc>
          <w:tcPr>
            <w:tcW w:type="dxa" w:w="2340"/>
            <w:tcMar>
              <w:top w:type="dxa" w:w="70"/>
              <w:left w:type="dxa" w:w="110"/>
              <w:bottom w:type="dxa" w:w="70"/>
              <w:right w:type="dxa" w:w="110"/>
            </w:tcMar>
          </w:tcPr>
          <w:p>
            <w:pPr>
              <w:spacing w:after="0"/>
            </w:pPr>
            <w:r>
              <w:rPr>
                <w:sz w:val="18"/>
                <w:szCs w:val="18"/>
              </w:rPr>
              <w:t xml:space="preserve">B. Self-host Supabase in Nigeria</w:t>
            </w:r>
          </w:p>
        </w:tc>
        <w:tc>
          <w:tcPr>
            <w:tcW w:type="dxa" w:w="2340"/>
            <w:tcMar>
              <w:top w:type="dxa" w:w="70"/>
              <w:left w:type="dxa" w:w="110"/>
              <w:bottom w:type="dxa" w:w="70"/>
              <w:right w:type="dxa" w:w="110"/>
            </w:tcMar>
          </w:tcPr>
          <w:p>
            <w:pPr>
              <w:spacing w:after="0"/>
            </w:pPr>
            <w:r>
              <w:rPr>
                <w:sz w:val="18"/>
                <w:szCs w:val="18"/>
              </w:rPr>
              <w:t xml:space="preserve">moderate — open source, Docker, </w:t>
            </w:r>
            <w:r>
              <w:rPr>
                <w:rFonts w:ascii="Consolas" w:cs="Consolas" w:eastAsia="Consolas" w:hAnsi="Consolas"/>
                <w:color w:val="9A3412"/>
                <w:sz w:val="18"/>
                <w:szCs w:val="18"/>
              </w:rPr>
              <w:t xml:space="preserve">pg_dump</w:t>
            </w:r>
            <w:r>
              <w:rPr>
                <w:sz w:val="18"/>
                <w:szCs w:val="18"/>
              </w:rPr>
              <w:t xml:space="preserve"> + GoTrue users</w:t>
            </w:r>
          </w:p>
        </w:tc>
        <w:tc>
          <w:tcPr>
            <w:tcW w:type="dxa" w:w="2340"/>
            <w:tcMar>
              <w:top w:type="dxa" w:w="70"/>
              <w:left w:type="dxa" w:w="110"/>
              <w:bottom w:type="dxa" w:w="70"/>
              <w:right w:type="dxa" w:w="110"/>
            </w:tcMar>
          </w:tcPr>
          <w:p>
            <w:pPr>
              <w:spacing w:after="0"/>
            </w:pPr>
            <w:r>
              <w:rPr>
                <w:sz w:val="18"/>
                <w:szCs w:val="18"/>
              </w:rPr>
              <w:t xml:space="preserve">removes the database transfer</w:t>
            </w:r>
          </w:p>
        </w:tc>
        <w:tc>
          <w:tcPr>
            <w:tcW w:type="dxa" w:w="2340"/>
            <w:tcMar>
              <w:top w:type="dxa" w:w="70"/>
              <w:left w:type="dxa" w:w="110"/>
              <w:bottom w:type="dxa" w:w="70"/>
              <w:right w:type="dxa" w:w="110"/>
            </w:tcMar>
          </w:tcPr>
          <w:p>
            <w:pPr>
              <w:spacing w:after="0"/>
            </w:pPr>
            <w:r>
              <w:rPr>
                <w:b/>
                <w:bCs/>
                <w:sz w:val="18"/>
                <w:szCs w:val="18"/>
              </w:rPr>
              <w:t xml:space="preserve">high</w:t>
            </w:r>
            <w:r>
              <w:rPr>
                <w:sz w:val="18"/>
                <w:szCs w:val="18"/>
              </w:rPr>
              <w:t xml:space="preserve"> — we own backups, PITR, patching, HA, and the service-role key</w:t>
            </w:r>
          </w:p>
        </w:tc>
      </w:tr>
      <w:tr>
        <w:tc>
          <w:tcPr>
            <w:tcW w:type="dxa" w:w="2340"/>
            <w:tcMar>
              <w:top w:type="dxa" w:w="70"/>
              <w:left w:type="dxa" w:w="110"/>
              <w:bottom w:type="dxa" w:w="70"/>
              <w:right w:type="dxa" w:w="110"/>
            </w:tcMar>
          </w:tcPr>
          <w:p>
            <w:pPr>
              <w:spacing w:after="0"/>
            </w:pPr>
            <w:r>
              <w:rPr>
                <w:sz w:val="18"/>
                <w:szCs w:val="18"/>
              </w:rPr>
              <w:t xml:space="preserve">C. pxxl.app / hostafrica.ng Postgres</w:t>
            </w:r>
          </w:p>
        </w:tc>
        <w:tc>
          <w:tcPr>
            <w:tcW w:type="dxa" w:w="2340"/>
            <w:tcMar>
              <w:top w:type="dxa" w:w="70"/>
              <w:left w:type="dxa" w:w="110"/>
              <w:bottom w:type="dxa" w:w="70"/>
              <w:right w:type="dxa" w:w="110"/>
            </w:tcMar>
          </w:tcPr>
          <w:p>
            <w:pPr>
              <w:spacing w:after="0"/>
            </w:pPr>
            <w:r>
              <w:rPr>
                <w:sz w:val="18"/>
                <w:szCs w:val="18"/>
              </w:rPr>
              <w:t xml:space="preserve">rebuild 157 policies</w:t>
            </w:r>
          </w:p>
        </w:tc>
        <w:tc>
          <w:tcPr>
            <w:tcW w:type="dxa" w:w="2340"/>
            <w:tcMar>
              <w:top w:type="dxa" w:w="70"/>
              <w:left w:type="dxa" w:w="110"/>
              <w:bottom w:type="dxa" w:w="70"/>
              <w:right w:type="dxa" w:w="110"/>
            </w:tcMar>
          </w:tcPr>
          <w:p>
            <w:pPr>
              <w:spacing w:after="0"/>
            </w:pPr>
            <w:r>
              <w:rPr>
                <w:b/>
                <w:bCs/>
                <w:sz w:val="18"/>
                <w:szCs w:val="18"/>
              </w:rPr>
              <w:t xml:space="preserve">unknown</w:t>
            </w:r>
            <w:r>
              <w:rPr>
                <w:sz w:val="18"/>
                <w:szCs w:val="18"/>
              </w:rPr>
              <w:t xml:space="preserve"> — neither provider's hosting location was confirmed</w:t>
            </w:r>
          </w:p>
        </w:tc>
        <w:tc>
          <w:tcPr>
            <w:tcW w:type="dxa" w:w="2340"/>
            <w:tcMar>
              <w:top w:type="dxa" w:w="70"/>
              <w:left w:type="dxa" w:w="110"/>
              <w:bottom w:type="dxa" w:w="70"/>
              <w:right w:type="dxa" w:w="110"/>
            </w:tcMar>
          </w:tcPr>
          <w:p>
            <w:pPr>
              <w:spacing w:after="0"/>
            </w:pPr>
            <w:r>
              <w:rPr>
                <w:sz w:val="18"/>
                <w:szCs w:val="18"/>
              </w:rPr>
              <w:t xml:space="preserve">high</w:t>
            </w:r>
          </w:p>
        </w:tc>
      </w:tr>
    </w:tbl>
    <w:p>
      <w:pPr>
        <w:spacing w:after="160"/>
      </w:pPr>
    </w:p>
    <w:p>
      <w:pPr>
        <w:spacing w:after="140" w:line="268"/>
      </w:pPr>
      <w:r>
        <w:t xml:space="preserve">On the two providers specifically: </w:t>
      </w:r>
      <w:r>
        <w:rPr>
          <w:b/>
          <w:bCs/>
        </w:rPr>
        <w:t xml:space="preserve">pxxl.app</w:t>
      </w:r>
      <w:r>
        <w:t xml:space="preserve"> is a young Nigerian PaaS (launched publicly late 2025, free tier) — genuinely promising, and without a track record under a money path. Critically, </w:t>
      </w:r>
      <w:r>
        <w:rPr>
          <w:b/>
          <w:bCs/>
        </w:rPr>
        <w:t xml:space="preserve">if it runs on infrastructure in Europe then it is still a cross-border transfer</w:t>
      </w:r>
      <w:r>
        <w:t xml:space="preserve"> and buys nothing legally. </w:t>
      </w:r>
      <w:r>
        <w:rPr>
          <w:b/>
          <w:bCs/>
        </w:rPr>
        <w:t xml:space="preserve">hostafrica.ng</w:t>
      </w:r>
      <w:r>
        <w:t xml:space="preserve"> is managed cPanel/DirectAdmin VPS hosting — good at what it does, and not a managed Postgres or Supabase equivalent.</w:t>
      </w:r>
    </w:p>
    <w:p>
      <w:pPr>
        <w:spacing w:after="140" w:line="268"/>
      </w:pPr>
      <w:r>
        <w:t xml:space="preserve">📌 </w:t>
      </w:r>
      <w:r>
        <w:rPr>
          <w:b/>
          <w:bCs/>
        </w:rPr>
        <w:t xml:space="preserve">Decision (board, 2026-09-20): stay on Supabase.</w:t>
      </w:r>
      <w:r>
        <w:t xml:space="preserve"> Option B trades a paperwork problem already being solved for a 24-hour operational one on the money path, carried by a single ICT manager. Revisit only if the contractual route becomes unavailable.</w:t>
      </w:r>
    </w:p>
    <w:p>
      <w:pPr>
        <w:spacing w:after="140" w:line="268"/>
      </w:pPr>
      <w:r>
        <w:rPr>
          <w:b/>
          <w:bCs/>
        </w:rPr>
        <w:t xml:space="preserve">Vercel is not required</w:t>
      </w:r>
      <w:r>
        <w:t xml:space="preserve"> — Next.js self-hosts via </w:t>
      </w:r>
      <w:r>
        <w:rPr>
          <w:rFonts w:ascii="Consolas" w:cs="Consolas" w:eastAsia="Consolas" w:hAnsi="Consolas"/>
          <w:color w:val="9A3412"/>
          <w:sz w:val="18"/>
          <w:szCs w:val="18"/>
        </w:rPr>
        <w:t xml:space="preserve">next start</w:t>
      </w:r>
      <w:r>
        <w:t xml:space="preserve"> or Docker — but dropping it buys almost nothing here. Vercel holds data in transit and in logs, not at rest.</w:t>
      </w:r>
    </w:p>
    <w:p>
      <w:pPr>
        <w:pBdr>
          <w:bottom w:val="single" w:color="D0D5DD" w:sz="6" w:space="6"/>
        </w:pBdr>
        <w:spacing w:after="120"/>
      </w:pPr>
    </w:p>
    <w:p>
      <w:pPr>
        <w:pStyle w:val="Heading2"/>
        <w:spacing w:after="140" w:before="300"/>
      </w:pPr>
      <w:r>
        <w:t xml:space="preserve">6. Open questions for Legal</w:t>
      </w:r>
    </w:p>
    <w:p>
      <w:pPr>
        <w:spacing w:after="140" w:line="268"/>
      </w:pPr>
      <w:r>
        <w:t xml:space="preserve">Honest gaps. Each is a question, not a position.</w:t>
      </w:r>
    </w:p>
    <w:p>
      <w:pPr>
        <w:pStyle w:val="ListParagraph"/>
        <w:numPr>
          <w:ilvl w:val="0"/>
          <w:numId w:val="3"/>
        </w:numPr>
        <w:spacing w:after="80" w:line="268"/>
      </w:pPr>
      <w:r>
        <w:rPr>
          <w:b/>
          <w:bCs/>
        </w:rPr>
        <w:t xml:space="preserve">Does the NDPC require approval or filing of our contractual clauses?</w:t>
      </w:r>
      <w:r>
        <w:t xml:space="preserve"> Commentary is split: some reads of GAID require the Commission's approval for a transfer instrument, others treat SCCs as immediately usable. </w:t>
      </w:r>
      <w:r>
        <w:rPr>
          <w:b/>
          <w:bCs/>
        </w:rPr>
        <w:t xml:space="preserve">If approval is required, it has lead time and it gates Stage 3.</w:t>
      </w:r>
      <w:r>
        <w:t xml:space="preserve"> This is the highest-value question on the page.</w:t>
      </w:r>
    </w:p>
    <w:p>
      <w:pPr>
        <w:pStyle w:val="ListParagraph"/>
        <w:numPr>
          <w:ilvl w:val="0"/>
          <w:numId w:val="3"/>
        </w:numPr>
        <w:spacing w:after="80" w:line="268"/>
      </w:pPr>
      <w:r>
        <w:rPr>
          <w:b/>
          <w:bCs/>
        </w:rPr>
        <w:t xml:space="preserve">Is there an NDPC-prescribed form of clauses</w:t>
      </w:r>
      <w:r>
        <w:t xml:space="preserve">, or do we draft our own against Schedule 5?</w:t>
      </w:r>
    </w:p>
    <w:p>
      <w:pPr>
        <w:pStyle w:val="ListParagraph"/>
        <w:numPr>
          <w:ilvl w:val="0"/>
          <w:numId w:val="3"/>
        </w:numPr>
        <w:spacing w:after="80" w:line="268"/>
      </w:pPr>
      <w:r>
        <w:rPr>
          <w:b/>
          <w:bCs/>
        </w:rPr>
        <w:t xml:space="preserve">Are EU SCCs acceptable as the contractual instrument</w:t>
      </w:r>
      <w:r>
        <w:t xml:space="preserve">, given most of these processors already offer them off the shelf?</w:t>
      </w:r>
    </w:p>
    <w:p>
      <w:pPr>
        <w:pStyle w:val="ListParagraph"/>
        <w:numPr>
          <w:ilvl w:val="0"/>
          <w:numId w:val="3"/>
        </w:numPr>
        <w:spacing w:after="80" w:line="268"/>
      </w:pPr>
      <w:r>
        <w:rPr>
          <w:b/>
          <w:bCs/>
        </w:rPr>
        <w:t xml:space="preserve">Does NDPC registration apply to us</w:t>
      </w:r>
      <w:r>
        <w:t xml:space="preserve"> as a data controller of major importance? (</w:t>
      </w:r>
      <w:r>
        <w:rPr>
          <w:rFonts w:ascii="Consolas" w:cs="Consolas" w:eastAsia="Consolas" w:hAnsi="Consolas"/>
          <w:color w:val="9A3412"/>
          <w:sz w:val="18"/>
          <w:szCs w:val="18"/>
        </w:rPr>
        <w:t xml:space="preserve">NDPA_COMPLIANCE_PACK.md</w:t>
      </w:r>
      <w:r>
        <w:t xml:space="preserve"> §11 row 9.)</w:t>
      </w:r>
    </w:p>
    <w:p>
      <w:pPr>
        <w:pStyle w:val="ListParagraph"/>
        <w:numPr>
          <w:ilvl w:val="0"/>
          <w:numId w:val="3"/>
        </w:numPr>
        <w:spacing w:after="80" w:line="268"/>
      </w:pPr>
      <w:r>
        <w:rPr>
          <w:b/>
          <w:bCs/>
        </w:rPr>
        <w:t xml:space="preserve">Rows 7 and 8</w:t>
      </w:r>
      <w:r>
        <w:t xml:space="preserve"> — are Paystack and Flutterwave hosting in Nigeria? If yes, they leave this document entirely.</w:t>
      </w:r>
    </w:p>
    <w:p>
      <w:pPr>
        <w:pBdr>
          <w:bottom w:val="single" w:color="D0D5DD" w:sz="6" w:space="6"/>
        </w:pBdr>
        <w:spacing w:after="120"/>
      </w:pPr>
    </w:p>
    <w:p>
      <w:pPr>
        <w:pStyle w:val="Heading2"/>
        <w:spacing w:after="140" w:before="300"/>
      </w:pPr>
      <w:r>
        <w:t xml:space="preserve">7. 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w:t>
            </w:r>
          </w:p>
        </w:tc>
        <w:tc>
          <w:tcPr>
            <w:tcW w:type="dxa" w:w="3120"/>
            <w:shd w:fill="EAECF0" w:val="clear"/>
            <w:tcMar>
              <w:top w:type="dxa" w:w="70"/>
              <w:left w:type="dxa" w:w="110"/>
              <w:bottom w:type="dxa" w:w="70"/>
              <w:right w:type="dxa" w:w="110"/>
            </w:tcMar>
          </w:tcPr>
          <w:p>
            <w:pPr>
              <w:spacing w:after="0"/>
            </w:pPr>
            <w:r>
              <w:rPr>
                <w:b/>
                <w:bCs/>
                <w:sz w:val="18"/>
                <w:szCs w:val="18"/>
              </w:rPr>
              <w:t xml:space="preserve">Action</w:t>
            </w:r>
          </w:p>
        </w:tc>
        <w:tc>
          <w:tcPr>
            <w:tcW w:type="dxa" w:w="3120"/>
            <w:shd w:fill="EAECF0" w:val="clear"/>
            <w:tcMar>
              <w:top w:type="dxa" w:w="70"/>
              <w:left w:type="dxa" w:w="110"/>
              <w:bottom w:type="dxa" w:w="70"/>
              <w:right w:type="dxa" w:w="110"/>
            </w:tcMar>
          </w:tcPr>
          <w:p>
            <w:pPr>
              <w:spacing w:after="0"/>
            </w:pPr>
            <w:r>
              <w:rPr>
                <w:b/>
                <w:bCs/>
                <w:sz w:val="18"/>
                <w:szCs w:val="18"/>
              </w:rPr>
              <w:t xml:space="preserve">Owner</w:t>
            </w:r>
          </w:p>
        </w:tc>
      </w:tr>
      <w:tr>
        <w:tc>
          <w:tcPr>
            <w:tcW w:type="dxa" w:w="3120"/>
            <w:tcMar>
              <w:top w:type="dxa" w:w="70"/>
              <w:left w:type="dxa" w:w="110"/>
              <w:bottom w:type="dxa" w:w="70"/>
              <w:right w:type="dxa" w:w="110"/>
            </w:tcMar>
          </w:tcPr>
          <w:p>
            <w:pPr>
              <w:spacing w:after="0"/>
            </w:pPr>
            <w:r>
              <w:rPr>
                <w:sz w:val="18"/>
                <w:szCs w:val="18"/>
              </w:rPr>
              <w:t xml:space="preserve">1</w:t>
            </w:r>
          </w:p>
        </w:tc>
        <w:tc>
          <w:tcPr>
            <w:tcW w:type="dxa" w:w="3120"/>
            <w:tcMar>
              <w:top w:type="dxa" w:w="70"/>
              <w:left w:type="dxa" w:w="110"/>
              <w:bottom w:type="dxa" w:w="70"/>
              <w:right w:type="dxa" w:w="110"/>
            </w:tcMar>
          </w:tcPr>
          <w:p>
            <w:pPr>
              <w:spacing w:after="0"/>
            </w:pPr>
            <w:r>
              <w:rPr>
                <w:sz w:val="18"/>
                <w:szCs w:val="18"/>
              </w:rPr>
              <w:t xml:space="preserve">Review and correct this document</w:t>
            </w:r>
          </w:p>
        </w:tc>
        <w:tc>
          <w:tcPr>
            <w:tcW w:type="dxa" w:w="3120"/>
            <w:tcMar>
              <w:top w:type="dxa" w:w="70"/>
              <w:left w:type="dxa" w:w="110"/>
              <w:bottom w:type="dxa" w:w="70"/>
              <w:right w:type="dxa" w:w="110"/>
            </w:tcMar>
          </w:tcPr>
          <w:p>
            <w:pPr>
              <w:spacing w:after="0"/>
            </w:pPr>
            <w:r>
              <w:rPr>
                <w:sz w:val="18"/>
                <w:szCs w:val="18"/>
              </w:rPr>
              <w:t xml:space="preserve">DPO</w:t>
            </w:r>
          </w:p>
        </w:tc>
      </w:tr>
      <w:tr>
        <w:tc>
          <w:tcPr>
            <w:tcW w:type="dxa" w:w="3120"/>
            <w:tcMar>
              <w:top w:type="dxa" w:w="70"/>
              <w:left w:type="dxa" w:w="110"/>
              <w:bottom w:type="dxa" w:w="70"/>
              <w:right w:type="dxa" w:w="110"/>
            </w:tcMar>
          </w:tcPr>
          <w:p>
            <w:pPr>
              <w:spacing w:after="0"/>
            </w:pPr>
            <w:r>
              <w:rPr>
                <w:sz w:val="18"/>
                <w:szCs w:val="18"/>
              </w:rPr>
              <w:t xml:space="preserve">2</w:t>
            </w:r>
          </w:p>
        </w:tc>
        <w:tc>
          <w:tcPr>
            <w:tcW w:type="dxa" w:w="3120"/>
            <w:tcMar>
              <w:top w:type="dxa" w:w="70"/>
              <w:left w:type="dxa" w:w="110"/>
              <w:bottom w:type="dxa" w:w="70"/>
              <w:right w:type="dxa" w:w="110"/>
            </w:tcMar>
          </w:tcPr>
          <w:p>
            <w:pPr>
              <w:spacing w:after="0"/>
            </w:pPr>
            <w:r>
              <w:rPr>
                <w:sz w:val="18"/>
                <w:szCs w:val="18"/>
              </w:rPr>
              <w:t xml:space="preserve">Answer §6.1 — approval/filing requirement</w:t>
            </w:r>
          </w:p>
        </w:tc>
        <w:tc>
          <w:tcPr>
            <w:tcW w:type="dxa" w:w="3120"/>
            <w:tcMar>
              <w:top w:type="dxa" w:w="70"/>
              <w:left w:type="dxa" w:w="110"/>
              <w:bottom w:type="dxa" w:w="70"/>
              <w:right w:type="dxa" w:w="110"/>
            </w:tcMar>
          </w:tcPr>
          <w:p>
            <w:pPr>
              <w:spacing w:after="0"/>
            </w:pPr>
            <w:r>
              <w:rPr>
                <w:sz w:val="18"/>
                <w:szCs w:val="18"/>
              </w:rPr>
              <w:t xml:space="preserve">Legal</w:t>
            </w:r>
          </w:p>
        </w:tc>
      </w:tr>
      <w:tr>
        <w:tc>
          <w:tcPr>
            <w:tcW w:type="dxa" w:w="3120"/>
            <w:tcMar>
              <w:top w:type="dxa" w:w="70"/>
              <w:left w:type="dxa" w:w="110"/>
              <w:bottom w:type="dxa" w:w="70"/>
              <w:right w:type="dxa" w:w="110"/>
            </w:tcMar>
          </w:tcPr>
          <w:p>
            <w:pPr>
              <w:spacing w:after="0"/>
            </w:pPr>
            <w:r>
              <w:rPr>
                <w:sz w:val="18"/>
                <w:szCs w:val="18"/>
              </w:rPr>
              <w:t xml:space="preserve">3</w:t>
            </w:r>
          </w:p>
        </w:tc>
        <w:tc>
          <w:tcPr>
            <w:tcW w:type="dxa" w:w="3120"/>
            <w:tcMar>
              <w:top w:type="dxa" w:w="70"/>
              <w:left w:type="dxa" w:w="110"/>
              <w:bottom w:type="dxa" w:w="70"/>
              <w:right w:type="dxa" w:w="110"/>
            </w:tcMar>
          </w:tcPr>
          <w:p>
            <w:pPr>
              <w:spacing w:after="0"/>
            </w:pPr>
            <w:r>
              <w:rPr>
                <w:sz w:val="18"/>
                <w:szCs w:val="18"/>
              </w:rPr>
              <w:t xml:space="preserve">Ensure all 13 DPAs carry transfer clauses, not just processing terms</w:t>
            </w:r>
          </w:p>
        </w:tc>
        <w:tc>
          <w:tcPr>
            <w:tcW w:type="dxa" w:w="3120"/>
            <w:tcMar>
              <w:top w:type="dxa" w:w="70"/>
              <w:left w:type="dxa" w:w="110"/>
              <w:bottom w:type="dxa" w:w="70"/>
              <w:right w:type="dxa" w:w="110"/>
            </w:tcMar>
          </w:tcPr>
          <w:p>
            <w:pPr>
              <w:spacing w:after="0"/>
            </w:pPr>
            <w:r>
              <w:rPr>
                <w:sz w:val="18"/>
                <w:szCs w:val="18"/>
              </w:rPr>
              <w:t xml:space="preserve">Legal</w:t>
            </w:r>
          </w:p>
        </w:tc>
      </w:tr>
      <w:tr>
        <w:tc>
          <w:tcPr>
            <w:tcW w:type="dxa" w:w="3120"/>
            <w:tcMar>
              <w:top w:type="dxa" w:w="70"/>
              <w:left w:type="dxa" w:w="110"/>
              <w:bottom w:type="dxa" w:w="70"/>
              <w:right w:type="dxa" w:w="110"/>
            </w:tcMar>
          </w:tcPr>
          <w:p>
            <w:pPr>
              <w:spacing w:after="0"/>
            </w:pPr>
            <w:r>
              <w:rPr>
                <w:sz w:val="18"/>
                <w:szCs w:val="18"/>
              </w:rPr>
              <w:t xml:space="preserve">4</w:t>
            </w:r>
          </w:p>
        </w:tc>
        <w:tc>
          <w:tcPr>
            <w:tcW w:type="dxa" w:w="3120"/>
            <w:tcMar>
              <w:top w:type="dxa" w:w="70"/>
              <w:left w:type="dxa" w:w="110"/>
              <w:bottom w:type="dxa" w:w="70"/>
              <w:right w:type="dxa" w:w="110"/>
            </w:tcMar>
          </w:tcPr>
          <w:p>
            <w:pPr>
              <w:spacing w:after="0"/>
            </w:pPr>
            <w:r>
              <w:rPr>
                <w:sz w:val="18"/>
                <w:szCs w:val="18"/>
              </w:rPr>
              <w:t xml:space="preserve">Confirm hosting for Paystack, Flutterwave, Telegram, Sentry, Upstash</w:t>
            </w:r>
          </w:p>
        </w:tc>
        <w:tc>
          <w:tcPr>
            <w:tcW w:type="dxa" w:w="3120"/>
            <w:tcMar>
              <w:top w:type="dxa" w:w="70"/>
              <w:left w:type="dxa" w:w="110"/>
              <w:bottom w:type="dxa" w:w="70"/>
              <w:right w:type="dxa" w:w="110"/>
            </w:tcMar>
          </w:tcPr>
          <w:p>
            <w:pPr>
              <w:spacing w:after="0"/>
            </w:pPr>
            <w:r>
              <w:rPr>
                <w:sz w:val="18"/>
                <w:szCs w:val="18"/>
              </w:rPr>
              <w:t xml:space="preserve">ICT</w:t>
            </w:r>
          </w:p>
        </w:tc>
      </w:tr>
      <w:tr>
        <w:tc>
          <w:tcPr>
            <w:tcW w:type="dxa" w:w="3120"/>
            <w:tcMar>
              <w:top w:type="dxa" w:w="70"/>
              <w:left w:type="dxa" w:w="110"/>
              <w:bottom w:type="dxa" w:w="70"/>
              <w:right w:type="dxa" w:w="110"/>
            </w:tcMar>
          </w:tcPr>
          <w:p>
            <w:pPr>
              <w:spacing w:after="0"/>
            </w:pPr>
            <w:r>
              <w:rPr>
                <w:sz w:val="18"/>
                <w:szCs w:val="18"/>
              </w:rPr>
              <w:t xml:space="preserve">5</w:t>
            </w:r>
          </w:p>
        </w:tc>
        <w:tc>
          <w:tcPr>
            <w:tcW w:type="dxa" w:w="3120"/>
            <w:tcMar>
              <w:top w:type="dxa" w:w="70"/>
              <w:left w:type="dxa" w:w="110"/>
              <w:bottom w:type="dxa" w:w="70"/>
              <w:right w:type="dxa" w:w="110"/>
            </w:tcMar>
          </w:tcPr>
          <w:p>
            <w:pPr>
              <w:spacing w:after="0"/>
            </w:pPr>
            <w:r>
              <w:rPr>
                <w:sz w:val="18"/>
                <w:szCs w:val="18"/>
              </w:rPr>
              <w:t xml:space="preserve">Provision production in </w:t>
            </w:r>
            <w:r>
              <w:rPr>
                <w:rFonts w:ascii="Consolas" w:cs="Consolas" w:eastAsia="Consolas" w:hAnsi="Consolas"/>
                <w:color w:val="9A3412"/>
                <w:sz w:val="18"/>
                <w:szCs w:val="18"/>
              </w:rPr>
              <w:t xml:space="preserve">eu-west-1</w:t>
            </w:r>
            <w:r>
              <w:rPr>
                <w:sz w:val="18"/>
                <w:szCs w:val="18"/>
              </w:rPr>
              <w:t xml:space="preserve"> / </w:t>
            </w:r>
            <w:r>
              <w:rPr>
                <w:rFonts w:ascii="Consolas" w:cs="Consolas" w:eastAsia="Consolas" w:hAnsi="Consolas"/>
                <w:color w:val="9A3412"/>
                <w:sz w:val="18"/>
                <w:szCs w:val="18"/>
              </w:rPr>
              <w:t xml:space="preserve">dub1</w:t>
            </w:r>
            <w:r>
              <w:rPr>
                <w:sz w:val="18"/>
                <w:szCs w:val="18"/>
              </w:rPr>
              <w:t xml:space="preserve"> — </w:t>
            </w:r>
            <w:r>
              <w:rPr>
                <w:b/>
                <w:bCs/>
                <w:sz w:val="18"/>
                <w:szCs w:val="18"/>
              </w:rPr>
              <w:t xml:space="preserve">only after 1–3</w:t>
            </w:r>
          </w:p>
        </w:tc>
        <w:tc>
          <w:tcPr>
            <w:tcW w:type="dxa" w:w="3120"/>
            <w:tcMar>
              <w:top w:type="dxa" w:w="70"/>
              <w:left w:type="dxa" w:w="110"/>
              <w:bottom w:type="dxa" w:w="70"/>
              <w:right w:type="dxa" w:w="110"/>
            </w:tcMar>
          </w:tcPr>
          <w:p>
            <w:pPr>
              <w:spacing w:after="0"/>
            </w:pPr>
            <w:r>
              <w:rPr>
                <w:sz w:val="18"/>
                <w:szCs w:val="18"/>
              </w:rPr>
              <w:t xml:space="preserve">ICT</w:t>
            </w:r>
          </w:p>
        </w:tc>
      </w:tr>
      <w:tr>
        <w:tc>
          <w:tcPr>
            <w:tcW w:type="dxa" w:w="3120"/>
            <w:tcMar>
              <w:top w:type="dxa" w:w="70"/>
              <w:left w:type="dxa" w:w="110"/>
              <w:bottom w:type="dxa" w:w="70"/>
              <w:right w:type="dxa" w:w="110"/>
            </w:tcMar>
          </w:tcPr>
          <w:p>
            <w:pPr>
              <w:spacing w:after="0"/>
            </w:pPr>
            <w:r>
              <w:rPr>
                <w:sz w:val="18"/>
                <w:szCs w:val="18"/>
              </w:rPr>
              <w:t xml:space="preserve">6</w:t>
            </w:r>
          </w:p>
        </w:tc>
        <w:tc>
          <w:tcPr>
            <w:tcW w:type="dxa" w:w="3120"/>
            <w:tcMar>
              <w:top w:type="dxa" w:w="70"/>
              <w:left w:type="dxa" w:w="110"/>
              <w:bottom w:type="dxa" w:w="70"/>
              <w:right w:type="dxa" w:w="110"/>
            </w:tcMar>
          </w:tcPr>
          <w:p>
            <w:pPr>
              <w:spacing w:after="0"/>
            </w:pPr>
            <w:r>
              <w:rPr>
                <w:sz w:val="18"/>
                <w:szCs w:val="18"/>
              </w:rPr>
              <w:t xml:space="preserve">Re-read when the NDPC issues its first adequacy decisions</w:t>
            </w:r>
          </w:p>
        </w:tc>
        <w:tc>
          <w:tcPr>
            <w:tcW w:type="dxa" w:w="3120"/>
            <w:tcMar>
              <w:top w:type="dxa" w:w="70"/>
              <w:left w:type="dxa" w:w="110"/>
              <w:bottom w:type="dxa" w:w="70"/>
              <w:right w:type="dxa" w:w="110"/>
            </w:tcMar>
          </w:tcPr>
          <w:p>
            <w:pPr>
              <w:spacing w:after="0"/>
            </w:pPr>
            <w:r>
              <w:rPr>
                <w:sz w:val="18"/>
                <w:szCs w:val="18"/>
              </w:rPr>
              <w:t xml:space="preserve">DPO</w:t>
            </w:r>
          </w:p>
        </w:tc>
      </w:tr>
    </w:tbl>
    <w:p>
      <w:pPr>
        <w:spacing w:after="160"/>
      </w:pPr>
    </w:p>
    <w:p>
      <w:pPr>
        <w:pBdr>
          <w:bottom w:val="single" w:color="D0D5DD" w:sz="6" w:space="6"/>
        </w:pBdr>
        <w:spacing w:after="120"/>
      </w:pPr>
    </w:p>
    <w:p>
      <w:pPr>
        <w:pStyle w:val="Heading2"/>
        <w:spacing w:after="140" w:before="300"/>
      </w:pPr>
      <w:r>
        <w:t xml:space="preserve">Sources</w:t>
      </w:r>
    </w:p>
    <w:p>
      <w:pPr>
        <w:pStyle w:val="ListParagraph"/>
        <w:numPr>
          <w:ilvl w:val="0"/>
          <w:numId w:val="2"/>
        </w:numPr>
        <w:spacing w:after="80" w:line="268"/>
      </w:pPr>
      <w:hyperlink w:history="1" r:id="rIdvjduxmhgt0p1scm1oyecj">
        <w:r>
          <w:rPr>
            <w:color w:val="1155CC"/>
            <w:u w:val="single"/>
          </w:rPr>
          <w:t xml:space="preserve">Nigeria Data Protection Act 2023 (full text, PDF)</w:t>
        </w:r>
      </w:hyperlink>
    </w:p>
    <w:p>
      <w:pPr>
        <w:pStyle w:val="ListParagraph"/>
        <w:numPr>
          <w:ilvl w:val="0"/>
          <w:numId w:val="2"/>
        </w:numPr>
        <w:spacing w:after="80" w:line="268"/>
      </w:pPr>
      <w:hyperlink w:history="1" r:id="rIda3inshgk4misvx2gclgpy">
        <w:r>
          <w:rPr>
            <w:color w:val="1155CC"/>
            <w:u w:val="single"/>
          </w:rPr>
          <w:t xml:space="preserve">NDP Act GAID 2025 (NDPC, PDF)</w:t>
        </w:r>
      </w:hyperlink>
    </w:p>
    <w:p>
      <w:pPr>
        <w:pStyle w:val="ListParagraph"/>
        <w:numPr>
          <w:ilvl w:val="0"/>
          <w:numId w:val="2"/>
        </w:numPr>
        <w:spacing w:after="80" w:line="268"/>
      </w:pPr>
      <w:hyperlink w:history="1" r:id="rIdkmduze3sjg1m7fdcjmxk7">
        <w:r>
          <w:rPr>
            <w:color w:val="1155CC"/>
            <w:u w:val="single"/>
          </w:rPr>
          <w:t xml:space="preserve">GAID enters into force, 19 Sept 2025 — Digital Policy Alert</w:t>
        </w:r>
      </w:hyperlink>
    </w:p>
    <w:p>
      <w:pPr>
        <w:pStyle w:val="ListParagraph"/>
        <w:numPr>
          <w:ilvl w:val="0"/>
          <w:numId w:val="2"/>
        </w:numPr>
        <w:spacing w:after="80" w:line="268"/>
      </w:pPr>
      <w:hyperlink w:history="1" r:id="rIdmxb_mxlcsowye80gkwb80">
        <w:r>
          <w:rPr>
            <w:color w:val="1155CC"/>
            <w:u w:val="single"/>
          </w:rPr>
          <w:t xml:space="preserve">Cross-border transfers under the NDPA — Omaplex</w:t>
        </w:r>
      </w:hyperlink>
    </w:p>
    <w:p>
      <w:pPr>
        <w:pStyle w:val="ListParagraph"/>
        <w:numPr>
          <w:ilvl w:val="0"/>
          <w:numId w:val="2"/>
        </w:numPr>
        <w:spacing w:after="80" w:line="268"/>
      </w:pPr>
      <w:hyperlink w:history="1" r:id="rIdyhayckcxiocqi0vrq9o7x">
        <w:r>
          <w:rPr>
            <w:color w:val="1155CC"/>
            <w:u w:val="single"/>
          </w:rPr>
          <w:t xml:space="preserve">Reassessing the adequacy of the Whitelist — TechHive Advisory</w:t>
        </w:r>
      </w:hyperlink>
    </w:p>
    <w:p>
      <w:pPr>
        <w:pStyle w:val="ListParagraph"/>
        <w:numPr>
          <w:ilvl w:val="0"/>
          <w:numId w:val="2"/>
        </w:numPr>
        <w:spacing w:after="80" w:line="268"/>
      </w:pPr>
      <w:hyperlink w:history="1" r:id="rIdb4wum-ocbuuj9i9am3ni1">
        <w:r>
          <w:rPr>
            <w:color w:val="1155CC"/>
            <w:u w:val="single"/>
          </w:rPr>
          <w:t xml:space="preserve">GAID 2025 compliance guidelines — Lawyard</w:t>
        </w:r>
      </w:hyperlink>
    </w:p>
    <w:p>
      <w:pPr>
        <w:pStyle w:val="ListParagraph"/>
        <w:numPr>
          <w:ilvl w:val="0"/>
          <w:numId w:val="2"/>
        </w:numPr>
        <w:spacing w:after="80" w:line="268"/>
      </w:pPr>
      <w:hyperlink w:history="1" r:id="rIdnze3vrdtgyvjhu1fme5fs">
        <w:r>
          <w:rPr>
            <w:color w:val="1155CC"/>
            <w:u w:val="single"/>
          </w:rPr>
          <w:t xml:space="preserve">Cross-border transfer compliance — EuroCloud</w:t>
        </w:r>
      </w:hyperlink>
    </w:p>
    <w:p>
      <w:pPr>
        <w:spacing w:after="140" w:line="268"/>
      </w:pPr>
      <w:r>
        <w:t xml:space="preserve">⚠️ Secondary sources were used where the NDPC's own PDF could not be retrieved from this environment. </w:t>
      </w:r>
      <w:r>
        <w:rPr>
          <w:b/>
          <w:bCs/>
        </w:rPr>
        <w:t xml:space="preserve">Legal should verify Article 45 and Schedule 5 against the primary text</w:t>
      </w:r>
      <w:r>
        <w:t xml:space="preserve"> before this leaves working-document status.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duxmhgt0p1scm1oyecj" Type="http://schemas.openxmlformats.org/officeDocument/2006/relationships/hyperlink" Target="https://cert.gov.ng/ngcert/resources/Nigeria_Data_Protection_Act_2023.pdf" TargetMode="External"/><Relationship Id="rIda3inshgk4misvx2gclgpy" Type="http://schemas.openxmlformats.org/officeDocument/2006/relationships/hyperlink" Target="https://ndpc.gov.ng/wp-content/uploads/2025/07/NDP-ACT-GAID-2025-MARCH-20TH.pdf" TargetMode="External"/><Relationship Id="rIdkmduze3sjg1m7fdcjmxk7" Type="http://schemas.openxmlformats.org/officeDocument/2006/relationships/hyperlink" Target="https://digitalpolicyalert.org/event/33614-data-protection-commissions-general-application-and-implementation-directive-including-cross-border-data-transfer-regulation-ndpcndp-act-gaid012025-enters-into-force" TargetMode="External"/><Relationship Id="rIdmxb_mxlcsowye80gkwb80" Type="http://schemas.openxmlformats.org/officeDocument/2006/relationships/hyperlink" Target="https://omaplex.com.ng/cross-border-data-transfers-under-the-nigeria-data-protection-act-2023-legal-challenges-and-regulatory-compliance-in-nigeria/" TargetMode="External"/><Relationship Id="rIdyhayckcxiocqi0vrq9o7x" Type="http://schemas.openxmlformats.org/officeDocument/2006/relationships/hyperlink" Target="https://www.techhiveadvisory.africa/insights/changing-trend-in-international-data-transfer-in-nigeria-reassessing-the-adequacy-of-the-whitelist-and-the-implications-for-businesses" TargetMode="External"/><Relationship Id="rIdb4wum-ocbuuj9i9am3ni1" Type="http://schemas.openxmlformats.org/officeDocument/2006/relationships/hyperlink" Target="https://www.lawyard.org/blog-articles/gaid-2025-key-data-protection-compliance-obligations-for-nigerian-businesses-by-daniel-ibikunle/" TargetMode="External"/><Relationship Id="rIdnze3vrdtgyvjhu1fme5fs" Type="http://schemas.openxmlformats.org/officeDocument/2006/relationships/hyperlink" Target="https://eurocloud.org/news/article/cross-border-data-transfer-navigating-compliance-under-the-nigerian-data-protection-act-2023/"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2026-09-24T07:08:43.972Z</dcterms:created>
  <dcterms:modified xsi:type="dcterms:W3CDTF">2026-09-24T07:08:43.972Z</dcterms:modified>
</cp:coreProperties>
</file>

<file path=docProps/custom.xml><?xml version="1.0" encoding="utf-8"?>
<Properties xmlns="http://schemas.openxmlformats.org/officeDocument/2006/custom-properties" xmlns:vt="http://schemas.openxmlformats.org/officeDocument/2006/docPropsVTypes"/>
</file>