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6B7280"/>
          <w:sz w:val="16"/>
          <w:szCs w:val="16"/>
        </w:rPr>
        <w:t xml:space="preserve">OE GROUP — FOR LEGAL REVIEW · generated from the repository, 24 September 2026</w:t>
      </w:r>
    </w:p>
    <w:p>
      <w:pPr>
        <w:pStyle w:val="Heading1"/>
        <w:spacing w:after="140" w:before="0"/>
      </w:pPr>
      <w:r>
        <w:t xml:space="preserve">Data Processing Agreements — model DPA and processor tracker</w:t>
      </w:r>
    </w:p>
    <w:p>
      <w:pPr>
        <w:spacing w:after="140" w:line="268"/>
      </w:pPr>
      <w:r>
        <w:rPr>
          <w:b/>
          <w:bCs/>
        </w:rPr>
        <w:t xml:space="preserve">Drafted:</w:t>
      </w:r>
      <w:r>
        <w:t xml:space="preserve"> 19 August 2026 · </w:t>
      </w:r>
      <w:r>
        <w:rPr>
          <w:b/>
          <w:bCs/>
        </w:rPr>
        <w:t xml:space="preserve">Status: draft for legal review — nothing here is executed.</w:t>
      </w:r>
      <w:r>
        <w:t xml:space="preserve"> Companion to </w:t>
      </w:r>
      <w:r>
        <w:rPr>
          <w:rFonts w:ascii="Consolas" w:cs="Consolas" w:eastAsia="Consolas" w:hAnsi="Consolas"/>
          <w:color w:val="9A3412"/>
          <w:sz w:val="18"/>
          <w:szCs w:val="18"/>
        </w:rPr>
        <w:t xml:space="preserve">docs/NDPA_COMPLIANCE_PACK.md</w:t>
      </w:r>
      <w:r>
        <w:t xml:space="preserve"> §4, which lists all thirteen processors as ⛔ unsigned.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0"/>
            </w:pPr>
            <w:r>
              <w:rPr>
                <w:b/>
                <w:bCs/>
                <w:sz w:val="19"/>
                <w:szCs w:val="19"/>
              </w:rPr>
              <w:t xml:space="preserve">What this document is.</w:t>
            </w:r>
            <w:r>
              <w:rPr>
                <w:sz w:val="19"/>
                <w:szCs w:val="19"/>
              </w:rPr>
              <w:t xml:space="preserve"> A model Data Processing Agreement OE Group can offer a processor that has none of its own, plus an NDPA-specific addendum to attach on top of a processor's own standard DPA where one exists, plus a tracker of where each of the thirteen processors actually stands. </w:t>
            </w:r>
            <w:r>
              <w:rPr>
                <w:b/>
                <w:bCs/>
                <w:sz w:val="19"/>
                <w:szCs w:val="19"/>
              </w:rPr>
              <w:t xml:space="preserve">Drafting a DPA is not executing one</w:t>
            </w:r>
            <w:r>
              <w:rPr>
                <w:sz w:val="19"/>
                <w:szCs w:val="19"/>
              </w:rPr>
              <w:t xml:space="preserve"> — every row in §3 still needs a real signature from the processor, which is a board/legal action (</w:t>
            </w:r>
            <w:r>
              <w:rPr>
                <w:rFonts w:ascii="Consolas" w:cs="Consolas" w:eastAsia="Consolas" w:hAnsi="Consolas"/>
                <w:color w:val="9A3412"/>
                <w:sz w:val="18"/>
                <w:szCs w:val="18"/>
              </w:rPr>
              <w:t xml:space="preserve">GO_LIVE_CHECKLIST.md</w:t>
            </w:r>
            <w:r>
              <w:rPr>
                <w:sz w:val="19"/>
                <w:szCs w:val="19"/>
              </w:rPr>
              <w:t xml:space="preserve">), not something completed by writing this document.</w:t>
            </w:r>
          </w:p>
        </w:tc>
      </w:tr>
    </w:tbl>
    <w:p>
      <w:pPr>
        <w:spacing w:after="160"/>
      </w:pPr>
    </w:p>
    <w:p>
      <w:pPr>
        <w:pBdr>
          <w:bottom w:val="single" w:color="D0D5DD" w:sz="6" w:space="6"/>
        </w:pBdr>
        <w:spacing w:after="120"/>
      </w:pPr>
    </w:p>
    <w:p>
      <w:pPr>
        <w:pStyle w:val="Heading2"/>
        <w:spacing w:after="140" w:before="300"/>
      </w:pPr>
      <w:r>
        <w:t xml:space="preserve">1. Which path applies to which processor</w:t>
      </w:r>
    </w:p>
    <w:p>
      <w:pPr>
        <w:spacing w:after="140" w:line="268"/>
      </w:pPr>
      <w:r>
        <w:t xml:space="preserve">Most of the thirteen processors are established SaaS companies that already publish their own standard Data Processing Addendum — signing theirs (usually via a dashboard acceptance, a trust-centre request, or a signature on their paper) is faster and more defensible than asking them to sign OE Group's own text. Two categories exist:</w:t>
      </w:r>
    </w:p>
    <w:p>
      <w:pPr>
        <w:pStyle w:val="ListParagraph"/>
        <w:numPr>
          <w:ilvl w:val="0"/>
          <w:numId w:val="2"/>
        </w:numPr>
        <w:spacing w:after="80" w:line="268"/>
      </w:pPr>
      <w:r>
        <w:rPr>
          <w:b/>
          <w:bCs/>
        </w:rPr>
        <w:t xml:space="preserve">Has its own DPA (most likely):</w:t>
      </w:r>
      <w:r>
        <w:t xml:space="preserve"> Supabase, Vercel, Anthropic, Google (Gemini), Paystack, Resend, Upstash, Sentry. </w:t>
      </w:r>
      <w:r>
        <w:rPr>
          <w:b/>
          <w:bCs/>
        </w:rPr>
        <w:t xml:space="preserve">Action:</w:t>
      </w:r>
      <w:r>
        <w:t xml:space="preserve"> locate and execute their standard DPA (§3 has the starting point for each), then attach the </w:t>
      </w:r>
      <w:r>
        <w:rPr>
          <w:b/>
          <w:bCs/>
        </w:rPr>
        <w:t xml:space="preserve">NDPA addendum</w:t>
      </w:r>
      <w:r>
        <w:t xml:space="preserve"> (§2) as a rider — their DPA is written for GDPR and won't mention the Nigeria Data Protection Act or the NDPC on its own.</w:t>
      </w:r>
    </w:p>
    <w:p>
      <w:pPr>
        <w:pStyle w:val="ListParagraph"/>
        <w:numPr>
          <w:ilvl w:val="0"/>
          <w:numId w:val="2"/>
        </w:numPr>
        <w:spacing w:after="80" w:line="268"/>
      </w:pPr>
      <w:r>
        <w:rPr>
          <w:b/>
          <w:bCs/>
        </w:rPr>
        <w:t xml:space="preserve">May not offer one (confirm, then use the model DPA if not):</w:t>
      </w:r>
      <w:r>
        <w:t xml:space="preserve"> 360dialog, Telegram, Flutterwave, Africa's Talking. </w:t>
      </w:r>
      <w:r>
        <w:rPr>
          <w:rFonts w:ascii="Consolas" w:cs="Consolas" w:eastAsia="Consolas" w:hAnsi="Consolas"/>
          <w:color w:val="9A3412"/>
          <w:sz w:val="18"/>
          <w:szCs w:val="18"/>
        </w:rPr>
        <w:t xml:space="preserve">NDPA_COMPLIANCE_PACK.md</w:t>
      </w:r>
      <w:r>
        <w:t xml:space="preserve"> already flags Telegram specifically — Telegram Bot API has no known standard DPA process at all. </w:t>
      </w:r>
      <w:r>
        <w:rPr>
          <w:b/>
          <w:bCs/>
        </w:rPr>
        <w:t xml:space="preserve">Action:</w:t>
      </w:r>
      <w:r>
        <w:t xml:space="preserve"> confirm with each; where none exists, present the </w:t>
      </w:r>
      <w:r>
        <w:rPr>
          <w:b/>
          <w:bCs/>
        </w:rPr>
        <w:t xml:space="preserve">model DPA</w:t>
      </w:r>
      <w:r>
        <w:t xml:space="preserve"> (§4) for signature, or accept and document the residual risk if a processor cannot be brought to sign anything (a real possibility with Telegram, whose bot platform is not built for enterprise contracting).</w:t>
      </w:r>
    </w:p>
    <w:p>
      <w:pPr>
        <w:pBdr>
          <w:bottom w:val="single" w:color="D0D5DD" w:sz="6" w:space="6"/>
        </w:pBdr>
        <w:spacing w:after="120"/>
      </w:pPr>
    </w:p>
    <w:p>
      <w:pPr>
        <w:pStyle w:val="Heading2"/>
        <w:spacing w:after="140" w:before="300"/>
      </w:pPr>
      <w:r>
        <w:t xml:space="preserve">2. NDPA addendum — attach to a processor's own GDPR-style DPA</w:t>
      </w:r>
    </w:p>
    <w:p>
      <w:pPr>
        <w:spacing w:after="140" w:line="268"/>
      </w:pPr>
      <w:r>
        <w:t xml:space="preserve">A processor's own DPA is typically written for GDPR and is silent on Nigerian law. This addendum closes that gap without renegotiating their whole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100"/>
            </w:pPr>
            <w:r>
              <w:rPr>
                <w:b/>
                <w:bCs/>
                <w:sz w:val="19"/>
                <w:szCs w:val="19"/>
              </w:rPr>
              <w:t xml:space="preserve">Addendum to the Data Processing Agreement between OE Group ("Controller") and [Processor] ("Processor")</w:t>
            </w:r>
          </w:p>
          <w:p>
            <w:pPr>
              <w:spacing w:after="0"/>
            </w:pPr>
            <w:r>
              <w:rPr>
                <w:sz w:val="19"/>
                <w:szCs w:val="19"/>
              </w:rPr>
              <w:t xml:space="preserve">1. </w:t>
            </w:r>
            <w:r>
              <w:rPr>
                <w:b/>
                <w:bCs/>
                <w:sz w:val="19"/>
                <w:szCs w:val="19"/>
              </w:rPr>
              <w:t xml:space="preserve">Scope.</w:t>
            </w:r>
            <w:r>
              <w:rPr>
                <w:sz w:val="19"/>
                <w:szCs w:val="19"/>
              </w:rPr>
              <w:t xml:space="preserve"> This addendum supplements the Processor's standard Data Processing Agreement (the "DPA") wherever the DPA is silent on or inconsistent with the Nigeria Data Protection Act 2023 ("NDPA"). Where the DPA already provides equivalent or stronger protection, the DPA governs. 2. </w:t>
            </w:r>
            <w:r>
              <w:rPr>
                <w:b/>
                <w:bCs/>
                <w:sz w:val="19"/>
                <w:szCs w:val="19"/>
              </w:rPr>
              <w:t xml:space="preserve">Breach notification.</w:t>
            </w:r>
            <w:r>
              <w:rPr>
                <w:sz w:val="19"/>
                <w:szCs w:val="19"/>
              </w:rPr>
              <w:t xml:space="preserve"> Processor shall notify Controller of a personal data breach </w:t>
            </w:r>
            <w:r>
              <w:rPr>
                <w:b/>
                <w:bCs/>
                <w:sz w:val="19"/>
                <w:szCs w:val="19"/>
              </w:rPr>
              <w:t xml:space="preserve">without undue delay and in any event within 24 hours</w:t>
            </w:r>
            <w:r>
              <w:rPr>
                <w:sz w:val="19"/>
                <w:szCs w:val="19"/>
              </w:rPr>
              <w:t xml:space="preserve"> of becoming aware of it, sufficient for Controller to meet its own 72-hour notification obligation to the Nigeria Data Protection Commission (NDPC) under NDPA s.40. 3. </w:t>
            </w:r>
            <w:r>
              <w:rPr>
                <w:b/>
                <w:bCs/>
                <w:sz w:val="19"/>
                <w:szCs w:val="19"/>
              </w:rPr>
              <w:t xml:space="preserve">Cross-border transfer.</w:t>
            </w:r>
            <w:r>
              <w:rPr>
                <w:sz w:val="19"/>
                <w:szCs w:val="19"/>
              </w:rPr>
              <w:t xml:space="preserve"> Where Processor processes personal data outside Nigeria, Processor confirms the transfer is made under one of: (a) a jurisdiction the NDPC has recognised as adequate, (b) standard contractual clauses materially equivalent to those recognised under NDPA, or (c) another mechanism recognised by the NDPC — specify which, per processor, in §3 below. 4. </w:t>
            </w:r>
            <w:r>
              <w:rPr>
                <w:b/>
                <w:bCs/>
                <w:sz w:val="19"/>
                <w:szCs w:val="19"/>
              </w:rPr>
              <w:t xml:space="preserve">Sub-processors.</w:t>
            </w:r>
            <w:r>
              <w:rPr>
                <w:sz w:val="19"/>
                <w:szCs w:val="19"/>
              </w:rPr>
              <w:t xml:space="preserve"> Processor shall maintain and, on request, provide Controller a current list of sub-processors handling Controller's data, and shall flow down data-protection obligations equivalent to this addendum to each. 5. </w:t>
            </w:r>
            <w:r>
              <w:rPr>
                <w:b/>
                <w:bCs/>
                <w:sz w:val="19"/>
                <w:szCs w:val="19"/>
              </w:rPr>
              <w:t xml:space="preserve">Assistance with data-subject rights.</w:t>
            </w:r>
            <w:r>
              <w:rPr>
                <w:sz w:val="19"/>
                <w:szCs w:val="19"/>
              </w:rPr>
              <w:t xml:space="preserve"> Processor shall provide reasonable assistance to Controller in responding to a data-subject rights request within Controller's 30-day NDPA response window. 6. </w:t>
            </w:r>
            <w:r>
              <w:rPr>
                <w:b/>
                <w:bCs/>
                <w:sz w:val="19"/>
                <w:szCs w:val="19"/>
              </w:rPr>
              <w:t xml:space="preserve">Deletion or return on termination.</w:t>
            </w:r>
            <w:r>
              <w:rPr>
                <w:sz w:val="19"/>
                <w:szCs w:val="19"/>
              </w:rPr>
              <w:t xml:space="preserve"> On termination, Processor shall, at Controller's election, delete or return all personal data, and certify deletion where requested, subject to any retention Processor is independently required by law to keep. 7. </w:t>
            </w:r>
            <w:r>
              <w:rPr>
                <w:b/>
                <w:bCs/>
                <w:sz w:val="19"/>
                <w:szCs w:val="19"/>
              </w:rPr>
              <w:t xml:space="preserve">Audit.</w:t>
            </w:r>
            <w:r>
              <w:rPr>
                <w:sz w:val="19"/>
                <w:szCs w:val="19"/>
              </w:rPr>
              <w:t xml:space="preserve"> Processor shall make available information reasonably necessary to demonstrate compliance with this addendum, and permit audits by Controller or an auditor Controller appoints, on reasonable notice.</w:t>
            </w:r>
          </w:p>
        </w:tc>
      </w:tr>
    </w:tbl>
    <w:p>
      <w:pPr>
        <w:spacing w:after="160"/>
      </w:pPr>
    </w:p>
    <w:p>
      <w:pPr>
        <w:pBdr>
          <w:bottom w:val="single" w:color="D0D5DD" w:sz="6" w:space="6"/>
        </w:pBdr>
        <w:spacing w:after="120"/>
      </w:pPr>
    </w:p>
    <w:p>
      <w:pPr>
        <w:pStyle w:val="Heading2"/>
        <w:spacing w:after="140" w:before="300"/>
      </w:pPr>
      <w:r>
        <w:t xml:space="preserve">3. Processor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AECF0" w:val="clear"/>
            <w:tcMar>
              <w:top w:type="dxa" w:w="70"/>
              <w:left w:type="dxa" w:w="110"/>
              <w:bottom w:type="dxa" w:w="70"/>
              <w:right w:type="dxa" w:w="110"/>
            </w:tcMar>
          </w:tcPr>
          <w:p>
            <w:pPr>
              <w:spacing w:after="0"/>
            </w:pPr>
            <w:r>
              <w:rPr>
                <w:b/>
                <w:bCs/>
                <w:sz w:val="18"/>
                <w:szCs w:val="18"/>
              </w:rPr>
              <w:t xml:space="preserve">Processor</w:t>
            </w:r>
          </w:p>
        </w:tc>
        <w:tc>
          <w:tcPr>
            <w:tcW w:type="dxa" w:w="1560"/>
            <w:shd w:fill="EAECF0" w:val="clear"/>
            <w:tcMar>
              <w:top w:type="dxa" w:w="70"/>
              <w:left w:type="dxa" w:w="110"/>
              <w:bottom w:type="dxa" w:w="70"/>
              <w:right w:type="dxa" w:w="110"/>
            </w:tcMar>
          </w:tcPr>
          <w:p>
            <w:pPr>
              <w:spacing w:after="0"/>
            </w:pPr>
            <w:r>
              <w:rPr>
                <w:b/>
                <w:bCs/>
                <w:sz w:val="18"/>
                <w:szCs w:val="18"/>
              </w:rPr>
              <w:t xml:space="preserve">Personal data involved</w:t>
            </w:r>
          </w:p>
        </w:tc>
        <w:tc>
          <w:tcPr>
            <w:tcW w:type="dxa" w:w="1560"/>
            <w:shd w:fill="EAECF0" w:val="clear"/>
            <w:tcMar>
              <w:top w:type="dxa" w:w="70"/>
              <w:left w:type="dxa" w:w="110"/>
              <w:bottom w:type="dxa" w:w="70"/>
              <w:right w:type="dxa" w:w="110"/>
            </w:tcMar>
          </w:tcPr>
          <w:p>
            <w:pPr>
              <w:spacing w:after="0"/>
            </w:pPr>
            <w:r>
              <w:rPr>
                <w:b/>
                <w:bCs/>
                <w:sz w:val="18"/>
                <w:szCs w:val="18"/>
              </w:rPr>
              <w:t xml:space="preserve">Has own DPA?</w:t>
            </w:r>
          </w:p>
        </w:tc>
        <w:tc>
          <w:tcPr>
            <w:tcW w:type="dxa" w:w="1560"/>
            <w:shd w:fill="EAECF0" w:val="clear"/>
            <w:tcMar>
              <w:top w:type="dxa" w:w="70"/>
              <w:left w:type="dxa" w:w="110"/>
              <w:bottom w:type="dxa" w:w="70"/>
              <w:right w:type="dxa" w:w="110"/>
            </w:tcMar>
          </w:tcPr>
          <w:p>
            <w:pPr>
              <w:spacing w:after="0"/>
            </w:pPr>
            <w:r>
              <w:rPr>
                <w:b/>
                <w:bCs/>
                <w:sz w:val="18"/>
                <w:szCs w:val="18"/>
              </w:rPr>
              <w:t xml:space="preserve">Where to get it</w:t>
            </w:r>
          </w:p>
        </w:tc>
        <w:tc>
          <w:tcPr>
            <w:tcW w:type="dxa" w:w="1560"/>
            <w:shd w:fill="EAECF0" w:val="clear"/>
            <w:tcMar>
              <w:top w:type="dxa" w:w="70"/>
              <w:left w:type="dxa" w:w="110"/>
              <w:bottom w:type="dxa" w:w="70"/>
              <w:right w:type="dxa" w:w="110"/>
            </w:tcMar>
          </w:tcPr>
          <w:p>
            <w:pPr>
              <w:spacing w:after="0"/>
            </w:pPr>
            <w:r>
              <w:rPr>
                <w:b/>
                <w:bCs/>
                <w:sz w:val="18"/>
                <w:szCs w:val="18"/>
              </w:rPr>
              <w:t xml:space="preserve">NDPA addendum needed?</w:t>
            </w:r>
          </w:p>
        </w:tc>
        <w:tc>
          <w:tcPr>
            <w:tcW w:type="dxa" w:w="1560"/>
            <w:shd w:fill="EAECF0" w:val="clear"/>
            <w:tcMar>
              <w:top w:type="dxa" w:w="70"/>
              <w:left w:type="dxa" w:w="110"/>
              <w:bottom w:type="dxa" w:w="70"/>
              <w:right w:type="dxa" w:w="110"/>
            </w:tcMar>
          </w:tcPr>
          <w:p>
            <w:pPr>
              <w:spacing w:after="0"/>
            </w:pPr>
            <w:r>
              <w:rPr>
                <w:b/>
                <w:bCs/>
                <w:sz w:val="18"/>
                <w:szCs w:val="18"/>
              </w:rPr>
              <w:t xml:space="preserve">Status</w:t>
            </w:r>
          </w:p>
        </w:tc>
      </w:tr>
      <w:tr>
        <w:tc>
          <w:tcPr>
            <w:tcW w:type="dxa" w:w="1560"/>
            <w:tcMar>
              <w:top w:type="dxa" w:w="70"/>
              <w:left w:type="dxa" w:w="110"/>
              <w:bottom w:type="dxa" w:w="70"/>
              <w:right w:type="dxa" w:w="110"/>
            </w:tcMar>
          </w:tcPr>
          <w:p>
            <w:pPr>
              <w:spacing w:after="0"/>
            </w:pPr>
            <w:r>
              <w:rPr>
                <w:sz w:val="18"/>
                <w:szCs w:val="18"/>
              </w:rPr>
              <w:t xml:space="preserve">Supabase</w:t>
            </w:r>
          </w:p>
        </w:tc>
        <w:tc>
          <w:tcPr>
            <w:tcW w:type="dxa" w:w="1560"/>
            <w:tcMar>
              <w:top w:type="dxa" w:w="70"/>
              <w:left w:type="dxa" w:w="110"/>
              <w:bottom w:type="dxa" w:w="70"/>
              <w:right w:type="dxa" w:w="110"/>
            </w:tcMar>
          </w:tcPr>
          <w:p>
            <w:pPr>
              <w:spacing w:after="0"/>
            </w:pPr>
            <w:r>
              <w:rPr>
                <w:sz w:val="18"/>
                <w:szCs w:val="18"/>
              </w:rPr>
              <w:t xml:space="preserve">all of it (database, auth, storage)</w:t>
            </w:r>
          </w:p>
        </w:tc>
        <w:tc>
          <w:tcPr>
            <w:tcW w:type="dxa" w:w="1560"/>
            <w:tcMar>
              <w:top w:type="dxa" w:w="70"/>
              <w:left w:type="dxa" w:w="110"/>
              <w:bottom w:type="dxa" w:w="70"/>
              <w:right w:type="dxa" w:w="110"/>
            </w:tcMar>
          </w:tcPr>
          <w:p>
            <w:pPr>
              <w:spacing w:after="0"/>
            </w:pPr>
            <w:r>
              <w:rPr>
                <w:sz w:val="18"/>
                <w:szCs w:val="18"/>
              </w:rPr>
              <w:t xml:space="preserve">Yes — published, GDPR-based</w:t>
            </w:r>
          </w:p>
        </w:tc>
        <w:tc>
          <w:tcPr>
            <w:tcW w:type="dxa" w:w="1560"/>
            <w:tcMar>
              <w:top w:type="dxa" w:w="70"/>
              <w:left w:type="dxa" w:w="110"/>
              <w:bottom w:type="dxa" w:w="70"/>
              <w:right w:type="dxa" w:w="110"/>
            </w:tcMar>
          </w:tcPr>
          <w:p>
            <w:pPr>
              <w:spacing w:after="0"/>
            </w:pPr>
            <w:r>
              <w:rPr>
                <w:sz w:val="18"/>
                <w:szCs w:val="18"/>
              </w:rPr>
              <w:t xml:space="preserve">Supabase dashboard → Organization → Legal Documents, or supabase.com/legal/dpa</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Vercel</w:t>
            </w:r>
          </w:p>
        </w:tc>
        <w:tc>
          <w:tcPr>
            <w:tcW w:type="dxa" w:w="1560"/>
            <w:tcMar>
              <w:top w:type="dxa" w:w="70"/>
              <w:left w:type="dxa" w:w="110"/>
              <w:bottom w:type="dxa" w:w="70"/>
              <w:right w:type="dxa" w:w="110"/>
            </w:tcMar>
          </w:tcPr>
          <w:p>
            <w:pPr>
              <w:spacing w:after="0"/>
            </w:pPr>
            <w:r>
              <w:rPr>
                <w:sz w:val="18"/>
                <w:szCs w:val="18"/>
              </w:rPr>
              <w:t xml:space="preserve">all of it, in transit</w:t>
            </w:r>
          </w:p>
        </w:tc>
        <w:tc>
          <w:tcPr>
            <w:tcW w:type="dxa" w:w="1560"/>
            <w:tcMar>
              <w:top w:type="dxa" w:w="70"/>
              <w:left w:type="dxa" w:w="110"/>
              <w:bottom w:type="dxa" w:w="70"/>
              <w:right w:type="dxa" w:w="110"/>
            </w:tcMar>
          </w:tcPr>
          <w:p>
            <w:pPr>
              <w:spacing w:after="0"/>
            </w:pPr>
            <w:r>
              <w:rPr>
                <w:sz w:val="18"/>
                <w:szCs w:val="18"/>
              </w:rPr>
              <w:t xml:space="preserve">Yes — published</w:t>
            </w:r>
          </w:p>
        </w:tc>
        <w:tc>
          <w:tcPr>
            <w:tcW w:type="dxa" w:w="1560"/>
            <w:tcMar>
              <w:top w:type="dxa" w:w="70"/>
              <w:left w:type="dxa" w:w="110"/>
              <w:bottom w:type="dxa" w:w="70"/>
              <w:right w:type="dxa" w:w="110"/>
            </w:tcMar>
          </w:tcPr>
          <w:p>
            <w:pPr>
              <w:spacing w:after="0"/>
            </w:pPr>
            <w:r>
              <w:rPr>
                <w:sz w:val="18"/>
                <w:szCs w:val="18"/>
              </w:rPr>
              <w:t xml:space="preserve">vercel.com/legal/dpa</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Anthropic</w:t>
            </w:r>
          </w:p>
        </w:tc>
        <w:tc>
          <w:tcPr>
            <w:tcW w:type="dxa" w:w="1560"/>
            <w:tcMar>
              <w:top w:type="dxa" w:w="70"/>
              <w:left w:type="dxa" w:w="110"/>
              <w:bottom w:type="dxa" w:w="70"/>
              <w:right w:type="dxa" w:w="110"/>
            </w:tcMar>
          </w:tcPr>
          <w:p>
            <w:pPr>
              <w:spacing w:after="0"/>
            </w:pPr>
            <w:r>
              <w:rPr>
                <w:sz w:val="18"/>
                <w:szCs w:val="18"/>
              </w:rPr>
              <w:t xml:space="preserve">request/message text; extracted document text</w:t>
            </w:r>
          </w:p>
        </w:tc>
        <w:tc>
          <w:tcPr>
            <w:tcW w:type="dxa" w:w="1560"/>
            <w:tcMar>
              <w:top w:type="dxa" w:w="70"/>
              <w:left w:type="dxa" w:w="110"/>
              <w:bottom w:type="dxa" w:w="70"/>
              <w:right w:type="dxa" w:w="110"/>
            </w:tcMar>
          </w:tcPr>
          <w:p>
            <w:pPr>
              <w:spacing w:after="0"/>
            </w:pPr>
            <w:r>
              <w:rPr>
                <w:sz w:val="18"/>
                <w:szCs w:val="18"/>
              </w:rPr>
              <w:t xml:space="preserve">Yes — available on request for business accounts</w:t>
            </w:r>
          </w:p>
        </w:tc>
        <w:tc>
          <w:tcPr>
            <w:tcW w:type="dxa" w:w="1560"/>
            <w:tcMar>
              <w:top w:type="dxa" w:w="70"/>
              <w:left w:type="dxa" w:w="110"/>
              <w:bottom w:type="dxa" w:w="70"/>
              <w:right w:type="dxa" w:w="110"/>
            </w:tcMar>
          </w:tcPr>
          <w:p>
            <w:pPr>
              <w:spacing w:after="0"/>
            </w:pPr>
            <w:r>
              <w:rPr>
                <w:sz w:val="18"/>
                <w:szCs w:val="18"/>
              </w:rPr>
              <w:t xml:space="preserve">via Anthropic account team / trust.anthropic.com</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Google (Gemini)</w:t>
            </w:r>
          </w:p>
        </w:tc>
        <w:tc>
          <w:tcPr>
            <w:tcW w:type="dxa" w:w="1560"/>
            <w:tcMar>
              <w:top w:type="dxa" w:w="70"/>
              <w:left w:type="dxa" w:w="110"/>
              <w:bottom w:type="dxa" w:w="70"/>
              <w:right w:type="dxa" w:w="110"/>
            </w:tcMar>
          </w:tcPr>
          <w:p>
            <w:pPr>
              <w:spacing w:after="0"/>
            </w:pPr>
            <w:r>
              <w:rPr>
                <w:sz w:val="18"/>
                <w:szCs w:val="18"/>
              </w:rPr>
              <w:t xml:space="preserve">message text (classifier failover only)</w:t>
            </w:r>
          </w:p>
        </w:tc>
        <w:tc>
          <w:tcPr>
            <w:tcW w:type="dxa" w:w="1560"/>
            <w:tcMar>
              <w:top w:type="dxa" w:w="70"/>
              <w:left w:type="dxa" w:w="110"/>
              <w:bottom w:type="dxa" w:w="70"/>
              <w:right w:type="dxa" w:w="110"/>
            </w:tcMar>
          </w:tcPr>
          <w:p>
            <w:pPr>
              <w:spacing w:after="0"/>
            </w:pPr>
            <w:r>
              <w:rPr>
                <w:sz w:val="18"/>
                <w:szCs w:val="18"/>
              </w:rPr>
              <w:t xml:space="preserve">Yes — Google Cloud DPA</w:t>
            </w:r>
          </w:p>
        </w:tc>
        <w:tc>
          <w:tcPr>
            <w:tcW w:type="dxa" w:w="1560"/>
            <w:tcMar>
              <w:top w:type="dxa" w:w="70"/>
              <w:left w:type="dxa" w:w="110"/>
              <w:bottom w:type="dxa" w:w="70"/>
              <w:right w:type="dxa" w:w="110"/>
            </w:tcMar>
          </w:tcPr>
          <w:p>
            <w:pPr>
              <w:spacing w:after="0"/>
            </w:pPr>
            <w:r>
              <w:rPr>
                <w:sz w:val="18"/>
                <w:szCs w:val="18"/>
              </w:rPr>
              <w:t xml:space="preserve">cloud.google.com/terms/data-processing-addendum</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360dialog</w:t>
            </w:r>
          </w:p>
        </w:tc>
        <w:tc>
          <w:tcPr>
            <w:tcW w:type="dxa" w:w="1560"/>
            <w:tcMar>
              <w:top w:type="dxa" w:w="70"/>
              <w:left w:type="dxa" w:w="110"/>
              <w:bottom w:type="dxa" w:w="70"/>
              <w:right w:type="dxa" w:w="110"/>
            </w:tcMar>
          </w:tcPr>
          <w:p>
            <w:pPr>
              <w:spacing w:after="0"/>
            </w:pPr>
            <w:r>
              <w:rPr>
                <w:sz w:val="18"/>
                <w:szCs w:val="18"/>
              </w:rPr>
              <w:t xml:space="preserve">phone numbers, message content</w:t>
            </w:r>
          </w:p>
        </w:tc>
        <w:tc>
          <w:tcPr>
            <w:tcW w:type="dxa" w:w="1560"/>
            <w:tcMar>
              <w:top w:type="dxa" w:w="70"/>
              <w:left w:type="dxa" w:w="110"/>
              <w:bottom w:type="dxa" w:w="70"/>
              <w:right w:type="dxa" w:w="110"/>
            </w:tcMar>
          </w:tcPr>
          <w:p>
            <w:pPr>
              <w:spacing w:after="0"/>
            </w:pPr>
            <w:r>
              <w:rPr>
                <w:b/>
                <w:bCs/>
                <w:sz w:val="18"/>
                <w:szCs w:val="18"/>
              </w:rPr>
              <w:t xml:space="preserve">Confirm</w:t>
            </w:r>
            <w:r>
              <w:rPr>
                <w:sz w:val="18"/>
                <w:szCs w:val="18"/>
              </w:rPr>
              <w:t xml:space="preserve"> — likely yes as a Meta BSP, but direct-client tier (not Partner) may differ; check</w:t>
            </w:r>
          </w:p>
        </w:tc>
        <w:tc>
          <w:tcPr>
            <w:tcW w:type="dxa" w:w="1560"/>
            <w:tcMar>
              <w:top w:type="dxa" w:w="70"/>
              <w:left w:type="dxa" w:w="110"/>
              <w:bottom w:type="dxa" w:w="70"/>
              <w:right w:type="dxa" w:w="110"/>
            </w:tcMar>
          </w:tcPr>
          <w:p>
            <w:pPr>
              <w:spacing w:after="0"/>
            </w:pPr>
            <w:r>
              <w:rPr>
                <w:sz w:val="18"/>
                <w:szCs w:val="18"/>
              </w:rPr>
              <w:t xml:space="preserve">360dialog account/legal contact</w:t>
            </w:r>
          </w:p>
        </w:tc>
        <w:tc>
          <w:tcPr>
            <w:tcW w:type="dxa" w:w="1560"/>
            <w:tcMar>
              <w:top w:type="dxa" w:w="70"/>
              <w:left w:type="dxa" w:w="110"/>
              <w:bottom w:type="dxa" w:w="70"/>
              <w:right w:type="dxa" w:w="110"/>
            </w:tcMar>
          </w:tcPr>
          <w:p>
            <w:pPr>
              <w:spacing w:after="0"/>
            </w:pPr>
            <w:r>
              <w:rPr>
                <w:sz w:val="18"/>
                <w:szCs w:val="18"/>
              </w:rPr>
              <w:t xml:space="preserve">Yes (§2) once confirmed</w:t>
            </w:r>
          </w:p>
        </w:tc>
        <w:tc>
          <w:tcPr>
            <w:tcW w:type="dxa" w:w="1560"/>
            <w:tcMar>
              <w:top w:type="dxa" w:w="70"/>
              <w:left w:type="dxa" w:w="110"/>
              <w:bottom w:type="dxa" w:w="70"/>
              <w:right w:type="dxa" w:w="110"/>
            </w:tcMar>
          </w:tcPr>
          <w:p>
            <w:pPr>
              <w:spacing w:after="0"/>
            </w:pPr>
            <w:r>
              <w:rPr>
                <w:sz w:val="18"/>
                <w:szCs w:val="18"/>
              </w:rPr>
              <w:t xml:space="preserve">⛔ not started, confirm first</w:t>
            </w:r>
          </w:p>
        </w:tc>
      </w:tr>
      <w:tr>
        <w:tc>
          <w:tcPr>
            <w:tcW w:type="dxa" w:w="1560"/>
            <w:tcMar>
              <w:top w:type="dxa" w:w="70"/>
              <w:left w:type="dxa" w:w="110"/>
              <w:bottom w:type="dxa" w:w="70"/>
              <w:right w:type="dxa" w:w="110"/>
            </w:tcMar>
          </w:tcPr>
          <w:p>
            <w:pPr>
              <w:spacing w:after="0"/>
            </w:pPr>
            <w:r>
              <w:rPr>
                <w:sz w:val="18"/>
                <w:szCs w:val="18"/>
              </w:rPr>
              <w:t xml:space="preserve">Telegram</w:t>
            </w:r>
          </w:p>
        </w:tc>
        <w:tc>
          <w:tcPr>
            <w:tcW w:type="dxa" w:w="1560"/>
            <w:tcMar>
              <w:top w:type="dxa" w:w="70"/>
              <w:left w:type="dxa" w:w="110"/>
              <w:bottom w:type="dxa" w:w="70"/>
              <w:right w:type="dxa" w:w="110"/>
            </w:tcMar>
          </w:tcPr>
          <w:p>
            <w:pPr>
              <w:spacing w:after="0"/>
            </w:pPr>
            <w:r>
              <w:rPr>
                <w:sz w:val="18"/>
                <w:szCs w:val="18"/>
              </w:rPr>
              <w:t xml:space="preserve">chat IDs, message content</w:t>
            </w:r>
          </w:p>
        </w:tc>
        <w:tc>
          <w:tcPr>
            <w:tcW w:type="dxa" w:w="1560"/>
            <w:tcMar>
              <w:top w:type="dxa" w:w="70"/>
              <w:left w:type="dxa" w:w="110"/>
              <w:bottom w:type="dxa" w:w="70"/>
              <w:right w:type="dxa" w:w="110"/>
            </w:tcMar>
          </w:tcPr>
          <w:p>
            <w:pPr>
              <w:spacing w:after="0"/>
            </w:pPr>
            <w:r>
              <w:rPr>
                <w:b/>
                <w:bCs/>
                <w:sz w:val="18"/>
                <w:szCs w:val="18"/>
              </w:rPr>
              <w:t xml:space="preserve">Unlikely</w:t>
            </w:r>
            <w:r>
              <w:rPr>
                <w:sz w:val="18"/>
                <w:szCs w:val="18"/>
              </w:rPr>
              <w:t xml:space="preserve"> — Bot API has no known standard enterprise DPA process</w:t>
            </w:r>
          </w:p>
        </w:tc>
        <w:tc>
          <w:tcPr>
            <w:tcW w:type="dxa" w:w="1560"/>
            <w:tcMar>
              <w:top w:type="dxa" w:w="70"/>
              <w:left w:type="dxa" w:w="110"/>
              <w:bottom w:type="dxa" w:w="70"/>
              <w:right w:type="dxa" w:w="110"/>
            </w:tcMar>
          </w:tcPr>
          <w:p>
            <w:pPr>
              <w:spacing w:after="0"/>
            </w:pPr>
            <w:r>
              <w:rPr>
                <w:sz w:val="18"/>
                <w:szCs w:val="18"/>
              </w:rPr>
              <w:t xml:space="preserve">Confirm via @BotSupport or Telegram's own privacy/legal contact; if none, use model DPA (§4)</w:t>
            </w:r>
          </w:p>
        </w:tc>
        <w:tc>
          <w:tcPr>
            <w:tcW w:type="dxa" w:w="1560"/>
            <w:tcMar>
              <w:top w:type="dxa" w:w="70"/>
              <w:left w:type="dxa" w:w="110"/>
              <w:bottom w:type="dxa" w:w="70"/>
              <w:right w:type="dxa" w:w="110"/>
            </w:tcMar>
          </w:tcPr>
          <w:p>
            <w:pPr>
              <w:spacing w:after="0"/>
            </w:pPr>
            <w:r>
              <w:rPr>
                <w:sz w:val="18"/>
                <w:szCs w:val="18"/>
              </w:rPr>
              <w:t xml:space="preserve">Model DPA if no standard one exists</w:t>
            </w:r>
          </w:p>
        </w:tc>
        <w:tc>
          <w:tcPr>
            <w:tcW w:type="dxa" w:w="1560"/>
            <w:tcMar>
              <w:top w:type="dxa" w:w="70"/>
              <w:left w:type="dxa" w:w="110"/>
              <w:bottom w:type="dxa" w:w="70"/>
              <w:right w:type="dxa" w:w="110"/>
            </w:tcMar>
          </w:tcPr>
          <w:p>
            <w:pPr>
              <w:spacing w:after="0"/>
            </w:pPr>
            <w:r>
              <w:rPr>
                <w:sz w:val="18"/>
                <w:szCs w:val="18"/>
              </w:rPr>
              <w:t xml:space="preserve">⛔ not started, confirm first</w:t>
            </w:r>
          </w:p>
        </w:tc>
      </w:tr>
      <w:tr>
        <w:tc>
          <w:tcPr>
            <w:tcW w:type="dxa" w:w="1560"/>
            <w:tcMar>
              <w:top w:type="dxa" w:w="70"/>
              <w:left w:type="dxa" w:w="110"/>
              <w:bottom w:type="dxa" w:w="70"/>
              <w:right w:type="dxa" w:w="110"/>
            </w:tcMar>
          </w:tcPr>
          <w:p>
            <w:pPr>
              <w:spacing w:after="0"/>
            </w:pPr>
            <w:r>
              <w:rPr>
                <w:sz w:val="18"/>
                <w:szCs w:val="18"/>
              </w:rPr>
              <w:t xml:space="preserve">Paystack</w:t>
            </w:r>
          </w:p>
        </w:tc>
        <w:tc>
          <w:tcPr>
            <w:tcW w:type="dxa" w:w="1560"/>
            <w:tcMar>
              <w:top w:type="dxa" w:w="70"/>
              <w:left w:type="dxa" w:w="110"/>
              <w:bottom w:type="dxa" w:w="70"/>
              <w:right w:type="dxa" w:w="110"/>
            </w:tcMar>
          </w:tcPr>
          <w:p>
            <w:pPr>
              <w:spacing w:after="0"/>
            </w:pPr>
            <w:r>
              <w:rPr>
                <w:sz w:val="18"/>
                <w:szCs w:val="18"/>
              </w:rPr>
              <w:t xml:space="preserve">name, email, amount, bank details</w:t>
            </w:r>
          </w:p>
        </w:tc>
        <w:tc>
          <w:tcPr>
            <w:tcW w:type="dxa" w:w="1560"/>
            <w:tcMar>
              <w:top w:type="dxa" w:w="70"/>
              <w:left w:type="dxa" w:w="110"/>
              <w:bottom w:type="dxa" w:w="70"/>
              <w:right w:type="dxa" w:w="110"/>
            </w:tcMar>
          </w:tcPr>
          <w:p>
            <w:pPr>
              <w:spacing w:after="0"/>
            </w:pPr>
            <w:r>
              <w:rPr>
                <w:sz w:val="18"/>
                <w:szCs w:val="18"/>
              </w:rPr>
              <w:t xml:space="preserve">Yes — Nigerian entity, DPA available on request</w:t>
            </w:r>
          </w:p>
        </w:tc>
        <w:tc>
          <w:tcPr>
            <w:tcW w:type="dxa" w:w="1560"/>
            <w:tcMar>
              <w:top w:type="dxa" w:w="70"/>
              <w:left w:type="dxa" w:w="110"/>
              <w:bottom w:type="dxa" w:w="70"/>
              <w:right w:type="dxa" w:w="110"/>
            </w:tcMar>
          </w:tcPr>
          <w:p>
            <w:pPr>
              <w:spacing w:after="0"/>
            </w:pPr>
            <w:r>
              <w:rPr>
                <w:sz w:val="18"/>
                <w:szCs w:val="18"/>
              </w:rPr>
              <w:t xml:space="preserve">Paystack business/legal contact</w:t>
            </w:r>
          </w:p>
        </w:tc>
        <w:tc>
          <w:tcPr>
            <w:tcW w:type="dxa" w:w="1560"/>
            <w:tcMar>
              <w:top w:type="dxa" w:w="70"/>
              <w:left w:type="dxa" w:w="110"/>
              <w:bottom w:type="dxa" w:w="70"/>
              <w:right w:type="dxa" w:w="110"/>
            </w:tcMar>
          </w:tcPr>
          <w:p>
            <w:pPr>
              <w:spacing w:after="0"/>
            </w:pPr>
            <w:r>
              <w:rPr>
                <w:sz w:val="18"/>
                <w:szCs w:val="18"/>
              </w:rPr>
              <w:t xml:space="preserve">Yes (§2), lighter weight since Paystack is itself NDPA-governed</w:t>
            </w:r>
          </w:p>
        </w:tc>
        <w:tc>
          <w:tcPr>
            <w:tcW w:type="dxa" w:w="1560"/>
            <w:tcMar>
              <w:top w:type="dxa" w:w="70"/>
              <w:left w:type="dxa" w:w="110"/>
              <w:bottom w:type="dxa" w:w="70"/>
              <w:right w:type="dxa" w:w="110"/>
            </w:tcMar>
          </w:tcPr>
          <w:p>
            <w:pPr>
              <w:spacing w:after="0"/>
            </w:pPr>
            <w:r>
              <w:rPr>
                <w:sz w:val="18"/>
                <w:szCs w:val="18"/>
              </w:rPr>
              <w:t xml:space="preserve">⛔ verification in progress (business KYC), DPA not yet requested</w:t>
            </w:r>
          </w:p>
        </w:tc>
      </w:tr>
      <w:tr>
        <w:tc>
          <w:tcPr>
            <w:tcW w:type="dxa" w:w="1560"/>
            <w:tcMar>
              <w:top w:type="dxa" w:w="70"/>
              <w:left w:type="dxa" w:w="110"/>
              <w:bottom w:type="dxa" w:w="70"/>
              <w:right w:type="dxa" w:w="110"/>
            </w:tcMar>
          </w:tcPr>
          <w:p>
            <w:pPr>
              <w:spacing w:after="0"/>
            </w:pPr>
            <w:r>
              <w:rPr>
                <w:sz w:val="18"/>
                <w:szCs w:val="18"/>
              </w:rPr>
              <w:t xml:space="preserve">Flutterwave</w:t>
            </w:r>
          </w:p>
        </w:tc>
        <w:tc>
          <w:tcPr>
            <w:tcW w:type="dxa" w:w="1560"/>
            <w:tcMar>
              <w:top w:type="dxa" w:w="70"/>
              <w:left w:type="dxa" w:w="110"/>
              <w:bottom w:type="dxa" w:w="70"/>
              <w:right w:type="dxa" w:w="110"/>
            </w:tcMar>
          </w:tcPr>
          <w:p>
            <w:pPr>
              <w:spacing w:after="0"/>
            </w:pPr>
            <w:r>
              <w:rPr>
                <w:sz w:val="18"/>
                <w:szCs w:val="18"/>
              </w:rPr>
              <w:t xml:space="preserve">as above, FX collections</w:t>
            </w:r>
          </w:p>
        </w:tc>
        <w:tc>
          <w:tcPr>
            <w:tcW w:type="dxa" w:w="1560"/>
            <w:tcMar>
              <w:top w:type="dxa" w:w="70"/>
              <w:left w:type="dxa" w:w="110"/>
              <w:bottom w:type="dxa" w:w="70"/>
              <w:right w:type="dxa" w:w="110"/>
            </w:tcMar>
          </w:tcPr>
          <w:p>
            <w:pPr>
              <w:spacing w:after="0"/>
            </w:pPr>
            <w:r>
              <w:rPr>
                <w:sz w:val="18"/>
                <w:szCs w:val="18"/>
              </w:rPr>
              <w:t xml:space="preserve">Yes — likely, Nigerian entity</w:t>
            </w:r>
          </w:p>
        </w:tc>
        <w:tc>
          <w:tcPr>
            <w:tcW w:type="dxa" w:w="1560"/>
            <w:tcMar>
              <w:top w:type="dxa" w:w="70"/>
              <w:left w:type="dxa" w:w="110"/>
              <w:bottom w:type="dxa" w:w="70"/>
              <w:right w:type="dxa" w:w="110"/>
            </w:tcMar>
          </w:tcPr>
          <w:p>
            <w:pPr>
              <w:spacing w:after="0"/>
            </w:pPr>
            <w:r>
              <w:rPr>
                <w:sz w:val="18"/>
                <w:szCs w:val="18"/>
              </w:rPr>
              <w:t xml:space="preserve">Flutterwave business/legal contact</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verification in progress (business KYC), DPA not yet requested; also gated on the in/out-of-scope decision in </w:t>
            </w:r>
            <w:r>
              <w:rPr>
                <w:rFonts w:ascii="Consolas" w:cs="Consolas" w:eastAsia="Consolas" w:hAnsi="Consolas"/>
                <w:color w:val="9A3412"/>
                <w:sz w:val="18"/>
                <w:szCs w:val="18"/>
              </w:rPr>
              <w:t xml:space="preserve">GO_LIVE_CHECKLIST.md</w:t>
            </w:r>
          </w:p>
        </w:tc>
      </w:tr>
      <w:tr>
        <w:tc>
          <w:tcPr>
            <w:tcW w:type="dxa" w:w="1560"/>
            <w:tcMar>
              <w:top w:type="dxa" w:w="70"/>
              <w:left w:type="dxa" w:w="110"/>
              <w:bottom w:type="dxa" w:w="70"/>
              <w:right w:type="dxa" w:w="110"/>
            </w:tcMar>
          </w:tcPr>
          <w:p>
            <w:pPr>
              <w:spacing w:after="0"/>
            </w:pPr>
            <w:r>
              <w:rPr>
                <w:sz w:val="18"/>
                <w:szCs w:val="18"/>
              </w:rPr>
              <w:t xml:space="preserve">Resend</w:t>
            </w:r>
          </w:p>
        </w:tc>
        <w:tc>
          <w:tcPr>
            <w:tcW w:type="dxa" w:w="1560"/>
            <w:tcMar>
              <w:top w:type="dxa" w:w="70"/>
              <w:left w:type="dxa" w:w="110"/>
              <w:bottom w:type="dxa" w:w="70"/>
              <w:right w:type="dxa" w:w="110"/>
            </w:tcMar>
          </w:tcPr>
          <w:p>
            <w:pPr>
              <w:spacing w:after="0"/>
            </w:pPr>
            <w:r>
              <w:rPr>
                <w:sz w:val="18"/>
                <w:szCs w:val="18"/>
              </w:rPr>
              <w:t xml:space="preserve">name, email, message content</w:t>
            </w:r>
          </w:p>
        </w:tc>
        <w:tc>
          <w:tcPr>
            <w:tcW w:type="dxa" w:w="1560"/>
            <w:tcMar>
              <w:top w:type="dxa" w:w="70"/>
              <w:left w:type="dxa" w:w="110"/>
              <w:bottom w:type="dxa" w:w="70"/>
              <w:right w:type="dxa" w:w="110"/>
            </w:tcMar>
          </w:tcPr>
          <w:p>
            <w:pPr>
              <w:spacing w:after="0"/>
            </w:pPr>
            <w:r>
              <w:rPr>
                <w:sz w:val="18"/>
                <w:szCs w:val="18"/>
              </w:rPr>
              <w:t xml:space="preserve">Yes — published</w:t>
            </w:r>
          </w:p>
        </w:tc>
        <w:tc>
          <w:tcPr>
            <w:tcW w:type="dxa" w:w="1560"/>
            <w:tcMar>
              <w:top w:type="dxa" w:w="70"/>
              <w:left w:type="dxa" w:w="110"/>
              <w:bottom w:type="dxa" w:w="70"/>
              <w:right w:type="dxa" w:w="110"/>
            </w:tcMar>
          </w:tcPr>
          <w:p>
            <w:pPr>
              <w:spacing w:after="0"/>
            </w:pPr>
            <w:r>
              <w:rPr>
                <w:sz w:val="18"/>
                <w:szCs w:val="18"/>
              </w:rPr>
              <w:t xml:space="preserve">resend.com/legal/dpa</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Africa's Talking</w:t>
            </w:r>
          </w:p>
        </w:tc>
        <w:tc>
          <w:tcPr>
            <w:tcW w:type="dxa" w:w="1560"/>
            <w:tcMar>
              <w:top w:type="dxa" w:w="70"/>
              <w:left w:type="dxa" w:w="110"/>
              <w:bottom w:type="dxa" w:w="70"/>
              <w:right w:type="dxa" w:w="110"/>
            </w:tcMar>
          </w:tcPr>
          <w:p>
            <w:pPr>
              <w:spacing w:after="0"/>
            </w:pPr>
            <w:r>
              <w:rPr>
                <w:sz w:val="18"/>
                <w:szCs w:val="18"/>
              </w:rPr>
              <w:t xml:space="preserve">phone numbers (SMS fallback)</w:t>
            </w:r>
          </w:p>
        </w:tc>
        <w:tc>
          <w:tcPr>
            <w:tcW w:type="dxa" w:w="1560"/>
            <w:tcMar>
              <w:top w:type="dxa" w:w="70"/>
              <w:left w:type="dxa" w:w="110"/>
              <w:bottom w:type="dxa" w:w="70"/>
              <w:right w:type="dxa" w:w="110"/>
            </w:tcMar>
          </w:tcPr>
          <w:p>
            <w:pPr>
              <w:spacing w:after="0"/>
            </w:pPr>
            <w:r>
              <w:rPr>
                <w:sz w:val="18"/>
                <w:szCs w:val="18"/>
              </w:rPr>
              <w:t xml:space="preserve">Likely — Kenyan entity, confirm</w:t>
            </w:r>
          </w:p>
        </w:tc>
        <w:tc>
          <w:tcPr>
            <w:tcW w:type="dxa" w:w="1560"/>
            <w:tcMar>
              <w:top w:type="dxa" w:w="70"/>
              <w:left w:type="dxa" w:w="110"/>
              <w:bottom w:type="dxa" w:w="70"/>
              <w:right w:type="dxa" w:w="110"/>
            </w:tcMar>
          </w:tcPr>
          <w:p>
            <w:pPr>
              <w:spacing w:after="0"/>
            </w:pPr>
            <w:r>
              <w:rPr>
                <w:sz w:val="18"/>
                <w:szCs w:val="18"/>
              </w:rPr>
              <w:t xml:space="preserve">Africa's Talking account/legal contact</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 only needed if SMS fallback is in scope for go-live</w:t>
            </w:r>
          </w:p>
        </w:tc>
      </w:tr>
      <w:tr>
        <w:tc>
          <w:tcPr>
            <w:tcW w:type="dxa" w:w="1560"/>
            <w:tcMar>
              <w:top w:type="dxa" w:w="70"/>
              <w:left w:type="dxa" w:w="110"/>
              <w:bottom w:type="dxa" w:w="70"/>
              <w:right w:type="dxa" w:w="110"/>
            </w:tcMar>
          </w:tcPr>
          <w:p>
            <w:pPr>
              <w:spacing w:after="0"/>
            </w:pPr>
            <w:r>
              <w:rPr>
                <w:sz w:val="18"/>
                <w:szCs w:val="18"/>
              </w:rPr>
              <w:t xml:space="preserve">Upstash</w:t>
            </w:r>
          </w:p>
        </w:tc>
        <w:tc>
          <w:tcPr>
            <w:tcW w:type="dxa" w:w="1560"/>
            <w:tcMar>
              <w:top w:type="dxa" w:w="70"/>
              <w:left w:type="dxa" w:w="110"/>
              <w:bottom w:type="dxa" w:w="70"/>
              <w:right w:type="dxa" w:w="110"/>
            </w:tcMar>
          </w:tcPr>
          <w:p>
            <w:pPr>
              <w:spacing w:after="0"/>
            </w:pPr>
            <w:r>
              <w:rPr>
                <w:sz w:val="18"/>
                <w:szCs w:val="18"/>
              </w:rPr>
              <w:t xml:space="preserve">user IDs (rate limiting)</w:t>
            </w:r>
          </w:p>
        </w:tc>
        <w:tc>
          <w:tcPr>
            <w:tcW w:type="dxa" w:w="1560"/>
            <w:tcMar>
              <w:top w:type="dxa" w:w="70"/>
              <w:left w:type="dxa" w:w="110"/>
              <w:bottom w:type="dxa" w:w="70"/>
              <w:right w:type="dxa" w:w="110"/>
            </w:tcMar>
          </w:tcPr>
          <w:p>
            <w:pPr>
              <w:spacing w:after="0"/>
            </w:pPr>
            <w:r>
              <w:rPr>
                <w:sz w:val="18"/>
                <w:szCs w:val="18"/>
              </w:rPr>
              <w:t xml:space="preserve">Yes — published</w:t>
            </w:r>
          </w:p>
        </w:tc>
        <w:tc>
          <w:tcPr>
            <w:tcW w:type="dxa" w:w="1560"/>
            <w:tcMar>
              <w:top w:type="dxa" w:w="70"/>
              <w:left w:type="dxa" w:w="110"/>
              <w:bottom w:type="dxa" w:w="70"/>
              <w:right w:type="dxa" w:w="110"/>
            </w:tcMar>
          </w:tcPr>
          <w:p>
            <w:pPr>
              <w:spacing w:after="0"/>
            </w:pPr>
            <w:r>
              <w:rPr>
                <w:sz w:val="18"/>
                <w:szCs w:val="18"/>
              </w:rPr>
              <w:t xml:space="preserve">upstash.com/trust</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r>
        <w:tc>
          <w:tcPr>
            <w:tcW w:type="dxa" w:w="1560"/>
            <w:tcMar>
              <w:top w:type="dxa" w:w="70"/>
              <w:left w:type="dxa" w:w="110"/>
              <w:bottom w:type="dxa" w:w="70"/>
              <w:right w:type="dxa" w:w="110"/>
            </w:tcMar>
          </w:tcPr>
          <w:p>
            <w:pPr>
              <w:spacing w:after="0"/>
            </w:pPr>
            <w:r>
              <w:rPr>
                <w:sz w:val="18"/>
                <w:szCs w:val="18"/>
              </w:rPr>
              <w:t xml:space="preserve">Sentry</w:t>
            </w:r>
          </w:p>
        </w:tc>
        <w:tc>
          <w:tcPr>
            <w:tcW w:type="dxa" w:w="1560"/>
            <w:tcMar>
              <w:top w:type="dxa" w:w="70"/>
              <w:left w:type="dxa" w:w="110"/>
              <w:bottom w:type="dxa" w:w="70"/>
              <w:right w:type="dxa" w:w="110"/>
            </w:tcMar>
          </w:tcPr>
          <w:p>
            <w:pPr>
              <w:spacing w:after="0"/>
            </w:pPr>
            <w:r>
              <w:rPr>
                <w:sz w:val="18"/>
                <w:szCs w:val="18"/>
              </w:rPr>
              <w:t xml:space="preserve">may incidentally capture user IDs in error reports</w:t>
            </w:r>
          </w:p>
        </w:tc>
        <w:tc>
          <w:tcPr>
            <w:tcW w:type="dxa" w:w="1560"/>
            <w:tcMar>
              <w:top w:type="dxa" w:w="70"/>
              <w:left w:type="dxa" w:w="110"/>
              <w:bottom w:type="dxa" w:w="70"/>
              <w:right w:type="dxa" w:w="110"/>
            </w:tcMar>
          </w:tcPr>
          <w:p>
            <w:pPr>
              <w:spacing w:after="0"/>
            </w:pPr>
            <w:r>
              <w:rPr>
                <w:sz w:val="18"/>
                <w:szCs w:val="18"/>
              </w:rPr>
              <w:t xml:space="preserve">Yes — published, GDPR-based</w:t>
            </w:r>
          </w:p>
        </w:tc>
        <w:tc>
          <w:tcPr>
            <w:tcW w:type="dxa" w:w="1560"/>
            <w:tcMar>
              <w:top w:type="dxa" w:w="70"/>
              <w:left w:type="dxa" w:w="110"/>
              <w:bottom w:type="dxa" w:w="70"/>
              <w:right w:type="dxa" w:w="110"/>
            </w:tcMar>
          </w:tcPr>
          <w:p>
            <w:pPr>
              <w:spacing w:after="0"/>
            </w:pPr>
            <w:r>
              <w:rPr>
                <w:sz w:val="18"/>
                <w:szCs w:val="18"/>
              </w:rPr>
              <w:t xml:space="preserve">sentry.io/legal/dpa</w:t>
            </w:r>
          </w:p>
        </w:tc>
        <w:tc>
          <w:tcPr>
            <w:tcW w:type="dxa" w:w="1560"/>
            <w:tcMar>
              <w:top w:type="dxa" w:w="70"/>
              <w:left w:type="dxa" w:w="110"/>
              <w:bottom w:type="dxa" w:w="70"/>
              <w:right w:type="dxa" w:w="110"/>
            </w:tcMar>
          </w:tcPr>
          <w:p>
            <w:pPr>
              <w:spacing w:after="0"/>
            </w:pPr>
            <w:r>
              <w:rPr>
                <w:sz w:val="18"/>
                <w:szCs w:val="18"/>
              </w:rPr>
              <w:t xml:space="preserve">Yes (§2)</w:t>
            </w:r>
          </w:p>
        </w:tc>
        <w:tc>
          <w:tcPr>
            <w:tcW w:type="dxa" w:w="1560"/>
            <w:tcMar>
              <w:top w:type="dxa" w:w="70"/>
              <w:left w:type="dxa" w:w="110"/>
              <w:bottom w:type="dxa" w:w="70"/>
              <w:right w:type="dxa" w:w="110"/>
            </w:tcMar>
          </w:tcPr>
          <w:p>
            <w:pPr>
              <w:spacing w:after="0"/>
            </w:pPr>
            <w:r>
              <w:rPr>
                <w:sz w:val="18"/>
                <w:szCs w:val="18"/>
              </w:rPr>
              <w:t xml:space="preserve">⛔ not started</w:t>
            </w:r>
          </w:p>
        </w:tc>
      </w:tr>
    </w:tbl>
    <w:p>
      <w:pPr>
        <w:spacing w:after="160"/>
      </w:pPr>
    </w:p>
    <w:p>
      <w:pPr>
        <w:spacing w:after="140" w:line="268"/>
      </w:pPr>
      <w:r>
        <w:rPr>
          <w:b/>
          <w:bCs/>
        </w:rPr>
        <w:t xml:space="preserve">All thirteen remain unsigned as of this draft.</w:t>
      </w:r>
      <w:r>
        <w:t xml:space="preserve"> This tracker turns "⛔ unsigned" (the compliance pack's single line) into thirteen concrete next actions, each with a named starting point — it does not itself close any of them.</w:t>
      </w:r>
    </w:p>
    <w:p>
      <w:pPr>
        <w:pBdr>
          <w:bottom w:val="single" w:color="D0D5DD" w:sz="6" w:space="6"/>
        </w:pBdr>
        <w:spacing w:after="120"/>
      </w:pPr>
    </w:p>
    <w:p>
      <w:pPr>
        <w:pStyle w:val="Heading2"/>
        <w:spacing w:after="140" w:before="300"/>
      </w:pPr>
      <w:r>
        <w:t xml:space="preserve">4. Model DPA — for a processor with no standard DPA of its own</w:t>
      </w:r>
    </w:p>
    <w:p>
      <w:pPr>
        <w:spacing w:after="140" w:line="268"/>
      </w:pPr>
      <w:r>
        <w:t xml:space="preserve">Use only where §1/§3 confirms no standard DPA is offered. This is a starting draft for legal counsel to finalise, not a document to send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8FA" w:val="clear"/>
            <w:tcMar>
              <w:top w:type="dxa" w:w="140"/>
              <w:left w:type="dxa" w:w="180"/>
              <w:bottom w:type="dxa" w:w="140"/>
              <w:right w:type="dxa" w:w="180"/>
            </w:tcMar>
          </w:tcPr>
          <w:p>
            <w:pPr>
              <w:spacing w:after="100"/>
            </w:pPr>
            <w:r>
              <w:rPr>
                <w:b/>
                <w:bCs/>
                <w:sz w:val="19"/>
                <w:szCs w:val="19"/>
              </w:rPr>
              <w:t xml:space="preserve">DATA PROCESSING AGREEMENT</w:t>
            </w:r>
          </w:p>
          <w:p>
            <w:pPr>
              <w:spacing w:after="100"/>
            </w:pPr>
            <w:r>
              <w:rPr>
                <w:sz w:val="19"/>
                <w:szCs w:val="19"/>
              </w:rPr>
              <w:t xml:space="preserve">Between </w:t>
            </w:r>
            <w:r>
              <w:rPr>
                <w:b/>
                <w:bCs/>
                <w:sz w:val="19"/>
                <w:szCs w:val="19"/>
              </w:rPr>
              <w:t xml:space="preserve">OE Group</w:t>
            </w:r>
            <w:r>
              <w:rPr>
                <w:sz w:val="19"/>
                <w:szCs w:val="19"/>
              </w:rPr>
              <w:t xml:space="preserve"> ("Controller") and </w:t>
            </w:r>
            <w:r>
              <w:rPr>
                <w:b/>
                <w:bCs/>
                <w:sz w:val="19"/>
                <w:szCs w:val="19"/>
              </w:rPr>
              <w:t xml:space="preserve">[Processor name]</w:t>
            </w:r>
            <w:r>
              <w:rPr>
                <w:sz w:val="19"/>
                <w:szCs w:val="19"/>
              </w:rPr>
              <w:t xml:space="preserve"> ("Processor").</w:t>
            </w:r>
          </w:p>
          <w:p>
            <w:pPr>
              <w:spacing w:after="100"/>
            </w:pPr>
            <w:r>
              <w:rPr>
                <w:b/>
                <w:bCs/>
                <w:sz w:val="19"/>
                <w:szCs w:val="19"/>
              </w:rPr>
              <w:t xml:space="preserve">1. Subject matter and duration.</w:t>
            </w:r>
            <w:r>
              <w:rPr>
                <w:sz w:val="19"/>
                <w:szCs w:val="19"/>
              </w:rPr>
              <w:t xml:space="preserve"> This Agreement governs Processor's processing of personal data on behalf of Controller in connection with </w:t>
            </w:r>
            <w:r>
              <w:rPr>
                <w:b/>
                <w:bCs/>
                <w:sz w:val="19"/>
                <w:szCs w:val="19"/>
              </w:rPr>
              <w:t xml:space="preserve">[service description]</w:t>
            </w:r>
            <w:r>
              <w:rPr>
                <w:sz w:val="19"/>
                <w:szCs w:val="19"/>
              </w:rPr>
              <w:t xml:space="preserve">, for the duration of the underlying service agreement between the parties.</w:t>
            </w:r>
          </w:p>
          <w:p>
            <w:pPr>
              <w:spacing w:after="100"/>
            </w:pPr>
            <w:r>
              <w:rPr>
                <w:b/>
                <w:bCs/>
                <w:sz w:val="19"/>
                <w:szCs w:val="19"/>
              </w:rPr>
              <w:t xml:space="preserve">2. Nature and purpose of processing.</w:t>
            </w:r>
            <w:r>
              <w:rPr>
                <w:sz w:val="19"/>
                <w:szCs w:val="19"/>
              </w:rPr>
              <w:t xml:space="preserve"> [Describe: e.g. "receiving and relaying messages between Controller's platform and individuals who initiate contact via Processor's messaging service."]</w:t>
            </w:r>
          </w:p>
          <w:p>
            <w:pPr>
              <w:spacing w:after="100"/>
            </w:pPr>
            <w:r>
              <w:rPr>
                <w:b/>
                <w:bCs/>
                <w:sz w:val="19"/>
                <w:szCs w:val="19"/>
              </w:rPr>
              <w:t xml:space="preserve">3. Categories of data subjects.</w:t>
            </w:r>
            <w:r>
              <w:rPr>
                <w:sz w:val="19"/>
                <w:szCs w:val="19"/>
              </w:rPr>
              <w:t xml:space="preserve"> Tenants, applicants, vendors, landlords, and staff of Controller and its client organisations.</w:t>
            </w:r>
          </w:p>
          <w:p>
            <w:pPr>
              <w:spacing w:after="100"/>
            </w:pPr>
            <w:r>
              <w:rPr>
                <w:b/>
                <w:bCs/>
                <w:sz w:val="19"/>
                <w:szCs w:val="19"/>
              </w:rPr>
              <w:t xml:space="preserve">4. Categories of personal data.</w:t>
            </w:r>
            <w:r>
              <w:rPr>
                <w:sz w:val="19"/>
                <w:szCs w:val="19"/>
              </w:rPr>
              <w:t xml:space="preserve"> [Specify per processor — typically contact identifiers and message content; never special-category data per </w:t>
            </w:r>
            <w:r>
              <w:rPr>
                <w:rFonts w:ascii="Consolas" w:cs="Consolas" w:eastAsia="Consolas" w:hAnsi="Consolas"/>
                <w:color w:val="9A3412"/>
                <w:sz w:val="18"/>
                <w:szCs w:val="18"/>
              </w:rPr>
              <w:t xml:space="preserve">NDPA_COMPLIANCE_PACK.md</w:t>
            </w:r>
            <w:r>
              <w:rPr>
                <w:sz w:val="19"/>
                <w:szCs w:val="19"/>
              </w:rPr>
              <w:t xml:space="preserve"> §2, which is walled off from every third party.]</w:t>
            </w:r>
          </w:p>
          <w:p>
            <w:pPr>
              <w:spacing w:after="100"/>
            </w:pPr>
            <w:r>
              <w:rPr>
                <w:b/>
                <w:bCs/>
                <w:sz w:val="19"/>
                <w:szCs w:val="19"/>
              </w:rPr>
              <w:t xml:space="preserve">5. Processor's obligations.</w:t>
            </w:r>
            <w:r>
              <w:rPr>
                <w:sz w:val="19"/>
                <w:szCs w:val="19"/>
              </w:rPr>
              <w:t xml:space="preserve"> Processor shall: (a) process personal data only on Controller's documented instructions; (b) ensure persons authorised to process the data are bound by confidentiality; (c) implement appropriate technical and organisational security measures; (d) engage sub-processors only with Controller's consent and under equivalent obligations; (e) assist Controller with data-subject rights requests and NDPA compliance; (f) notify Controller of a personal data breach within 24 hours of becoming aware of it; (g) delete or return all personal data on termination, certifying deletion on request; (h) make available information necessary to demonstrate compliance and permit reasonable audits.</w:t>
            </w:r>
          </w:p>
          <w:p>
            <w:pPr>
              <w:spacing w:after="100"/>
            </w:pPr>
            <w:r>
              <w:rPr>
                <w:b/>
                <w:bCs/>
                <w:sz w:val="19"/>
                <w:szCs w:val="19"/>
              </w:rPr>
              <w:t xml:space="preserve">6. Cross-border transfer.</w:t>
            </w:r>
            <w:r>
              <w:rPr>
                <w:sz w:val="19"/>
                <w:szCs w:val="19"/>
              </w:rPr>
              <w:t xml:space="preserve"> [Specify the transfer basis — adequacy decision, standard contractual clauses, or explicit consent — per </w:t>
            </w:r>
            <w:r>
              <w:rPr>
                <w:rFonts w:ascii="Consolas" w:cs="Consolas" w:eastAsia="Consolas" w:hAnsi="Consolas"/>
                <w:color w:val="9A3412"/>
                <w:sz w:val="18"/>
                <w:szCs w:val="18"/>
              </w:rPr>
              <w:t xml:space="preserve">NDPA_COMPLIANCE_PACK.md</w:t>
            </w:r>
            <w:r>
              <w:rPr>
                <w:sz w:val="19"/>
                <w:szCs w:val="19"/>
              </w:rPr>
              <w:t xml:space="preserve"> §10.]</w:t>
            </w:r>
          </w:p>
          <w:p>
            <w:pPr>
              <w:spacing w:after="100"/>
            </w:pPr>
            <w:r>
              <w:rPr>
                <w:b/>
                <w:bCs/>
                <w:sz w:val="19"/>
                <w:szCs w:val="19"/>
              </w:rPr>
              <w:t xml:space="preserve">7. Liability.</w:t>
            </w:r>
            <w:r>
              <w:rPr>
                <w:sz w:val="19"/>
                <w:szCs w:val="19"/>
              </w:rPr>
              <w:t xml:space="preserve"> [Standard mutual indemnity / liability cap clause — for legal counsel to draft.]</w:t>
            </w:r>
          </w:p>
          <w:p>
            <w:pPr>
              <w:spacing w:after="100"/>
            </w:pPr>
            <w:r>
              <w:rPr>
                <w:b/>
                <w:bCs/>
                <w:sz w:val="19"/>
                <w:szCs w:val="19"/>
              </w:rPr>
              <w:t xml:space="preserve">8. Governing law.</w:t>
            </w:r>
            <w:r>
              <w:rPr>
                <w:sz w:val="19"/>
                <w:szCs w:val="19"/>
              </w:rPr>
              <w:t xml:space="preserve"> The laws of the Federal Republic of Nigeria.</w:t>
            </w:r>
          </w:p>
          <w:p>
            <w:pPr>
              <w:spacing w:after="0"/>
            </w:pPr>
            <w:r>
              <w:rPr>
                <w:sz w:val="19"/>
                <w:szCs w:val="19"/>
              </w:rPr>
              <w:t xml:space="preserve">Signed for and on behalf of Controller: _______________ Date: _______ Signed for and on behalf of Processor: _______________ Date: _______</w:t>
            </w:r>
          </w:p>
        </w:tc>
      </w:tr>
    </w:tbl>
    <w:p>
      <w:pPr>
        <w:spacing w:after="160"/>
      </w:pPr>
    </w:p>
    <w:p>
      <w:pPr>
        <w:pBdr>
          <w:bottom w:val="single" w:color="D0D5DD" w:sz="6" w:space="6"/>
        </w:pBdr>
        <w:spacing w:after="120"/>
      </w:pPr>
    </w:p>
    <w:p>
      <w:pPr>
        <w:pStyle w:val="Heading2"/>
        <w:spacing w:after="140" w:before="300"/>
      </w:pPr>
      <w:r>
        <w:t xml:space="preserve">5. What's still needed before any of this is real</w:t>
      </w:r>
    </w:p>
    <w:p>
      <w:pPr>
        <w:pStyle w:val="ListParagraph"/>
        <w:numPr>
          <w:ilvl w:val="0"/>
          <w:numId w:val="3"/>
        </w:numPr>
        <w:spacing w:after="80" w:line="268"/>
      </w:pPr>
      <w:r>
        <w:t xml:space="preserve">Legal review of both the addendum (§2) and the model DPA (§4) — this document is a starting draft, not counsel-approved text.</w:t>
      </w:r>
    </w:p>
    <w:p>
      <w:pPr>
        <w:pStyle w:val="ListParagraph"/>
        <w:numPr>
          <w:ilvl w:val="0"/>
          <w:numId w:val="3"/>
        </w:numPr>
        <w:spacing w:after="80" w:line="268"/>
      </w:pPr>
      <w:r>
        <w:t xml:space="preserve">Confirmation of 360dialog's and Africa's Talking's DPA availability (§3).</w:t>
      </w:r>
    </w:p>
    <w:p>
      <w:pPr>
        <w:pStyle w:val="ListParagraph"/>
        <w:numPr>
          <w:ilvl w:val="0"/>
          <w:numId w:val="3"/>
        </w:numPr>
        <w:spacing w:after="80" w:line="268"/>
      </w:pPr>
      <w:r>
        <w:t xml:space="preserve">A decision on Telegram: pursue a signed agreement, or formally accept and document the residual risk if none can be obtained — silence is not a decision </w:t>
      </w:r>
      <w:r>
        <w:rPr>
          <w:rFonts w:ascii="Consolas" w:cs="Consolas" w:eastAsia="Consolas" w:hAnsi="Consolas"/>
          <w:color w:val="9A3412"/>
          <w:sz w:val="18"/>
          <w:szCs w:val="18"/>
        </w:rPr>
        <w:t xml:space="preserve">NDPA_COMPLIANCE_PACK.md</w:t>
      </w:r>
      <w:r>
        <w:t xml:space="preserve"> §4 accepts.</w:t>
      </w:r>
    </w:p>
    <w:p>
      <w:pPr>
        <w:pStyle w:val="ListParagraph"/>
        <w:numPr>
          <w:ilvl w:val="0"/>
          <w:numId w:val="3"/>
        </w:numPr>
        <w:spacing w:after="80" w:line="268"/>
      </w:pPr>
      <w:r>
        <w:t xml:space="preserve">Someone with signing authority to actually execute each — drafting closes none of the thirteen ⛔ rows on its own.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lvl w:ilvl="1" w15:tentative="1">
      <w:start w:val="1"/>
      <w:numFmt w:val="bullet"/>
      <w:lvlText w:val="◦"/>
      <w:lvlJc w:val="left"/>
      <w:pPr>
        <w:ind w:left="760" w:hanging="300"/>
      </w:pPr>
    </w:lvl>
    <w:lvl w:ilvl="2" w15:tentative="1">
      <w:start w:val="1"/>
      <w:numFmt w:val="bullet"/>
      <w:lvlText w:val="▪"/>
      <w:lvlJc w:val="left"/>
      <w:pPr>
        <w:ind w:left="112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pPr>
    <w:rPr>
      <w:rFonts w:ascii="Calibri" w:cs="Calibri" w:eastAsia="Calibri" w:hAnsi="Calibri"/>
      <w:b/>
      <w:bCs/>
      <w:color w:val="003366"/>
      <w:sz w:val="34"/>
      <w:szCs w:val="34"/>
    </w:rPr>
  </w:style>
  <w:style w:type="paragraph" w:styleId="Heading2">
    <w:name w:val="Heading 2"/>
    <w:basedOn w:val="Normal"/>
    <w:next w:val="Normal"/>
    <w:qFormat/>
    <w:rPr>
      <w:rFonts w:ascii="Calibri" w:cs="Calibri" w:eastAsia="Calibri" w:hAnsi="Calibri"/>
      <w:b/>
      <w:bCs/>
      <w:color w:val="003366"/>
      <w:sz w:val="25"/>
      <w:szCs w:val="25"/>
    </w:rPr>
  </w:style>
  <w:style w:type="paragraph" w:styleId="Heading3">
    <w:name w:val="Heading 3"/>
    <w:basedOn w:val="Normal"/>
    <w:next w:val="Normal"/>
    <w:qFormat/>
    <w:rPr>
      <w:rFonts w:ascii="Calibri" w:cs="Calibri" w:eastAsia="Calibri" w:hAnsi="Calibri"/>
      <w:b/>
      <w:bCs/>
      <w:color w:val="1F4E79"/>
      <w:sz w:val="22"/>
      <w:szCs w:val="22"/>
    </w:rPr>
  </w:style>
  <w:style w:type="paragraph" w:styleId="Heading4">
    <w:name w:val="Heading 4"/>
    <w:basedOn w:val="Normal"/>
    <w:next w:val="Normal"/>
    <w:qFormat/>
    <w:rPr>
      <w:rFonts w:ascii="Calibri" w:cs="Calibri" w:eastAsia="Calibri" w:hAnsi="Calibri"/>
      <w:b/>
      <w:bCs/>
      <w:color w:val="37415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2026-09-24T07:08:43.918Z</dcterms:created>
  <dcterms:modified xsi:type="dcterms:W3CDTF">2026-09-24T07:08:43.918Z</dcterms:modified>
</cp:coreProperties>
</file>

<file path=docProps/custom.xml><?xml version="1.0" encoding="utf-8"?>
<Properties xmlns="http://schemas.openxmlformats.org/officeDocument/2006/custom-properties" xmlns:vt="http://schemas.openxmlformats.org/officeDocument/2006/docPropsVTypes"/>
</file>