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843"/>
        <w:gridCol w:w="548"/>
        <w:gridCol w:w="701"/>
        <w:gridCol w:w="701"/>
        <w:gridCol w:w="645"/>
        <w:gridCol w:w="701"/>
        <w:gridCol w:w="765"/>
      </w:tblGrid>
      <w:tr w:rsidR="00655CBD" w:rsidRPr="00655CBD" w14:paraId="6A9B0931" w14:textId="77777777" w:rsidTr="005E7237">
        <w:trPr>
          <w:trHeight w:val="465"/>
          <w:jc w:val="center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8C9C8" w14:textId="77777777" w:rsidR="00655CBD" w:rsidRPr="00655CBD" w:rsidRDefault="00655CBD" w:rsidP="00655CBD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1D80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No Intervention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913E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10% Oral Uptake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7D67E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5% Oral 5% Injectable Uptake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7BA5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10% Injectable Uptake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5A3D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25% Oral Uptake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BDE2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12.5% Oral 12.5% Injectable Uptake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55C1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25% Injectable Uptake</w:t>
            </w:r>
          </w:p>
        </w:tc>
      </w:tr>
      <w:tr w:rsidR="00655CBD" w:rsidRPr="00655CBD" w14:paraId="35D06302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C7C09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NYC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F39F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[-44% to -8%]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E8FC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[-51% to -20%]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2E3B6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[-53% to -23%]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9B92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[-53% to -23%]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310C1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[-60% to -35%]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9E96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[-62% to -38%]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B275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[-62% to -40%]</w:t>
            </w:r>
          </w:p>
        </w:tc>
      </w:tr>
      <w:tr w:rsidR="00655CBD" w:rsidRPr="00655CBD" w14:paraId="64A24C2E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32510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Miami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1886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[-43% to -11%]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B2DC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[-52% to -23%]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86BB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[-53% to -25%]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A8E9F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[-54% to -26%]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4F2E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[-61% to -38%]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6CB0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[-64% to -41%]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6A55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[-64% to -43%]</w:t>
            </w:r>
          </w:p>
        </w:tc>
      </w:tr>
      <w:tr w:rsidR="00655CBD" w:rsidRPr="00655CBD" w14:paraId="15B8DFCA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515C6C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LA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5381A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-14% [-36% to 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A215D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[-45% to -11%]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2CFD6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[-46% to -13%]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2FF0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[-47% to -14%]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DE3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[-55% to -32%]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F33E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[-58% to -35%]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6013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[-59% to -36%]</w:t>
            </w:r>
          </w:p>
        </w:tc>
      </w:tr>
      <w:tr w:rsidR="00655CBD" w:rsidRPr="00655CBD" w14:paraId="3046D145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E0F30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Atlanta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49A2B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-7% [-29% to 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4AC9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-16% [-36% to -7%]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8DC95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-18% [-38%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2CA9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[-38% to -9%]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268C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[-45% to -20%]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A926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-31% [-48% to -23%]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9F59D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-33% [-48% to -23%]</w:t>
            </w:r>
          </w:p>
        </w:tc>
      </w:tr>
      <w:tr w:rsidR="00655CBD" w:rsidRPr="00655CBD" w14:paraId="0B875C3F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70C13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Houston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6FDB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-9% [-31% to 13%]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0DE0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[-40% to -5%]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380F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[-41% to -7%]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6B72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[-42% to -8%]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D3AF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[-51% to -25%]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AB1F6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[-53% to -29%]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E12CF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[-54% to -32%]</w:t>
            </w:r>
          </w:p>
        </w:tc>
      </w:tr>
      <w:tr w:rsidR="00655CBD" w:rsidRPr="00655CBD" w14:paraId="324C3E28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AA62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Dallas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58BD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[-40%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1ED1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[-48% to -16%]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F0E06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-32% [-49% to -18%]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E660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-33% [-50% to -19%]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BF4E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[-58% to -34%]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E1E4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[-60% to -37%]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C48A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[-62% to -40%]</w:t>
            </w:r>
          </w:p>
        </w:tc>
      </w:tr>
      <w:tr w:rsidR="00655CBD" w:rsidRPr="00655CBD" w14:paraId="5E21909F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9584D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Chicago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BD5EA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[-20% to 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5475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[-30% to -6%]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DEB0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[-33% to -10%]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5E6E5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[-35% to -13%]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CEB8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-34% [-44% to -25%]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4A30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[-48% to -31%]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E856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[-51% to -33%]</w:t>
            </w:r>
          </w:p>
        </w:tc>
      </w:tr>
      <w:tr w:rsidR="00655CBD" w:rsidRPr="00655CBD" w14:paraId="01477BF2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5FE6D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DC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E6D3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[-55% to -19%]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DFE99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[-61% to -29%]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0F1D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[-62% to -31%]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A907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[-62% to -32%]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5B48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[-68% to -43%]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C2E0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[-68% to -45%]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CFCF1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-57% [-69% to -47%]</w:t>
            </w:r>
          </w:p>
        </w:tc>
      </w:tr>
      <w:tr w:rsidR="00655CBD" w:rsidRPr="00655CBD" w14:paraId="5E02E9A0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AB24E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Philadelphia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47277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[-48% to -9%]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0D58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[-54% to -21%]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BA7E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[-55% to -23%]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5344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[-54% to -24%]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3DFF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[-60% to -35%]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3BB7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[-62% to -38%]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C32B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[-64% to -40%]</w:t>
            </w:r>
          </w:p>
        </w:tc>
      </w:tr>
      <w:tr w:rsidR="00655CBD" w:rsidRPr="00655CBD" w14:paraId="2216E247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C99A15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Orlando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8F43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[-47% to -5%]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EB57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-34% [-54% to -18%]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50A0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[-55% to -19%]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F4A7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[-56% to -20%]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7DA5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[-64% to -31%]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F4CA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[-66% to -33%]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BE2C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[-68% to -35%]</w:t>
            </w:r>
          </w:p>
        </w:tc>
      </w:tr>
      <w:tr w:rsidR="00655CBD" w:rsidRPr="00655CBD" w14:paraId="2A5C518E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3814D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SF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45A1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-34% [-52% to -6%]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FF1A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[-60% to -27%]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16655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[-61% to -30%]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A93F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[-61% to -32%]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C6BD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-60% [-69% to -48%]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D2C90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-63% [-70% to -52%]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77509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[-72% to -55%]</w:t>
            </w:r>
          </w:p>
        </w:tc>
      </w:tr>
      <w:tr w:rsidR="00655CBD" w:rsidRPr="00655CBD" w14:paraId="15029355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1891B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Phoenix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5A67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[-54% to 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F7B3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[-61% to -19%]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6ED5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[-61% to -21%]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1BB57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[-62% to -22%]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0E4D8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[-69% to -38%]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235E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[-70% to -40%]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B89C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[-71% to -43%]</w:t>
            </w:r>
          </w:p>
        </w:tc>
      </w:tr>
      <w:tr w:rsidR="00655CBD" w:rsidRPr="00655CBD" w14:paraId="13453F8C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AE226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Tampa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227D1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[-50%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6629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[-57% to -19%]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0A59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[-58% to -20%]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CE22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[-58% to -21%]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BCAC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[-67% to -36%]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F166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-53% [-68% to -39%]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A31C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[-69% to -42%]</w:t>
            </w:r>
          </w:p>
        </w:tc>
      </w:tr>
      <w:tr w:rsidR="00655CBD" w:rsidRPr="00655CBD" w14:paraId="47FAB53D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38891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Riverside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B110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5% [-27% to 68%]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9C23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[-43% to 23%]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B9A8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[-44% to 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521B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[-45% to 16%]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C159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[-60% to -18%]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4479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[-63% to -26%]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A9B7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[-65% to -32%]</w:t>
            </w:r>
          </w:p>
        </w:tc>
      </w:tr>
      <w:tr w:rsidR="00655CBD" w:rsidRPr="00655CBD" w14:paraId="29557586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7C7E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Detroit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D454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-16% [-42% to 40%]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7BCF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81E9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[-57% to -4%]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AC48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[-57% to -7%]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1321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-53% [-68% to -35%]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AD8F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[-70% to -41%]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37D2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[-71% to -45%]</w:t>
            </w:r>
          </w:p>
        </w:tc>
      </w:tr>
      <w:tr w:rsidR="00655CBD" w:rsidRPr="00655CBD" w14:paraId="7D11335A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A512C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Baltimore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8E75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[-61% to -21%]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0C79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[-66% to -31%]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56F1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[-68% to -33%]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E324D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[-68% to -34%]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9062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[-73% to -42%]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EBD6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[-74% to -44%]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F5A03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-59% [-74% to -47%]</w:t>
            </w:r>
          </w:p>
        </w:tc>
      </w:tr>
      <w:tr w:rsidR="00655CBD" w:rsidRPr="00655CBD" w14:paraId="6A120AD4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EBF2D1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Vegas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EFDC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[-54% to -9%]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AFB4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[-62% to -25%]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5FAC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-42% [-63% to -27%]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1878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[-64% to -27%]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99B9A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[-71% to -44%]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3696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[-73% to -46%]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F371D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[-74% to -47%]</w:t>
            </w:r>
          </w:p>
        </w:tc>
      </w:tr>
      <w:tr w:rsidR="00655CBD" w:rsidRPr="00655CBD" w14:paraId="0F8C9598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6692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Boston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D5DA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[-43% to 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EB10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[-46% to -1%]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924F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[-47% to -3%]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BFB0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-31% [-46% to -4%]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96F7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[-49%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7009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[-50% to -6%]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EE6E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[-50% to -9%]</w:t>
            </w:r>
          </w:p>
        </w:tc>
      </w:tr>
      <w:tr w:rsidR="00655CBD" w:rsidRPr="00655CBD" w14:paraId="44A66C4F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396E7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San_Diego</w:t>
            </w:r>
            <w:proofErr w:type="spellEnd"/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0D59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-11%]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9FBCA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[-62% to -29%]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4491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[-63% to -31%]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5316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[-63% to -32%]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516C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[-70% to -44%]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7D2B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-60% [-71% to -48%]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CA5E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-62% [-71% to -50%]</w:t>
            </w:r>
          </w:p>
        </w:tc>
      </w:tr>
      <w:tr w:rsidR="00655CBD" w:rsidRPr="00655CBD" w14:paraId="6B6B1DCE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5EC2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Charlotte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91DC7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-11% [-28% to 18%]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315C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[-42% to -3%]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7194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[-44%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1BC9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[-45% to -8%]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CDA1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[-58% to -29%]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7EAD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[-61% to -33%]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925C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[-63% to -37%]</w:t>
            </w:r>
          </w:p>
        </w:tc>
      </w:tr>
      <w:tr w:rsidR="00655CBD" w:rsidRPr="00655CBD" w14:paraId="62BE055E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351DD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lastRenderedPageBreak/>
              <w:t>San_Antonio</w:t>
            </w:r>
            <w:proofErr w:type="spellEnd"/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83FA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[-37% to 5%]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F0EF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[-47% to -14%]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DC1A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[-48% to -16%]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B8FD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-31% [-49% to -18%]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A195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[-59% to -33%]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AA667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[-62% to -36%]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A7B0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[-62% to -38%]</w:t>
            </w:r>
          </w:p>
        </w:tc>
      </w:tr>
      <w:tr w:rsidR="00655CBD" w:rsidRPr="00655CBD" w14:paraId="558EBEDF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0DAE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Jacksonville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3B0ED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-9% [-35% to 34%]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4FAB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[-45% to 11%]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020EB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[-47% to 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FAD4E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[-47% to 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6F52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[-58% to -15%]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741A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[-60% to -21%]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E091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[-61% to -24%]</w:t>
            </w:r>
          </w:p>
        </w:tc>
      </w:tr>
      <w:tr w:rsidR="00655CBD" w:rsidRPr="00655CBD" w14:paraId="4C512FD1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D47DA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New_Orleans</w:t>
            </w:r>
            <w:proofErr w:type="spellEnd"/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A640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[-47% to -7%]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DCB86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[-54% to -20%]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B79B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[-56% to -23%]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A79E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[-56% to -24%]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3E4A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[-62% to -34%]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7513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[-64% to -35%]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3FC4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[-65% to -37%]</w:t>
            </w:r>
          </w:p>
        </w:tc>
      </w:tr>
      <w:tr w:rsidR="00655CBD" w:rsidRPr="00655CBD" w14:paraId="6E12B898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43579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Memphis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446E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[-35%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13E5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[-44% to -16%]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0BC5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[-45% to -17%]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6F6D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[-46% to -18%]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8105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-42% [-55% to -31%]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78D9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[-57% to -34%]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A04F6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[-58% to -35%]</w:t>
            </w:r>
          </w:p>
        </w:tc>
      </w:tr>
      <w:tr w:rsidR="00655CBD" w:rsidRPr="00655CBD" w14:paraId="3C421C9B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40966E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Seattle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7D38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[-54% to 38%]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9B1A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[-65% to -8%]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18A4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[-67% to -12%]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245C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[-67% to -17%]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5C569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-63% [-76% to -47%]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28A2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-66% [-77% to -53%]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B46A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-68% [-78% to -56%]</w:t>
            </w:r>
          </w:p>
        </w:tc>
      </w:tr>
      <w:tr w:rsidR="00655CBD" w:rsidRPr="00655CBD" w14:paraId="20D0E1F7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03907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Austin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8AFC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-14%]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BAD1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[-64% to -32%]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C691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[-66% to -35%]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80BA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[-67% to -36%]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46C1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-61% [-73% to -50%]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2F44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[-75% to -54%]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F2771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-65% [-76% to -55%]</w:t>
            </w:r>
          </w:p>
        </w:tc>
      </w:tr>
      <w:tr w:rsidR="00655CBD" w:rsidRPr="00655CBD" w14:paraId="1F9A8609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98465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Indianapolis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8CAF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-12% [-37% to 21%]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043D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[-45% to 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8946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[-46% to 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338A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[-46% to 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71E9E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-12%]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872A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[-57% to -13%]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C3622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[-57% to -14%]</w:t>
            </w:r>
          </w:p>
        </w:tc>
      </w:tr>
      <w:tr w:rsidR="00655CBD" w:rsidRPr="00655CBD" w14:paraId="7149CCD5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4BC66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Cincinatti</w:t>
            </w:r>
            <w:proofErr w:type="spellEnd"/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C403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[-43% to 37%]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8496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-14% [-50% to 21%]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5FDC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[-51% to 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61FE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[-51% to 18%]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529B8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[-55% to 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24CC14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[-56% to 2%]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5ECC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[-56% to 0%]</w:t>
            </w:r>
          </w:p>
        </w:tc>
      </w:tr>
      <w:tr w:rsidR="00655CBD" w:rsidRPr="00655CBD" w14:paraId="11D13627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40436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Columbus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256C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[-38% to -6%]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7A48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-33% [-47% to -13%]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F842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[-48% to -15%]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5E372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[-49% to -14%]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651E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[-58% to -22%]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3094A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[-60% to -23%]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C3E266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[-62% to -25%]</w:t>
            </w:r>
          </w:p>
        </w:tc>
      </w:tr>
      <w:tr w:rsidR="00655CBD" w:rsidRPr="00655CBD" w14:paraId="598EAB84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73A81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Baton_Rouge</w:t>
            </w:r>
            <w:proofErr w:type="spellEnd"/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C338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[-28% to 13%]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121D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-21% [-37% to 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B7199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-21% [-38% to 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1BB2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[-38% to 5%]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6507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[-44% to -1%]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AAC85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-31% [-47% to -1%]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92D61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-32% [-48% to -2%]</w:t>
            </w:r>
          </w:p>
        </w:tc>
      </w:tr>
      <w:tr w:rsidR="00655CBD" w:rsidRPr="00655CBD" w14:paraId="4F0AFDAC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6D985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Sacramento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392B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2% [-28% to 54%]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14B2E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[-43% to 11%]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2DFA7A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[-44% to 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F0133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[-45% to 5%]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0DC41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[-59% to -18%]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77F0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[-63% to -23%]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1A2A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[-64% to -28%]</w:t>
            </w:r>
          </w:p>
        </w:tc>
      </w:tr>
      <w:tr w:rsidR="00655CBD" w:rsidRPr="00655CBD" w14:paraId="7F3F551B" w14:textId="77777777" w:rsidTr="005E7237">
        <w:trPr>
          <w:trHeight w:val="360"/>
          <w:jc w:val="center"/>
        </w:trPr>
        <w:tc>
          <w:tcPr>
            <w:tcW w:w="72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2911D" w14:textId="77777777" w:rsidR="00655CBD" w:rsidRPr="00655CBD" w:rsidRDefault="00655CBD" w:rsidP="00655CB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Cleveland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5F960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[-60% to -20%]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CAAD2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[-65% to -32%]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2170C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[-66% to -35%]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B229F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[-66% to -36%]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BD998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[-72% to -47%]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78007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-60% [-73% to -50%]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E73DEB" w14:textId="77777777" w:rsidR="00655CBD" w:rsidRPr="00655CBD" w:rsidRDefault="00655CBD" w:rsidP="00655CBD">
            <w:pPr>
              <w:rPr>
                <w:rFonts w:ascii="Times New Roman" w:eastAsia="Times New Roman" w:hAnsi="Times New Roman" w:cs="Times New Roman"/>
              </w:rPr>
            </w:pPr>
            <w:r w:rsidRPr="00655CBD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-62% [-74% to -51%]</w:t>
            </w:r>
          </w:p>
        </w:tc>
      </w:tr>
    </w:tbl>
    <w:p w14:paraId="6AC629FB" w14:textId="77777777" w:rsidR="009904F9" w:rsidRDefault="009904F9" w:rsidP="00F75427">
      <w:pPr>
        <w:jc w:val="center"/>
      </w:pPr>
    </w:p>
    <w:sectPr w:rsidR="00990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D845B" w14:textId="77777777" w:rsidR="005F6A30" w:rsidRDefault="005F6A30" w:rsidP="00EF4DC2">
      <w:r>
        <w:separator/>
      </w:r>
    </w:p>
  </w:endnote>
  <w:endnote w:type="continuationSeparator" w:id="0">
    <w:p w14:paraId="5734AA8A" w14:textId="77777777" w:rsidR="005F6A30" w:rsidRDefault="005F6A30" w:rsidP="00E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04057" w14:textId="77777777" w:rsidR="005E7237" w:rsidRDefault="005E7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B405" w14:textId="77777777" w:rsidR="005E7237" w:rsidRDefault="005E72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DD1E4" w14:textId="77777777" w:rsidR="005E7237" w:rsidRDefault="005E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9F6BE" w14:textId="77777777" w:rsidR="005F6A30" w:rsidRDefault="005F6A30" w:rsidP="00EF4DC2">
      <w:r>
        <w:separator/>
      </w:r>
    </w:p>
  </w:footnote>
  <w:footnote w:type="continuationSeparator" w:id="0">
    <w:p w14:paraId="2B197F75" w14:textId="77777777" w:rsidR="005F6A30" w:rsidRDefault="005F6A30" w:rsidP="00E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AF373" w14:textId="77777777" w:rsidR="005E7237" w:rsidRDefault="005E7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D321" w14:textId="5C89F078" w:rsidR="00EF4DC2" w:rsidRPr="00EF4DC2" w:rsidRDefault="00EF4DC2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 w:rsidR="00655CBD">
      <w:rPr>
        <w:rFonts w:ascii="Times New Roman" w:hAnsi="Times New Roman" w:cs="Times New Roman"/>
      </w:rPr>
      <w:t>R</w:t>
    </w:r>
    <w:r w:rsidR="00AF739B">
      <w:rPr>
        <w:rFonts w:ascii="Times New Roman" w:hAnsi="Times New Roman" w:cs="Times New Roman"/>
      </w:rPr>
      <w:t>eduction of</w:t>
    </w:r>
    <w:r w:rsidRPr="00EF4DC2">
      <w:rPr>
        <w:rFonts w:ascii="Times New Roman" w:hAnsi="Times New Roman" w:cs="Times New Roman"/>
      </w:rPr>
      <w:t xml:space="preserve"> incidence of HIV from 2020-2030 between Oral and</w:t>
    </w:r>
    <w:r w:rsidR="00AF739B">
      <w:rPr>
        <w:rFonts w:ascii="Times New Roman" w:hAnsi="Times New Roman" w:cs="Times New Roman"/>
      </w:rPr>
      <w:t xml:space="preserve"> Variable</w:t>
    </w:r>
    <w:r w:rsidRPr="00EF4DC2">
      <w:rPr>
        <w:rFonts w:ascii="Times New Roman" w:hAnsi="Times New Roman" w:cs="Times New Roman"/>
      </w:rPr>
      <w:t xml:space="preserve"> Injectable </w:t>
    </w:r>
    <w:proofErr w:type="spellStart"/>
    <w:r w:rsidRPr="00EF4DC2">
      <w:rPr>
        <w:rFonts w:ascii="Times New Roman" w:hAnsi="Times New Roman" w:cs="Times New Roman"/>
      </w:rPr>
      <w:t>PrEP</w:t>
    </w:r>
    <w:proofErr w:type="spellEnd"/>
    <w:r w:rsidRPr="00EF4DC2">
      <w:rPr>
        <w:rFonts w:ascii="Times New Roman" w:hAnsi="Times New Roman" w:cs="Times New Roman"/>
      </w:rPr>
      <w:t xml:space="preserve"> at different </w:t>
    </w:r>
    <w:r w:rsidR="00655CBD">
      <w:rPr>
        <w:rFonts w:ascii="Times New Roman" w:hAnsi="Times New Roman" w:cs="Times New Roman"/>
      </w:rPr>
      <w:t xml:space="preserve">uptake </w:t>
    </w:r>
    <w:r w:rsidRPr="00EF4DC2">
      <w:rPr>
        <w:rFonts w:ascii="Times New Roman" w:hAnsi="Times New Roman" w:cs="Times New Roman"/>
      </w:rPr>
      <w:t xml:space="preserve">levels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390A1" w14:textId="77777777" w:rsidR="005E7237" w:rsidRDefault="005E7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1158B4"/>
    <w:rsid w:val="00142037"/>
    <w:rsid w:val="001619B5"/>
    <w:rsid w:val="0025559D"/>
    <w:rsid w:val="00363B34"/>
    <w:rsid w:val="00534722"/>
    <w:rsid w:val="005B797C"/>
    <w:rsid w:val="005E7237"/>
    <w:rsid w:val="005F6A30"/>
    <w:rsid w:val="00655CBD"/>
    <w:rsid w:val="007D2815"/>
    <w:rsid w:val="00826451"/>
    <w:rsid w:val="00850E05"/>
    <w:rsid w:val="009904F9"/>
    <w:rsid w:val="00A315D7"/>
    <w:rsid w:val="00AA7F9C"/>
    <w:rsid w:val="00AF739B"/>
    <w:rsid w:val="00CD542D"/>
    <w:rsid w:val="00D34A77"/>
    <w:rsid w:val="00EE1DC2"/>
    <w:rsid w:val="00EF4DC2"/>
    <w:rsid w:val="00F4422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C2"/>
  </w:style>
  <w:style w:type="paragraph" w:styleId="Footer">
    <w:name w:val="footer"/>
    <w:basedOn w:val="Normal"/>
    <w:link w:val="Foot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4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19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023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27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71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77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2512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95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8820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59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16</cp:revision>
  <dcterms:created xsi:type="dcterms:W3CDTF">2021-09-23T20:05:00Z</dcterms:created>
  <dcterms:modified xsi:type="dcterms:W3CDTF">2021-10-29T16:56:00Z</dcterms:modified>
</cp:coreProperties>
</file>