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1F3552"/>
          <w:sz w:val="26"/>
          <w:szCs w:val="26"/>
        </w:rPr>
        <w:t xml:space="preserve">Earliest documented doxycycline post-exposure prophylaxis (doxy PEP) implementation, by US metropolitan statistical area</w:t>
      </w:r>
    </w:p>
    <w:p>
      <w:pPr>
        <w:spacing w:after="240" w:before="0"/>
        <w:jc w:val="left"/>
      </w:pPr>
      <w:r>
        <w:rPr>
          <w:rFonts w:ascii="Calibri" w:cs="Calibri" w:eastAsia="Calibri" w:hAnsi="Calibri"/>
          <w:b w:val="false"/>
          <w:bCs w:val="false"/>
          <w:i/>
          <w:iCs/>
          <w:color w:val="627D98"/>
          <w:sz w:val="19"/>
          <w:szCs w:val="19"/>
        </w:rPr>
        <w:t xml:space="preserve">Parameterisation table for 40 MSAs. Compiled 29 July 2026.</w:t>
      </w:r>
    </w:p>
    <w:p>
      <w:pPr>
        <w:pStyle w:val="Heading2"/>
        <w:spacing w:after="120" w:before="240"/>
      </w:pPr>
      <w:r>
        <w:rPr>
          <w:rFonts w:ascii="Calibri" w:cs="Calibri" w:eastAsia="Calibri" w:hAnsi="Calibri"/>
          <w:b/>
          <w:bCs/>
          <w:color w:val="1F3552"/>
          <w:sz w:val="22"/>
          <w:szCs w:val="22"/>
        </w:rPr>
        <w:t xml:space="preserve">Case definition</w:t>
      </w:r>
    </w:p>
    <w:p>
      <w:pPr>
        <w:spacing w:after="120" w:before="0"/>
        <w:jc w:val="left"/>
      </w:pPr>
      <w:r>
        <w:rPr>
          <w:rFonts w:ascii="Calibri" w:cs="Calibri" w:eastAsia="Calibri" w:hAnsi="Calibri"/>
          <w:b w:val="false"/>
          <w:bCs w:val="false"/>
          <w:i w:val="false"/>
          <w:iCs w:val="false"/>
          <w:sz w:val="19"/>
          <w:szCs w:val="19"/>
        </w:rPr>
        <w:t xml:space="preserve">Earliest date = the earlier of (a) doxy PEP guidance issued by a public health authority with jurisdiction over the MSA core county, or (b) documented clinical or programmatic doxy PEP delivery within the MSA. Trial-context delivery is flagged separately where it is the earliest evidence.</w:t>
      </w:r>
    </w:p>
    <w:p>
      <w:pPr>
        <w:spacing w:after="120" w:before="0"/>
        <w:jc w:val="left"/>
      </w:pPr>
      <w:r>
        <w:rPr>
          <w:rFonts w:ascii="Calibri" w:cs="Calibri" w:eastAsia="Calibri" w:hAnsi="Calibri"/>
          <w:b w:val="false"/>
          <w:bCs w:val="false"/>
          <w:i w:val="false"/>
          <w:iCs w:val="false"/>
          <w:sz w:val="19"/>
          <w:szCs w:val="19"/>
        </w:rPr>
        <w:t xml:space="preserve">Confidence tiers: A = dated primary document or peer-reviewed publication specific to that MSA. B = credible secondary source with month-level resolution, or state-level guidance covering the MSA core county with no local document located. C = no MSA-specific evidence located; right-censored at the CDC national guideline release date of 6 June 2024.</w:t>
      </w:r>
    </w:p>
    <w:p>
      <w:pPr>
        <w:spacing w:after="120" w:before="0"/>
        <w:jc w:val="left"/>
      </w:pPr>
      <w:r>
        <w:rPr>
          <w:rFonts w:ascii="Calibri" w:cs="Calibri" w:eastAsia="Calibri" w:hAnsi="Calibri"/>
          <w:b/>
          <w:bCs/>
          <w:i w:val="false"/>
          <w:iCs w:val="false"/>
          <w:sz w:val="19"/>
          <w:szCs w:val="19"/>
        </w:rPr>
        <w:t xml:space="preserve">Distribution: Tier A n=7, Tier B n=10, Tier C n=23.</w:t>
      </w:r>
    </w:p>
    <w:p>
      <w:pPr>
        <w:pStyle w:val="Heading2"/>
        <w:spacing w:after="120" w:before="240"/>
      </w:pPr>
      <w:r>
        <w:rPr>
          <w:rFonts w:ascii="Calibri" w:cs="Calibri" w:eastAsia="Calibri" w:hAnsi="Calibri"/>
          <w:b/>
          <w:bCs/>
          <w:color w:val="1F3552"/>
          <w:sz w:val="22"/>
          <w:szCs w:val="22"/>
        </w:rPr>
        <w:t xml:space="preserve">Table 1. Earliest doxy PEP date by MSA (n=40), ascending</w:t>
      </w:r>
    </w:p>
    <w:tbl>
      <w:tblPr>
        <w:tblW w:type="dxa" w:w="13680"/>
        <w:tblBorders>
          <w:top w:val="single" w:color="9FB3C8" w:sz="4"/>
          <w:left w:val="single" w:color="9FB3C8" w:sz="4"/>
          <w:bottom w:val="single" w:color="9FB3C8" w:sz="4"/>
          <w:right w:val="single" w:color="9FB3C8" w:sz="4"/>
          <w:insideH w:val="single" w:color="C6D2DE" w:sz="2"/>
          <w:insideV w:val="single" w:color="C6D2DE" w:sz="2"/>
        </w:tblBorders>
      </w:tblPr>
      <w:tblGrid>
        <w:gridCol w:w="1500"/>
        <w:gridCol w:w="950"/>
        <w:gridCol w:w="1750"/>
        <w:gridCol w:w="520"/>
        <w:gridCol w:w="4400"/>
        <w:gridCol w:w="4560"/>
      </w:tblGrid>
      <w:tr>
        <w:trPr>
          <w:tblHeader/>
        </w:trPr>
        <w:tc>
          <w:tcPr>
            <w:tcW w:type="dxa" w:w="1500"/>
            <w:shd w:fill="D9E2EC"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MSA</w:t>
            </w:r>
          </w:p>
        </w:tc>
        <w:tc>
          <w:tcPr>
            <w:tcW w:type="dxa" w:w="950"/>
            <w:shd w:fill="D9E2EC"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CBSA</w:t>
            </w:r>
          </w:p>
        </w:tc>
        <w:tc>
          <w:tcPr>
            <w:tcW w:type="dxa" w:w="1750"/>
            <w:shd w:fill="D9E2EC"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Earliest date</w:t>
            </w:r>
          </w:p>
        </w:tc>
        <w:tc>
          <w:tcPr>
            <w:tcW w:type="dxa" w:w="520"/>
            <w:shd w:fill="D9E2EC"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Tier</w:t>
            </w:r>
          </w:p>
        </w:tc>
        <w:tc>
          <w:tcPr>
            <w:tcW w:type="dxa" w:w="4400"/>
            <w:shd w:fill="D9E2EC"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Basis</w:t>
            </w:r>
          </w:p>
        </w:tc>
        <w:tc>
          <w:tcPr>
            <w:tcW w:type="dxa" w:w="4560"/>
            <w:shd w:fill="D9E2EC"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Citation</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Philadelphia</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C.37980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2019-09-01</w:t>
            </w:r>
          </w:p>
        </w:tc>
        <w:tc>
          <w:tcPr>
            <w:tcW w:type="dxa" w:w="520"/>
            <w:shd w:fill="DFF0D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A</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PDPH STD Control Program HIV PrEP clinic (Health Center 1); doxy PEP dispensing records begin 1 Sep 2019. n=508 eligible MSM, 416 (82%) opted in; IRR 0.38 (95% CI 0.29-0.50) any STI on-drug</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Lewis FMT, Cope AB, Clark K, et al. Sex Transm Dis. 2025;52(12):734-738. PMID 40689482</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San Francisco</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C.41860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2021-08 (trial); 2022-10-20 (guidance)</w:t>
            </w:r>
          </w:p>
        </w:tc>
        <w:tc>
          <w:tcPr>
            <w:tcW w:type="dxa" w:w="520"/>
            <w:shd w:fill="DFF0D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A</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DoxyPEP RCT delivery at SF City Clinic (SFDPH) and ZSFG Ward 86 from trial enrolment; SFDPH Health Update was the first US jurisdictional guidance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Luetkemeyer AF, et al. N Engl J Med. 2023;388(14):1296-1306. PMID 37018493 / SFDPH Health Update, 20 Oct 2022</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Seattle</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C.42660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2021-08 (trial); 2023-03 (operational); 2023-06 (guidance)</w:t>
            </w:r>
          </w:p>
        </w:tc>
        <w:tc>
          <w:tcPr>
            <w:tcW w:type="dxa" w:w="520"/>
            <w:shd w:fill="DFF0D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A</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DoxyPEP RCT at PHSKC Sexual Health Clinic and Harborview Madison Clinic; PHSKC issued full clinical guidelines Jun 2023. PHSKC ITS analyses use Mar 2023 as the implementation breakpoint</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Luetkemeyer AF, et al. PMID 37018493 / PHSKC Doxy PEP Guidelines, Jun 2023 (updated Jan 2025)</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Los Angeles</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C.31080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2022-10</w:t>
            </w:r>
          </w:p>
        </w:tc>
        <w:tc>
          <w:tcPr>
            <w:tcW w:type="dxa" w:w="520"/>
            <w:shd w:fill="DFF0D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A</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Los Angeles LGBT Center (FQHC) standing recommendation to offer doxy PEP to patients with &gt;=1 bacterial STI in prior 12 mo; LACDPH fact sheet revised 5 May 2023</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Bolan RK, et al. Open Forum Infect Dis. 2025;12(3):ofaf089</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Riverside</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C.40140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2023-04-28</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CDPH statewide Dear Colleague Letter; no Riverside or San Bernardino County document located. KPSC southern California cohort confirms regional uptake from 2023</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CDPH STD Control Branch, Dear Colleague Letter, 28 Apr 2023</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Sacramento</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C.40900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2023-04-28</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CDPH statewide Dear Colleague Letter; no Sacramento County document located</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CDPH STD Control Branch, Dear Colleague Letter, 28 Apr 2023</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San Diego</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C.41740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2023-05-09</w:t>
            </w:r>
          </w:p>
        </w:tc>
        <w:tc>
          <w:tcPr>
            <w:tcW w:type="dxa" w:w="520"/>
            <w:shd w:fill="DFF0D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A</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County of San Diego HHSA CAHAN provider advisory; included shared decision-making offer to all non-pregnant persons at increased risk</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County of San Diego HHSA, CAHAN advisory, 9 May 2023</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Boston</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C.14460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2023-05</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Fenway Health patient town hall 30 May 2023 indicates clinic delivery already in place; Fenway EHR-based doxy PEP prescribing-strategy analysis submitted 2023</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Fenway Health announcement, May 2023 / Clin Infect Dis. 2023, doi:10.1093/cid/ciad488</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Albuquerque</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C.10740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2023 (mid)</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NMDOH statewide endorsement issued before CDC guidance (document references CDC detailed guidance as still pending); no day-level date on the document</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New Mexico Department of Health, doxy-PEP guidance, 2023</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Portland</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C.38900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2023</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Oregon Health Authority statewide guidance (cited as pre-existing in the Jul 2024 WA DOH letter) plus Multnomah County Health Department protocol; month not established</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Oregon Health Authority, 2023 / NCSD Doxy and STI PEP Sample Policies</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Chicago</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C.16980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2023</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Howard Brown Health prescribing protocol in place during 2023, pre-dating CDC draft guidelines; Chicago CDPH guidance is post-CDC. Month not established</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Howard Brown Health protocol (NCSD repository) / Prev Med. 2024, S0091743524001324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New York</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C.35620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2023-09-25</w:t>
            </w:r>
          </w:p>
        </w:tc>
        <w:tc>
          <w:tcPr>
            <w:tcW w:type="dxa" w:w="520"/>
            <w:shd w:fill="DFF0D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A</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NYSDOH AI clinical guideline (statewide). MSA spans three authorities: NYC DOHMH DCL 9 Nov 2023; NJDOH advisory 11 Jun 2024. A single scalar is wrong for roughly 40% of MSA population</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NYSDOH AI Clinical Guidelines Program, 25 Sep 2023 (updated 15 Oct 2024)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Rochester</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C.40380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2023-09-25</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NYSDOH AI statewide guideline; no Monroe County Department of Public Health document located</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NYSDOH AI Clinical Guidelines Program, 25 Sep 2023</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New Orleans</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C.35380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2024-01</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UMC New Orleans HIV Outpatient Program (Ryan White) doxy PEP dispensing records from Jan 2024; Louisiana DOH guidance not located</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Open Forum Infect Dis. abstract P-741, PMC12791264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Minneapolis</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C.33460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2024-03-15</w:t>
            </w:r>
          </w:p>
        </w:tc>
        <w:tc>
          <w:tcPr>
            <w:tcW w:type="dxa" w:w="520"/>
            <w:shd w:fill="DFF0D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A</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Minnesota Department of Health interim doxy PEP recommendations, issued pre-CDC</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Minnesota Department of Health, interim recommendations, 15 Mar 2024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Birmingham</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C.13820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&lt;= 2024-04</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Jefferson County Department of Health protocol publicly posted in the NCSD repository before Apr 2024; issue date not on the artefact</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NCSD Doxy and STI PEP Sample Policies (accessed Apr 2024)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Detroit</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C.19820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w:t>
            </w:r>
          </w:p>
        </w:tc>
        <w:tc>
          <w:tcPr>
            <w:tcW w:type="dxa" w:w="520"/>
            <w:shd w:fill="FCF3D2"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B</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MDHHS Doxy PEP Protocol (2024); Henry Ford Health dedicated doxy PEP order set implemented within a study window opening 1 Jan 2023, so an earlier date is plausible but unconfirmed</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MDHHS protocol, 2024 (CDC NPIN 380238) / Arena CJ, et al. Int J STD AIDS. 2026, doi:10.1177/09564624251379701</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Denver</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C.19740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Censored at CDC floor, but Denver Health / Denver PTC staff co-author the CDC multi-site clinic implementation paper and Denver PTC hosted a doxy PEP resource page by Mar 2024 - a 2023 date is likely and unconfirmed</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Miami</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C.33100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Atlanta</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C.12060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Houston</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C.26420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 TX DSHS provider page is explicitly post-CDC</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Dallas</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C.19100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 TX DSHS provider page is explicitly post-CDC</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Washington DC</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C.47900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Orlando</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C.36740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Phoenix</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C.38060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Tampa</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C.45300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Baltimore</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C.12580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Las Vegas</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C.29820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Charlotte</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C.16740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San Antonio</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C.41700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Jacksonville</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C.27260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Memphis</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C.32820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Austin</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C.12420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Cincinnati</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C.17140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Columbus</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C.18140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Baton Rouge</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C.12940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Kansas City</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C.28140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St. Louis</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C.41180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Oklahoma City</w:t>
            </w:r>
          </w:p>
        </w:tc>
        <w:tc>
          <w:tcPr>
            <w:tcW w:type="dxa" w:w="9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C.36420</w:t>
            </w:r>
          </w:p>
        </w:tc>
        <w:tc>
          <w:tcPr>
            <w:tcW w:type="dxa" w:w="175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r>
        <w:tc>
          <w:tcPr>
            <w:tcW w:type="dxa" w:w="1500"/>
            <w:shd w:fill="F4F6F8"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Milwaukee</w:t>
            </w:r>
          </w:p>
        </w:tc>
        <w:tc>
          <w:tcPr>
            <w:tcW w:type="dxa" w:w="9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C.33340</w:t>
            </w:r>
          </w:p>
        </w:tc>
        <w:tc>
          <w:tcPr>
            <w:tcW w:type="dxa" w:w="175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2024-06-06</w:t>
            </w:r>
          </w:p>
        </w:tc>
        <w:tc>
          <w:tcPr>
            <w:tcW w:type="dxa" w:w="520"/>
            <w:shd w:fill="F2E4E4"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C</w:t>
            </w:r>
          </w:p>
        </w:tc>
        <w:tc>
          <w:tcPr>
            <w:tcW w:type="dxa" w:w="44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No MSA-specific document located; censored at CDC national guideline release</w:t>
            </w:r>
          </w:p>
        </w:tc>
        <w:tc>
          <w:tcPr>
            <w:tcW w:type="dxa" w:w="45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et al. MMWR Recomm Rep. 2024;73(2):1-8. PMID 38833414</w:t>
            </w:r>
          </w:p>
        </w:tc>
      </w:tr>
    </w:tbl>
    <w:p>
      <w:pPr>
        <w:spacing w:after="120" w:before="160"/>
        <w:jc w:val="left"/>
      </w:pPr>
      <w:r>
        <w:rPr>
          <w:rFonts w:ascii="Calibri" w:cs="Calibri" w:eastAsia="Calibri" w:hAnsi="Calibri"/>
          <w:b w:val="false"/>
          <w:bCs w:val="false"/>
          <w:i/>
          <w:iCs/>
          <w:sz w:val="17"/>
          <w:szCs w:val="17"/>
        </w:rPr>
        <w:t xml:space="preserve">Trial-context delivery (San Francisco, Seattle) reached approximately 780 participants across both sites and should not be treated as population-level availability. For a programmatic-only specification use 2022-10-20 for San Francisco and 2023-03 for Seattle.</w:t>
      </w:r>
    </w:p>
    <w:p>
      <w:pPr>
        <w:pageBreakBefore/>
      </w:pPr>
      <w:r>
        <w:t xml:space="preserve"/>
      </w:r>
    </w:p>
    <w:p>
      <w:pPr>
        <w:pStyle w:val="Heading2"/>
        <w:spacing w:after="120" w:before="240"/>
      </w:pPr>
      <w:r>
        <w:rPr>
          <w:rFonts w:ascii="Calibri" w:cs="Calibri" w:eastAsia="Calibri" w:hAnsi="Calibri"/>
          <w:b/>
          <w:bCs/>
          <w:color w:val="1F3552"/>
          <w:sz w:val="22"/>
          <w:szCs w:val="22"/>
        </w:rPr>
        <w:t xml:space="preserve">Interpretation and modelling caveats</w:t>
      </w:r>
    </w:p>
    <w:p>
      <w:pPr>
        <w:spacing w:after="120" w:before="0"/>
        <w:jc w:val="left"/>
      </w:pPr>
      <w:r>
        <w:rPr>
          <w:rFonts w:ascii="Calibri" w:cs="Calibri" w:eastAsia="Calibri" w:hAnsi="Calibri"/>
          <w:b w:val="false"/>
          <w:bCs w:val="false"/>
          <w:i w:val="false"/>
          <w:iCs w:val="false"/>
          <w:sz w:val="19"/>
          <w:szCs w:val="19"/>
        </w:rPr>
        <w:t xml:space="preserve">1. Right-censoring, not synchrony. Twenty-three of 40 MSAs carry the CDC floor date. This reflects the absence of publicly posted, dated health department communications in mid-tier jurisdictions rather than genuine simultaneous adoption. Ryan White Part A grantees, FQHCs and academic HIV clinics in most of these MSAs were almost certainly prescribing doxy PEP during 2023. Treating the CDC floor as a true start date will attenuate any estimated MSA-level effect and bias toward a conclusion of no variation outside the coastal early adopters.</w:t>
      </w:r>
    </w:p>
    <w:p>
      <w:pPr>
        <w:spacing w:after="120" w:before="0"/>
        <w:jc w:val="left"/>
      </w:pPr>
      <w:r>
        <w:rPr>
          <w:rFonts w:ascii="Calibri" w:cs="Calibri" w:eastAsia="Calibri" w:hAnsi="Calibri"/>
          <w:b w:val="false"/>
          <w:bCs w:val="false"/>
          <w:i w:val="false"/>
          <w:iCs w:val="false"/>
          <w:sz w:val="19"/>
          <w:szCs w:val="19"/>
        </w:rPr>
        <w:t xml:space="preserve">2. CBSA does not map to health jurisdiction. C.35620 spans NYSDOH (2023-09-25), NYC DOHMH (2023-11-09) and NJDOH (2024-06-11); C.41860 spans SFDPH, Alameda, Contra Costa and San Mateo county health departments. A single scalar start date misspecifies a substantial share of the population in these MSAs.</w:t>
      </w:r>
    </w:p>
    <w:p>
      <w:pPr>
        <w:spacing w:after="120" w:before="0"/>
        <w:jc w:val="left"/>
      </w:pPr>
      <w:r>
        <w:rPr>
          <w:rFonts w:ascii="Calibri" w:cs="Calibri" w:eastAsia="Calibri" w:hAnsi="Calibri"/>
          <w:b w:val="false"/>
          <w:bCs w:val="false"/>
          <w:i w:val="false"/>
          <w:iCs w:val="false"/>
          <w:sz w:val="19"/>
          <w:szCs w:val="19"/>
        </w:rPr>
        <w:t xml:space="preserve">3. Guidance date is not exposure date. Philadelphia 2019-09-01 reflects one municipal STD clinic, not city-wide availability; PDPH did not issue a population-facing health alert until 2 July 2024. San Francisco scale-up was clinic-driven from late November 2022 despite the 20 October 2022 guidance date, and PHSKC uses March 2023 rather than its own June 2023 guideline date as the analytic breakpoint. A two-parameter specification (initiation date plus scale-up date, or a ramp function) will fit the observed uptake curves better than a single step.</w:t>
      </w:r>
    </w:p>
    <w:p>
      <w:pPr>
        <w:spacing w:after="120" w:before="0"/>
        <w:jc w:val="left"/>
      </w:pPr>
      <w:r>
        <w:rPr>
          <w:rFonts w:ascii="Calibri" w:cs="Calibri" w:eastAsia="Calibri" w:hAnsi="Calibri"/>
          <w:b w:val="false"/>
          <w:bCs w:val="false"/>
          <w:i w:val="false"/>
          <w:iCs w:val="false"/>
          <w:sz w:val="19"/>
          <w:szCs w:val="19"/>
        </w:rPr>
        <w:t xml:space="preserve">4. Gonorrhoea diverges. In every real-world US dataset, chlamydia and syphilis declines substantially exceed gonorrhoea declines, attributable to rising tetracycline resistance in Neisseria gonorrhoeae. As of Q2 2024, 65% of isolates from MSM in King County carried high-level tetracycline resistance. Any AMR-coupled compartmental model should treat gonorrhoea efficacy as time-varying and jurisdiction-specific rather than fixed.</w:t>
      </w:r>
    </w:p>
    <w:p>
      <w:pPr>
        <w:spacing w:after="120" w:before="0"/>
        <w:jc w:val="left"/>
      </w:pPr>
      <w:r>
        <w:rPr>
          <w:rFonts w:ascii="Calibri" w:cs="Calibri" w:eastAsia="Calibri" w:hAnsi="Calibri"/>
          <w:b w:val="false"/>
          <w:bCs w:val="false"/>
          <w:i w:val="false"/>
          <w:iCs w:val="false"/>
          <w:sz w:val="19"/>
          <w:szCs w:val="19"/>
        </w:rPr>
        <w:t xml:space="preserve">5. Items requiring verification before import. Reference 5 (Bolan 2025, Open Forum Infect Dis) PMID not confirmed. Reference 15 (Sankaran 2025) PMID inferred from an institutional publication list rather than read from PubMed. Month-level dates for Albuquerque, Portland, Chicago and Birmingham are not established from primary documents.</w:t>
      </w:r>
    </w:p>
    <w:p>
      <w:pPr>
        <w:pStyle w:val="Heading2"/>
        <w:spacing w:after="120" w:before="240"/>
      </w:pPr>
      <w:r>
        <w:rPr>
          <w:rFonts w:ascii="Calibri" w:cs="Calibri" w:eastAsia="Calibri" w:hAnsi="Calibri"/>
          <w:b/>
          <w:bCs/>
          <w:color w:val="1F3552"/>
          <w:sz w:val="22"/>
          <w:szCs w:val="22"/>
        </w:rPr>
        <w:t xml:space="preserve">Table 2. References</w:t>
      </w:r>
    </w:p>
    <w:tbl>
      <w:tblPr>
        <w:tblW w:type="dxa" w:w="13680"/>
        <w:tblBorders>
          <w:top w:val="single" w:color="9FB3C8" w:sz="4"/>
          <w:left w:val="single" w:color="9FB3C8" w:sz="4"/>
          <w:bottom w:val="single" w:color="9FB3C8" w:sz="4"/>
          <w:right w:val="single" w:color="9FB3C8" w:sz="4"/>
          <w:insideH w:val="single" w:color="C6D2DE" w:sz="2"/>
          <w:insideV w:val="single" w:color="C6D2DE" w:sz="2"/>
        </w:tblBorders>
      </w:tblPr>
      <w:tblGrid>
        <w:gridCol w:w="620"/>
        <w:gridCol w:w="8300"/>
        <w:gridCol w:w="4760"/>
      </w:tblGrid>
      <w:tr>
        <w:trPr>
          <w:tblHeader/>
        </w:trPr>
        <w:tc>
          <w:tcPr>
            <w:tcW w:type="dxa" w:w="620"/>
            <w:shd w:fill="D9E2EC"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w:t>
            </w:r>
          </w:p>
        </w:tc>
        <w:tc>
          <w:tcPr>
            <w:tcW w:type="dxa" w:w="8300"/>
            <w:shd w:fill="D9E2EC"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Reference</w:t>
            </w:r>
          </w:p>
        </w:tc>
        <w:tc>
          <w:tcPr>
            <w:tcW w:type="dxa" w:w="4760"/>
            <w:shd w:fill="D9E2EC" w:color="auto" w:val="clear"/>
            <w:tcMar>
              <w:top w:type="dxa" w:w="60"/>
              <w:left w:type="dxa" w:w="90"/>
              <w:bottom w:type="dxa" w:w="60"/>
              <w:right w:type="dxa" w:w="90"/>
            </w:tcMar>
            <w:vAlign w:val="top"/>
          </w:tcPr>
          <w:p>
            <w:pPr>
              <w:spacing w:after="0"/>
              <w:jc w:val="left"/>
            </w:pPr>
            <w:r>
              <w:rPr>
                <w:rFonts w:ascii="Calibri" w:cs="Calibri" w:eastAsia="Calibri" w:hAnsi="Calibri"/>
                <w:b/>
                <w:bCs/>
                <w:i w:val="false"/>
                <w:iCs w:val="false"/>
                <w:sz w:val="15"/>
                <w:szCs w:val="15"/>
              </w:rPr>
              <w:t xml:space="preserve">Identifier</w:t>
            </w:r>
          </w:p>
        </w:tc>
      </w:tr>
      <w:tr>
        <w:tc>
          <w:tcPr>
            <w:tcW w:type="dxa" w:w="620"/>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w:t>
            </w:r>
          </w:p>
        </w:tc>
        <w:tc>
          <w:tcPr>
            <w:tcW w:type="dxa" w:w="83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Lewis FMT, Cope AB, Clark K, Madera R, Asbel L, Newman DR, Davis NL. Doxycycline postexposure prophylaxis is effective and highly acceptable in an urban public sexually transmitted disease clinic: Philadelphia, 2019-2023. Sex Transm Dis. 2025;52(12):734-738.</w:t>
            </w:r>
          </w:p>
        </w:tc>
        <w:tc>
          <w:tcPr>
            <w:tcW w:type="dxa" w:w="47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PMID 40689482; doi:10.1097/OLQ.0000000000002224</w:t>
            </w:r>
          </w:p>
        </w:tc>
      </w:tr>
      <w:tr>
        <w:tc>
          <w:tcPr>
            <w:tcW w:type="dxa" w:w="620"/>
            <w:shd w:fill="F4F6F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2</w:t>
            </w:r>
          </w:p>
        </w:tc>
        <w:tc>
          <w:tcPr>
            <w:tcW w:type="dxa" w:w="83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Luetkemeyer AF, Donnell D, Dombrowski JC, et al. Postexposure doxycycline to prevent bacterial sexually transmitted infections. N Engl J Med. 2023;388(14):1296-1306.</w:t>
            </w:r>
          </w:p>
        </w:tc>
        <w:tc>
          <w:tcPr>
            <w:tcW w:type="dxa" w:w="47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PMID 37018493</w:t>
            </w:r>
          </w:p>
        </w:tc>
      </w:tr>
      <w:tr>
        <w:tc>
          <w:tcPr>
            <w:tcW w:type="dxa" w:w="620"/>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3</w:t>
            </w:r>
          </w:p>
        </w:tc>
        <w:tc>
          <w:tcPr>
            <w:tcW w:type="dxa" w:w="83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Luetkemeyer AF, Donnell D, Cohen SE, et al. Doxycycline to prevent bacterial sexually transmitted infections in the USA: final results from the DoxyPEP multicentre, open-label, randomised controlled trial and open-label extension. Lancet Infect Dis. 2025.</w:t>
            </w:r>
          </w:p>
        </w:tc>
        <w:tc>
          <w:tcPr>
            <w:tcW w:type="dxa" w:w="47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PMID 40147465</w:t>
            </w:r>
          </w:p>
        </w:tc>
      </w:tr>
      <w:tr>
        <w:tc>
          <w:tcPr>
            <w:tcW w:type="dxa" w:w="620"/>
            <w:shd w:fill="F4F6F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4</w:t>
            </w:r>
          </w:p>
        </w:tc>
        <w:tc>
          <w:tcPr>
            <w:tcW w:type="dxa" w:w="83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Bachmann LH, Barbee LA, Chan P, Reno H, Workowski KA, Hoover K, Mermin J, Mena L. CDC clinical guidelines on the use of doxycycline postexposure prophylaxis for bacterial sexually transmitted infection prevention, United States, 2024. MMWR Recomm Rep. 2024;73(2):1-8.</w:t>
            </w:r>
          </w:p>
        </w:tc>
        <w:tc>
          <w:tcPr>
            <w:tcW w:type="dxa" w:w="47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PMID 38833414</w:t>
            </w:r>
          </w:p>
        </w:tc>
      </w:tr>
      <w:tr>
        <w:tc>
          <w:tcPr>
            <w:tcW w:type="dxa" w:w="620"/>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5</w:t>
            </w:r>
          </w:p>
        </w:tc>
        <w:tc>
          <w:tcPr>
            <w:tcW w:type="dxa" w:w="83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Bolan RK, et al. [Los Angeles LGBT Center doxy PEP implementation]. Open Forum Infect Dis. 2025;12(3):ofaf089.</w:t>
            </w:r>
          </w:p>
        </w:tc>
        <w:tc>
          <w:tcPr>
            <w:tcW w:type="dxa" w:w="47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PMID not verified - confirm before import</w:t>
            </w:r>
          </w:p>
        </w:tc>
      </w:tr>
      <w:tr>
        <w:tc>
          <w:tcPr>
            <w:tcW w:type="dxa" w:w="620"/>
            <w:shd w:fill="F4F6F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6</w:t>
            </w:r>
          </w:p>
        </w:tc>
        <w:tc>
          <w:tcPr>
            <w:tcW w:type="dxa" w:w="83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Arena CJ, Everson NA, Kenney RM, Brar I, Gudipati S, Yared N, Davis SL, Veve MP. A cross-sectional analysis of doxyPEP use and outcomes in Michigan, United States. Int J STD AIDS. 2026.</w:t>
            </w:r>
          </w:p>
        </w:tc>
        <w:tc>
          <w:tcPr>
            <w:tcW w:type="dxa" w:w="47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doi:10.1177/09564624251379701</w:t>
            </w:r>
          </w:p>
        </w:tc>
      </w:tr>
      <w:tr>
        <w:tc>
          <w:tcPr>
            <w:tcW w:type="dxa" w:w="620"/>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7</w:t>
            </w:r>
          </w:p>
        </w:tc>
        <w:tc>
          <w:tcPr>
            <w:tcW w:type="dxa" w:w="83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San Francisco Department of Public Health. Health Update: Doxycycline post-exposure prophylaxis reduces incidence of sexually transmitted infections. 20 Oct 2022.</w:t>
            </w:r>
          </w:p>
        </w:tc>
        <w:tc>
          <w:tcPr>
            <w:tcW w:type="dxa" w:w="47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sfcdcp.org</w:t>
            </w:r>
          </w:p>
        </w:tc>
      </w:tr>
      <w:tr>
        <w:tc>
          <w:tcPr>
            <w:tcW w:type="dxa" w:w="620"/>
            <w:shd w:fill="F4F6F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8</w:t>
            </w:r>
          </w:p>
        </w:tc>
        <w:tc>
          <w:tcPr>
            <w:tcW w:type="dxa" w:w="83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California Department of Public Health, STD Control Branch. Dear Colleague Letter: Doxy-PEP recommendations for prevention of STIs. 28 Apr 2023.</w:t>
            </w:r>
          </w:p>
        </w:tc>
        <w:tc>
          <w:tcPr>
            <w:tcW w:type="dxa" w:w="47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cdph.ca.gov</w:t>
            </w:r>
          </w:p>
        </w:tc>
      </w:tr>
      <w:tr>
        <w:tc>
          <w:tcPr>
            <w:tcW w:type="dxa" w:w="620"/>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9</w:t>
            </w:r>
          </w:p>
        </w:tc>
        <w:tc>
          <w:tcPr>
            <w:tcW w:type="dxa" w:w="83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Public Health - Seattle &amp; King County. Doxycycline post-exposure prophylaxis (doxy PEP) to prevent bacterial STIs. Jun 2023; updated Jan 2025.</w:t>
            </w:r>
          </w:p>
        </w:tc>
        <w:tc>
          <w:tcPr>
            <w:tcW w:type="dxa" w:w="47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kingcounty.gov</w:t>
            </w:r>
          </w:p>
        </w:tc>
      </w:tr>
      <w:tr>
        <w:tc>
          <w:tcPr>
            <w:tcW w:type="dxa" w:w="620"/>
            <w:shd w:fill="F4F6F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10</w:t>
            </w:r>
          </w:p>
        </w:tc>
        <w:tc>
          <w:tcPr>
            <w:tcW w:type="dxa" w:w="83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New York State Department of Health AIDS Institute Clinical Guidelines Program. Doxycycline post-exposure prophylaxis to prevent bacterial sexually transmitted infections. Original publication 25 Sep 2023; updated 15 Oct 2024.</w:t>
            </w:r>
          </w:p>
        </w:tc>
        <w:tc>
          <w:tcPr>
            <w:tcW w:type="dxa" w:w="47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hivguidelines.org</w:t>
            </w:r>
          </w:p>
        </w:tc>
      </w:tr>
      <w:tr>
        <w:tc>
          <w:tcPr>
            <w:tcW w:type="dxa" w:w="620"/>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11</w:t>
            </w:r>
          </w:p>
        </w:tc>
        <w:tc>
          <w:tcPr>
            <w:tcW w:type="dxa" w:w="83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New Mexico Department of Health. Doxycycline post-exposure prophylaxis (doxy-PEP) for the prevention of bacterial STIs. 2023.</w:t>
            </w:r>
          </w:p>
        </w:tc>
        <w:tc>
          <w:tcPr>
            <w:tcW w:type="dxa" w:w="47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nmhealth.org</w:t>
            </w:r>
          </w:p>
        </w:tc>
      </w:tr>
      <w:tr>
        <w:tc>
          <w:tcPr>
            <w:tcW w:type="dxa" w:w="620"/>
            <w:shd w:fill="F4F6F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12</w:t>
            </w:r>
          </w:p>
        </w:tc>
        <w:tc>
          <w:tcPr>
            <w:tcW w:type="dxa" w:w="83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National Coalition of STD Directors. Doxy and STI PEP sample policies [repository listing Alameda County, CDPH, Chicago CDPH, San Diego County, LA County, Jefferson County AL, Howard Brown Health, Minnesota DOH, Multnomah County, New Mexico DOH, NYC DOHMH, Oregon Health Authority, SFDPH, Santa Clara County]. Accessed Apr 2024.</w:t>
            </w:r>
          </w:p>
        </w:tc>
        <w:tc>
          <w:tcPr>
            <w:tcW w:type="dxa" w:w="47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ncsddc.org</w:t>
            </w:r>
          </w:p>
        </w:tc>
      </w:tr>
      <w:tr>
        <w:tc>
          <w:tcPr>
            <w:tcW w:type="dxa" w:w="620"/>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13</w:t>
            </w:r>
          </w:p>
        </w:tc>
        <w:tc>
          <w:tcPr>
            <w:tcW w:type="dxa" w:w="83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Washington State Department of Health. Dear Colleague Letter: use of doxycycline postexposure prophylaxis for bacterial STI prevention. Jul 2024.</w:t>
            </w:r>
          </w:p>
        </w:tc>
        <w:tc>
          <w:tcPr>
            <w:tcW w:type="dxa" w:w="47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doh.wa.gov</w:t>
            </w:r>
          </w:p>
        </w:tc>
      </w:tr>
      <w:tr>
        <w:tc>
          <w:tcPr>
            <w:tcW w:type="dxa" w:w="620"/>
            <w:shd w:fill="F4F6F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14</w:t>
            </w:r>
          </w:p>
        </w:tc>
        <w:tc>
          <w:tcPr>
            <w:tcW w:type="dxa" w:w="83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New Jersey Department of Health. Health advisory: NJDOH supports use of doxy PEP for bacterial STIs. 11 Jun 2024.</w:t>
            </w:r>
          </w:p>
        </w:tc>
        <w:tc>
          <w:tcPr>
            <w:tcW w:type="dxa" w:w="47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nj.gov/health</w:t>
            </w:r>
          </w:p>
        </w:tc>
      </w:tr>
      <w:tr>
        <w:tc>
          <w:tcPr>
            <w:tcW w:type="dxa" w:w="620"/>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15</w:t>
            </w:r>
          </w:p>
        </w:tc>
        <w:tc>
          <w:tcPr>
            <w:tcW w:type="dxa" w:w="83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Sankaran M, Glidden DV, Kohn RP, et al. Doxycycline postexposure prophylaxis and sexually transmitted infection trends. JAMA Intern Med. 2025;185(3):266-272.</w:t>
            </w:r>
          </w:p>
        </w:tc>
        <w:tc>
          <w:tcPr>
            <w:tcW w:type="dxa" w:w="47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PMID 39761052 - inferred from institutional list; verify</w:t>
            </w:r>
          </w:p>
        </w:tc>
      </w:tr>
      <w:tr>
        <w:tc>
          <w:tcPr>
            <w:tcW w:type="dxa" w:w="620"/>
            <w:shd w:fill="F4F6F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16</w:t>
            </w:r>
          </w:p>
        </w:tc>
        <w:tc>
          <w:tcPr>
            <w:tcW w:type="dxa" w:w="83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Molina JM, Charreau I, Chidiac C, et al. Post-exposure prophylaxis with doxycycline to prevent sexually transmitted infections in men who have sex with men: an open-label randomised substudy of the ANRS IPERGAY trial. Lancet Infect Dis. 2018;18(3):308-317.</w:t>
            </w:r>
          </w:p>
        </w:tc>
        <w:tc>
          <w:tcPr>
            <w:tcW w:type="dxa" w:w="47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PMID 29229440</w:t>
            </w:r>
          </w:p>
        </w:tc>
      </w:tr>
      <w:tr>
        <w:tc>
          <w:tcPr>
            <w:tcW w:type="dxa" w:w="620"/>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17</w:t>
            </w:r>
          </w:p>
        </w:tc>
        <w:tc>
          <w:tcPr>
            <w:tcW w:type="dxa" w:w="830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Bolan RK, Beymer MR, Weiss RE, Flynn RP, Leibowitz AA, Klausner JD. Doxycycline prophylaxis to reduce incident syphilis among HIV-infected men who have sex with men who continue to engage in high-risk sex: a randomized, controlled pilot study. Sex Transm Dis. 2015;42(2):98-103.</w:t>
            </w:r>
          </w:p>
        </w:tc>
        <w:tc>
          <w:tcPr>
            <w:tcW w:type="dxa" w:w="4760"/>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PMID 25585069</w:t>
            </w:r>
          </w:p>
        </w:tc>
      </w:tr>
      <w:tr>
        <w:tc>
          <w:tcPr>
            <w:tcW w:type="dxa" w:w="620"/>
            <w:shd w:fill="F4F6F8" w:color="auto" w:val="clear"/>
            <w:tcMar>
              <w:top w:type="dxa" w:w="60"/>
              <w:left w:type="dxa" w:w="90"/>
              <w:bottom w:type="dxa" w:w="60"/>
              <w:right w:type="dxa" w:w="90"/>
            </w:tcMar>
            <w:vAlign w:val="top"/>
          </w:tcPr>
          <w:p>
            <w:pPr>
              <w:spacing w:after="0"/>
              <w:jc w:val="center"/>
            </w:pPr>
            <w:r>
              <w:rPr>
                <w:rFonts w:ascii="Calibri" w:cs="Calibri" w:eastAsia="Calibri" w:hAnsi="Calibri"/>
                <w:b/>
                <w:bCs/>
                <w:i w:val="false"/>
                <w:iCs w:val="false"/>
                <w:sz w:val="15"/>
                <w:szCs w:val="15"/>
              </w:rPr>
              <w:t xml:space="preserve">18</w:t>
            </w:r>
          </w:p>
        </w:tc>
        <w:tc>
          <w:tcPr>
            <w:tcW w:type="dxa" w:w="830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Federal Register. Guidelines for the use of doxycycline post-exposure prophylaxis for bacterial STI prevention; request for comment. 2 Oct 2023.</w:t>
            </w:r>
          </w:p>
        </w:tc>
        <w:tc>
          <w:tcPr>
            <w:tcW w:type="dxa" w:w="4760"/>
            <w:shd w:fill="F4F6F8" w:color="auto" w:val="clear"/>
            <w:tcMar>
              <w:top w:type="dxa" w:w="60"/>
              <w:left w:type="dxa" w:w="90"/>
              <w:bottom w:type="dxa" w:w="60"/>
              <w:right w:type="dxa" w:w="90"/>
            </w:tcMar>
            <w:vAlign w:val="top"/>
          </w:tcPr>
          <w:p>
            <w:pPr>
              <w:spacing w:after="0"/>
              <w:jc w:val="left"/>
            </w:pPr>
            <w:r>
              <w:rPr>
                <w:rFonts w:ascii="Calibri" w:cs="Calibri" w:eastAsia="Calibri" w:hAnsi="Calibri"/>
                <w:b w:val="false"/>
                <w:bCs w:val="false"/>
                <w:i w:val="false"/>
                <w:iCs w:val="false"/>
                <w:sz w:val="15"/>
                <w:szCs w:val="15"/>
              </w:rPr>
              <w:t xml:space="preserve">federalregister.gov</w:t>
            </w:r>
          </w:p>
        </w:tc>
      </w:tr>
    </w:tbl>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27D9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2026-07-29T21:45:39.242Z</dcterms:created>
  <dcterms:modified xsi:type="dcterms:W3CDTF">2026-07-29T21:45:39.268Z</dcterms:modified>
</cp:coreProperties>
</file>

<file path=docProps/custom.xml><?xml version="1.0" encoding="utf-8"?>
<Properties xmlns="http://schemas.openxmlformats.org/officeDocument/2006/custom-properties" xmlns:vt="http://schemas.openxmlformats.org/officeDocument/2006/docPropsVTypes"/>
</file>