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2FA90" w14:textId="77777777" w:rsidR="00BC2050" w:rsidRDefault="00BC2050" w:rsidP="005D737A">
      <w:pPr>
        <w:rPr>
          <w:shd w:val="clear" w:color="auto" w:fill="FFFFFF"/>
        </w:rPr>
      </w:pPr>
    </w:p>
    <w:p w14:paraId="16042DF4" w14:textId="084F13B0" w:rsidR="00BC2050" w:rsidRDefault="00BC2050" w:rsidP="00B44696">
      <w:pPr>
        <w:pStyle w:val="Heading1"/>
        <w:rPr>
          <w:shd w:val="clear" w:color="auto" w:fill="FFFFFF"/>
        </w:rPr>
      </w:pPr>
      <w:r>
        <w:rPr>
          <w:shd w:val="clear" w:color="auto" w:fill="FFFFFF"/>
        </w:rPr>
        <w:t xml:space="preserve">Potential data inconsistency: Seattle versus King County? </w:t>
      </w:r>
    </w:p>
    <w:p w14:paraId="5A15D17B" w14:textId="27CDFCFC" w:rsidR="00B44696" w:rsidRDefault="00B44696" w:rsidP="00B44696">
      <w:r>
        <w:t>@</w:t>
      </w:r>
      <w:proofErr w:type="gramStart"/>
      <w:r>
        <w:t>Zoe :</w:t>
      </w:r>
      <w:proofErr w:type="gramEnd"/>
      <w:r>
        <w:t xml:space="preserve"> why numbers are larger?</w:t>
      </w:r>
    </w:p>
    <w:p w14:paraId="522FCAB6" w14:textId="77777777" w:rsidR="00B44696" w:rsidRPr="00B44696" w:rsidRDefault="00B44696" w:rsidP="00B44696"/>
    <w:p w14:paraId="40AE759E" w14:textId="77777777" w:rsidR="00BC2050" w:rsidRDefault="00BC2050" w:rsidP="005D737A">
      <w:pPr>
        <w:rPr>
          <w:shd w:val="clear" w:color="auto" w:fill="FFFFFF"/>
        </w:rPr>
      </w:pPr>
    </w:p>
    <w:p w14:paraId="4477D58E" w14:textId="3645A3E2" w:rsidR="00BC2050" w:rsidRDefault="00BC2050" w:rsidP="00B44696">
      <w:pPr>
        <w:pStyle w:val="Heading1"/>
        <w:rPr>
          <w:shd w:val="clear" w:color="auto" w:fill="FFFFFF"/>
        </w:rPr>
      </w:pPr>
      <w:r>
        <w:rPr>
          <w:shd w:val="clear" w:color="auto" w:fill="FFFFFF"/>
        </w:rPr>
        <w:t>Issue with fitting HIV testing data by MSM</w:t>
      </w:r>
      <w:r w:rsidR="00B44696">
        <w:rPr>
          <w:shd w:val="clear" w:color="auto" w:fill="FFFFFF"/>
        </w:rPr>
        <w:t xml:space="preserve"> in Stage2</w:t>
      </w:r>
      <w:r>
        <w:rPr>
          <w:shd w:val="clear" w:color="auto" w:fill="FFFFFF"/>
        </w:rPr>
        <w:t>: we separated the likelihood and increase the weight</w:t>
      </w:r>
    </w:p>
    <w:p w14:paraId="16285035" w14:textId="03C9CF43" w:rsidR="00BC2050" w:rsidRPr="00B44696" w:rsidRDefault="00BC2050" w:rsidP="00BC2050">
      <w:pPr>
        <w:pStyle w:val="ListParagraph"/>
        <w:numPr>
          <w:ilvl w:val="0"/>
          <w:numId w:val="12"/>
        </w:numPr>
        <w:rPr>
          <w:highlight w:val="yellow"/>
          <w:shd w:val="clear" w:color="auto" w:fill="FFFFFF"/>
        </w:rPr>
      </w:pPr>
      <w:r w:rsidRPr="00B44696">
        <w:rPr>
          <w:highlight w:val="yellow"/>
          <w:shd w:val="clear" w:color="auto" w:fill="FFFFFF"/>
        </w:rPr>
        <w:t xml:space="preserve">Need to revise the internal mechanism for high risk MSM </w:t>
      </w:r>
    </w:p>
    <w:p w14:paraId="04DE3FE3" w14:textId="77777777" w:rsidR="00BC2050" w:rsidRDefault="00BC2050" w:rsidP="005D737A">
      <w:pPr>
        <w:rPr>
          <w:shd w:val="clear" w:color="auto" w:fill="FFFFFF"/>
        </w:rPr>
      </w:pPr>
    </w:p>
    <w:p w14:paraId="50B513F9" w14:textId="77777777" w:rsidR="00BC2050" w:rsidRDefault="00BC2050" w:rsidP="005D737A">
      <w:pPr>
        <w:rPr>
          <w:shd w:val="clear" w:color="auto" w:fill="FFFFFF"/>
        </w:rPr>
      </w:pPr>
    </w:p>
    <w:p w14:paraId="4D150216" w14:textId="77777777" w:rsidR="00B44696" w:rsidRDefault="00B44696" w:rsidP="00B44696">
      <w:pPr>
        <w:pStyle w:val="Heading1"/>
        <w:rPr>
          <w:shd w:val="clear" w:color="auto" w:fill="FFFFFF"/>
        </w:rPr>
      </w:pPr>
      <w:r>
        <w:rPr>
          <w:shd w:val="clear" w:color="auto" w:fill="FFFFFF"/>
        </w:rPr>
        <w:t xml:space="preserve">King County Data (Menza 2026): </w:t>
      </w:r>
    </w:p>
    <w:p w14:paraId="7D169A27" w14:textId="4DCD03BB" w:rsidR="005D737A" w:rsidRDefault="00B44696" w:rsidP="005D737A">
      <w:pPr>
        <w:rPr>
          <w:shd w:val="clear" w:color="auto" w:fill="FFFFFF"/>
        </w:rPr>
      </w:pPr>
      <w:r w:rsidRPr="00B44696">
        <w:rPr>
          <w:shd w:val="clear" w:color="auto" w:fill="FFFFFF"/>
        </w:rPr>
        <w:t>https://academic.oup.com/cid/advance-article/doi/10.1093/cid/ciag209/8541760</w:t>
      </w:r>
    </w:p>
    <w:p w14:paraId="32B77CCA" w14:textId="18B61F1B" w:rsidR="005D737A" w:rsidRPr="005D737A" w:rsidRDefault="005D737A" w:rsidP="005D737A">
      <w:pPr>
        <w:pStyle w:val="ListParagraph"/>
        <w:numPr>
          <w:ilvl w:val="0"/>
          <w:numId w:val="10"/>
        </w:numPr>
        <w:rPr>
          <w:shd w:val="clear" w:color="auto" w:fill="FFFFFF"/>
        </w:rPr>
      </w:pPr>
      <w:r w:rsidRPr="005D737A">
        <w:rPr>
          <w:shd w:val="clear" w:color="auto" w:fill="FFFFFF"/>
        </w:rPr>
        <w:t>The PHSKC SHC was a site of the DOXYPEP trial [</w:t>
      </w:r>
      <w:r>
        <w:t>2</w:t>
      </w:r>
      <w:r w:rsidRPr="005D737A">
        <w:rPr>
          <w:shd w:val="clear" w:color="auto" w:fill="FFFFFF"/>
        </w:rPr>
        <w:t>]. When trial enrollment was halted in May 2022, we offered all current trial participants doxy-PEP as part of the open-label extension phase</w:t>
      </w:r>
      <w:r>
        <w:rPr>
          <w:shd w:val="clear" w:color="auto" w:fill="FFFFFF"/>
        </w:rPr>
        <w:t xml:space="preserve"> &gt;&gt; </w:t>
      </w:r>
      <w:r w:rsidRPr="005D737A">
        <w:rPr>
          <w:i/>
          <w:iCs/>
          <w:color w:val="215E99" w:themeColor="text2" w:themeTint="BF"/>
          <w:shd w:val="clear" w:color="auto" w:fill="FFFFFF"/>
        </w:rPr>
        <w:t>Doxy PEP uptake starting in May 2022</w:t>
      </w:r>
    </w:p>
    <w:p w14:paraId="6CFE9D9F" w14:textId="4432C943" w:rsidR="005D737A" w:rsidRPr="005D737A" w:rsidRDefault="005D737A" w:rsidP="005D737A">
      <w:pPr>
        <w:pStyle w:val="ListParagraph"/>
        <w:numPr>
          <w:ilvl w:val="0"/>
          <w:numId w:val="10"/>
        </w:numPr>
        <w:rPr>
          <w:shd w:val="clear" w:color="auto" w:fill="FFFFFF"/>
        </w:rPr>
      </w:pPr>
      <w:r w:rsidRPr="005D737A">
        <w:rPr>
          <w:shd w:val="clear" w:color="auto" w:fill="FFFFFF"/>
        </w:rPr>
        <w:t>By March 2023, we began offering doxy-PEP prescriptions to patients who did not participate in the trial and tracking doxy-PEP use.</w:t>
      </w:r>
      <w:r>
        <w:rPr>
          <w:shd w:val="clear" w:color="auto" w:fill="FFFFFF"/>
        </w:rPr>
        <w:t xml:space="preserve"> </w:t>
      </w:r>
      <w:r w:rsidRPr="005D737A">
        <w:rPr>
          <w:color w:val="215E99" w:themeColor="text2" w:themeTint="BF"/>
          <w:shd w:val="clear" w:color="auto" w:fill="FFFFFF"/>
        </w:rPr>
        <w:t>&gt;&gt; scale up</w:t>
      </w:r>
    </w:p>
    <w:p w14:paraId="7680F340" w14:textId="19B43449" w:rsidR="005D737A" w:rsidRPr="005D737A" w:rsidRDefault="005D737A" w:rsidP="005D737A">
      <w:pPr>
        <w:pStyle w:val="ListParagraph"/>
        <w:numPr>
          <w:ilvl w:val="0"/>
          <w:numId w:val="10"/>
        </w:numPr>
        <w:rPr>
          <w:shd w:val="clear" w:color="auto" w:fill="FFFFFF"/>
        </w:rPr>
      </w:pPr>
      <w:r w:rsidRPr="005D737A">
        <w:rPr>
          <w:shd w:val="clear" w:color="auto" w:fill="FFFFFF"/>
        </w:rPr>
        <w:t>From May 2023 to June 2024, the proportion of MSM and transgender and nonbinary (TNB) people attending the Public Health—Seattle &amp; King County (PHSKC) Sexual Health Clinic (SHC) who reported doxy-PEP use in the prior month increased from 12% to 45%</w:t>
      </w:r>
    </w:p>
    <w:p w14:paraId="671A4B1A" w14:textId="76C001E1" w:rsidR="005D737A" w:rsidRPr="005D737A" w:rsidRDefault="005D737A" w:rsidP="005D737A">
      <w:pPr>
        <w:pStyle w:val="ListParagraph"/>
        <w:numPr>
          <w:ilvl w:val="0"/>
          <w:numId w:val="10"/>
        </w:numPr>
        <w:rPr>
          <w:shd w:val="clear" w:color="auto" w:fill="FFFFFF"/>
        </w:rPr>
      </w:pPr>
      <w:r w:rsidRPr="005D737A">
        <w:rPr>
          <w:shd w:val="clear" w:color="auto" w:fill="FFFFFF"/>
        </w:rPr>
        <w:t>In community surveys conducted at summer Pride events in 2023 and 2024 [</w:t>
      </w:r>
      <w:r>
        <w:t>9</w:t>
      </w:r>
      <w:r w:rsidRPr="005D737A">
        <w:rPr>
          <w:shd w:val="clear" w:color="auto" w:fill="FFFFFF"/>
        </w:rPr>
        <w:t>], self-reported doxy-PEP use in the prior month increased from 15% to 31% among MSM and from 18% to 33% among TWSM [</w:t>
      </w:r>
      <w:r>
        <w:t>10</w:t>
      </w:r>
      <w:r w:rsidRPr="005D737A">
        <w:rPr>
          <w:shd w:val="clear" w:color="auto" w:fill="FFFFFF"/>
        </w:rPr>
        <w:t>].</w:t>
      </w:r>
    </w:p>
    <w:p w14:paraId="23F9F418" w14:textId="77777777" w:rsidR="005D737A" w:rsidRDefault="005D737A" w:rsidP="005D737A">
      <w:pPr>
        <w:rPr>
          <w:shd w:val="clear" w:color="auto" w:fill="FFFFFF"/>
        </w:rPr>
      </w:pPr>
    </w:p>
    <w:tbl>
      <w:tblPr>
        <w:tblStyle w:val="TableGrid"/>
        <w:tblW w:w="0" w:type="auto"/>
        <w:jc w:val="center"/>
        <w:tblLook w:val="04A0" w:firstRow="1" w:lastRow="0" w:firstColumn="1" w:lastColumn="0" w:noHBand="0" w:noVBand="1"/>
      </w:tblPr>
      <w:tblGrid>
        <w:gridCol w:w="2105"/>
        <w:gridCol w:w="2106"/>
        <w:gridCol w:w="2106"/>
      </w:tblGrid>
      <w:tr w:rsidR="005D737A" w:rsidRPr="00B44696" w14:paraId="43EF4D08" w14:textId="77777777" w:rsidTr="00B44696">
        <w:trPr>
          <w:trHeight w:val="287"/>
          <w:jc w:val="center"/>
        </w:trPr>
        <w:tc>
          <w:tcPr>
            <w:tcW w:w="2105" w:type="dxa"/>
          </w:tcPr>
          <w:p w14:paraId="24987E32" w14:textId="717C52C0" w:rsidR="005D737A" w:rsidRPr="00B44696" w:rsidRDefault="005D737A" w:rsidP="005D737A">
            <w:pPr>
              <w:rPr>
                <w:sz w:val="20"/>
                <w:szCs w:val="21"/>
                <w:shd w:val="clear" w:color="auto" w:fill="FFFFFF"/>
              </w:rPr>
            </w:pPr>
            <w:r w:rsidRPr="00B44696">
              <w:rPr>
                <w:sz w:val="20"/>
                <w:szCs w:val="21"/>
                <w:shd w:val="clear" w:color="auto" w:fill="FFFFFF"/>
              </w:rPr>
              <w:t>Aug 2020</w:t>
            </w:r>
          </w:p>
        </w:tc>
        <w:tc>
          <w:tcPr>
            <w:tcW w:w="2106" w:type="dxa"/>
          </w:tcPr>
          <w:p w14:paraId="092E1B02" w14:textId="22075257" w:rsidR="005D737A" w:rsidRPr="00B44696" w:rsidRDefault="005D737A" w:rsidP="005D737A">
            <w:pPr>
              <w:rPr>
                <w:sz w:val="20"/>
                <w:szCs w:val="21"/>
                <w:shd w:val="clear" w:color="auto" w:fill="FFFFFF"/>
              </w:rPr>
            </w:pPr>
            <w:r w:rsidRPr="00B44696">
              <w:rPr>
                <w:sz w:val="20"/>
                <w:szCs w:val="21"/>
                <w:shd w:val="clear" w:color="auto" w:fill="FFFFFF"/>
              </w:rPr>
              <w:t>0</w:t>
            </w:r>
          </w:p>
        </w:tc>
        <w:tc>
          <w:tcPr>
            <w:tcW w:w="2106" w:type="dxa"/>
          </w:tcPr>
          <w:p w14:paraId="48CEE335" w14:textId="7127234B" w:rsidR="005D737A" w:rsidRPr="00B44696" w:rsidRDefault="005D737A" w:rsidP="005D737A">
            <w:pPr>
              <w:rPr>
                <w:sz w:val="20"/>
                <w:szCs w:val="21"/>
                <w:shd w:val="clear" w:color="auto" w:fill="FFFFFF"/>
              </w:rPr>
            </w:pPr>
            <w:proofErr w:type="spellStart"/>
            <w:r w:rsidRPr="00B44696">
              <w:rPr>
                <w:sz w:val="20"/>
                <w:szCs w:val="21"/>
                <w:shd w:val="clear" w:color="auto" w:fill="FFFFFF"/>
              </w:rPr>
              <w:t>DoxyPEP</w:t>
            </w:r>
            <w:proofErr w:type="spellEnd"/>
            <w:r w:rsidRPr="00B44696">
              <w:rPr>
                <w:sz w:val="20"/>
                <w:szCs w:val="21"/>
                <w:shd w:val="clear" w:color="auto" w:fill="FFFFFF"/>
              </w:rPr>
              <w:t xml:space="preserve"> Trial began</w:t>
            </w:r>
          </w:p>
        </w:tc>
      </w:tr>
      <w:tr w:rsidR="005D737A" w:rsidRPr="00B44696" w14:paraId="30FBC051" w14:textId="77777777" w:rsidTr="00B44696">
        <w:trPr>
          <w:trHeight w:val="271"/>
          <w:jc w:val="center"/>
        </w:trPr>
        <w:tc>
          <w:tcPr>
            <w:tcW w:w="2105" w:type="dxa"/>
          </w:tcPr>
          <w:p w14:paraId="4E6B1182" w14:textId="2C645FD0" w:rsidR="005D737A" w:rsidRPr="00B44696" w:rsidRDefault="005D737A" w:rsidP="005D737A">
            <w:pPr>
              <w:rPr>
                <w:sz w:val="20"/>
                <w:szCs w:val="21"/>
                <w:shd w:val="clear" w:color="auto" w:fill="FFFFFF"/>
              </w:rPr>
            </w:pPr>
            <w:r w:rsidRPr="00B44696">
              <w:rPr>
                <w:sz w:val="20"/>
                <w:szCs w:val="21"/>
                <w:shd w:val="clear" w:color="auto" w:fill="FFFFFF"/>
              </w:rPr>
              <w:t>May 2022</w:t>
            </w:r>
          </w:p>
        </w:tc>
        <w:tc>
          <w:tcPr>
            <w:tcW w:w="2106" w:type="dxa"/>
          </w:tcPr>
          <w:p w14:paraId="7C8B8DC0" w14:textId="39E61161" w:rsidR="005D737A" w:rsidRPr="00B44696" w:rsidRDefault="005D737A" w:rsidP="005D737A">
            <w:pPr>
              <w:rPr>
                <w:sz w:val="20"/>
                <w:szCs w:val="21"/>
                <w:shd w:val="clear" w:color="auto" w:fill="FFFFFF"/>
              </w:rPr>
            </w:pPr>
          </w:p>
        </w:tc>
        <w:tc>
          <w:tcPr>
            <w:tcW w:w="2106" w:type="dxa"/>
          </w:tcPr>
          <w:p w14:paraId="10CA03AD" w14:textId="076BC766" w:rsidR="005D737A" w:rsidRPr="00B44696" w:rsidRDefault="005D737A" w:rsidP="005D737A">
            <w:pPr>
              <w:rPr>
                <w:sz w:val="20"/>
                <w:szCs w:val="21"/>
                <w:shd w:val="clear" w:color="auto" w:fill="FFFFFF"/>
              </w:rPr>
            </w:pPr>
            <w:r w:rsidRPr="00B44696">
              <w:rPr>
                <w:sz w:val="20"/>
                <w:szCs w:val="21"/>
                <w:shd w:val="clear" w:color="auto" w:fill="FFFFFF"/>
              </w:rPr>
              <w:t>Continuing the coverage for trials participants</w:t>
            </w:r>
          </w:p>
        </w:tc>
      </w:tr>
      <w:tr w:rsidR="005D737A" w:rsidRPr="00B44696" w14:paraId="5BDC52BD" w14:textId="77777777" w:rsidTr="00B44696">
        <w:trPr>
          <w:trHeight w:val="287"/>
          <w:jc w:val="center"/>
        </w:trPr>
        <w:tc>
          <w:tcPr>
            <w:tcW w:w="2105" w:type="dxa"/>
          </w:tcPr>
          <w:p w14:paraId="450DAD4E" w14:textId="69CF88B1" w:rsidR="005D737A" w:rsidRPr="00B44696" w:rsidRDefault="005D737A" w:rsidP="005D737A">
            <w:pPr>
              <w:rPr>
                <w:sz w:val="20"/>
                <w:szCs w:val="21"/>
                <w:shd w:val="clear" w:color="auto" w:fill="FFFFFF"/>
              </w:rPr>
            </w:pPr>
            <w:r w:rsidRPr="00B44696">
              <w:rPr>
                <w:sz w:val="20"/>
                <w:szCs w:val="21"/>
                <w:shd w:val="clear" w:color="auto" w:fill="FFFFFF"/>
              </w:rPr>
              <w:t>May 2023</w:t>
            </w:r>
          </w:p>
        </w:tc>
        <w:tc>
          <w:tcPr>
            <w:tcW w:w="2106" w:type="dxa"/>
          </w:tcPr>
          <w:p w14:paraId="38BE66EC" w14:textId="07A94A4E" w:rsidR="005D737A" w:rsidRPr="00B44696" w:rsidRDefault="005D737A" w:rsidP="005D737A">
            <w:pPr>
              <w:rPr>
                <w:sz w:val="20"/>
                <w:szCs w:val="21"/>
                <w:shd w:val="clear" w:color="auto" w:fill="FFFFFF"/>
              </w:rPr>
            </w:pPr>
            <w:r w:rsidRPr="00B44696">
              <w:rPr>
                <w:sz w:val="20"/>
                <w:szCs w:val="21"/>
                <w:shd w:val="clear" w:color="auto" w:fill="FFFFFF"/>
              </w:rPr>
              <w:t>12% - 15% (last month)</w:t>
            </w:r>
          </w:p>
        </w:tc>
        <w:tc>
          <w:tcPr>
            <w:tcW w:w="2106" w:type="dxa"/>
          </w:tcPr>
          <w:p w14:paraId="7B7F408D" w14:textId="77777777" w:rsidR="005D737A" w:rsidRPr="00B44696" w:rsidRDefault="005D737A" w:rsidP="005D737A">
            <w:pPr>
              <w:rPr>
                <w:sz w:val="20"/>
                <w:szCs w:val="21"/>
                <w:shd w:val="clear" w:color="auto" w:fill="FFFFFF"/>
              </w:rPr>
            </w:pPr>
          </w:p>
        </w:tc>
      </w:tr>
      <w:tr w:rsidR="005D737A" w:rsidRPr="00B44696" w14:paraId="56BA1F91" w14:textId="77777777" w:rsidTr="00B44696">
        <w:trPr>
          <w:trHeight w:val="271"/>
          <w:jc w:val="center"/>
        </w:trPr>
        <w:tc>
          <w:tcPr>
            <w:tcW w:w="2105" w:type="dxa"/>
          </w:tcPr>
          <w:p w14:paraId="2E5EFDB2" w14:textId="53C7AA43" w:rsidR="005D737A" w:rsidRPr="00B44696" w:rsidRDefault="005D737A" w:rsidP="005D737A">
            <w:pPr>
              <w:rPr>
                <w:sz w:val="20"/>
                <w:szCs w:val="21"/>
                <w:shd w:val="clear" w:color="auto" w:fill="FFFFFF"/>
              </w:rPr>
            </w:pPr>
            <w:r w:rsidRPr="00B44696">
              <w:rPr>
                <w:sz w:val="20"/>
                <w:szCs w:val="21"/>
                <w:shd w:val="clear" w:color="auto" w:fill="FFFFFF"/>
              </w:rPr>
              <w:t>June 2024</w:t>
            </w:r>
          </w:p>
        </w:tc>
        <w:tc>
          <w:tcPr>
            <w:tcW w:w="2106" w:type="dxa"/>
          </w:tcPr>
          <w:p w14:paraId="0D3751C3" w14:textId="7FC0B26F" w:rsidR="005D737A" w:rsidRPr="00B44696" w:rsidRDefault="005D737A" w:rsidP="005D737A">
            <w:pPr>
              <w:rPr>
                <w:sz w:val="20"/>
                <w:szCs w:val="21"/>
                <w:shd w:val="clear" w:color="auto" w:fill="FFFFFF"/>
              </w:rPr>
            </w:pPr>
            <w:r w:rsidRPr="00B44696">
              <w:rPr>
                <w:sz w:val="20"/>
                <w:szCs w:val="21"/>
                <w:shd w:val="clear" w:color="auto" w:fill="FFFFFF"/>
              </w:rPr>
              <w:t>30 - 45% (last month)</w:t>
            </w:r>
          </w:p>
        </w:tc>
        <w:tc>
          <w:tcPr>
            <w:tcW w:w="2106" w:type="dxa"/>
          </w:tcPr>
          <w:p w14:paraId="1E484CE1" w14:textId="77777777" w:rsidR="005D737A" w:rsidRPr="00B44696" w:rsidRDefault="005D737A" w:rsidP="005D737A">
            <w:pPr>
              <w:rPr>
                <w:sz w:val="20"/>
                <w:szCs w:val="21"/>
                <w:shd w:val="clear" w:color="auto" w:fill="FFFFFF"/>
              </w:rPr>
            </w:pPr>
          </w:p>
        </w:tc>
      </w:tr>
    </w:tbl>
    <w:p w14:paraId="342EA73C" w14:textId="77777777" w:rsidR="005D737A" w:rsidRDefault="005D737A" w:rsidP="005D737A">
      <w:pPr>
        <w:rPr>
          <w:shd w:val="clear" w:color="auto" w:fill="FFFFFF"/>
        </w:rPr>
      </w:pPr>
    </w:p>
    <w:p w14:paraId="31DA195A" w14:textId="0A60872E" w:rsidR="00A53A89" w:rsidRDefault="005D737A" w:rsidP="005D737A">
      <w:pPr>
        <w:rPr>
          <w:shd w:val="clear" w:color="auto" w:fill="FFFFFF"/>
        </w:rPr>
      </w:pPr>
      <w:r>
        <w:rPr>
          <w:shd w:val="clear" w:color="auto" w:fill="FFFFFF"/>
        </w:rPr>
        <w:t>We used King County, WA, syphilis surveillance data from January 2017 to June 2025 to assess the changes in monthly syphilis diagnoses (all stages) associated with the implementation of doxy-PEP.</w:t>
      </w:r>
    </w:p>
    <w:p w14:paraId="00881929" w14:textId="77777777" w:rsidR="0047666D" w:rsidRDefault="0047666D" w:rsidP="005D737A">
      <w:pPr>
        <w:rPr>
          <w:shd w:val="clear" w:color="auto" w:fill="FFFFFF"/>
        </w:rPr>
      </w:pPr>
    </w:p>
    <w:p w14:paraId="4081B998" w14:textId="3E04A17A" w:rsidR="00682142" w:rsidRDefault="00682142" w:rsidP="005D737A">
      <w:pPr>
        <w:rPr>
          <w:shd w:val="clear" w:color="auto" w:fill="FFFFFF"/>
        </w:rPr>
      </w:pPr>
      <w:r>
        <w:rPr>
          <w:shd w:val="clear" w:color="auto" w:fill="FFFFFF"/>
        </w:rPr>
        <w:t xml:space="preserve">Key results </w:t>
      </w:r>
    </w:p>
    <w:p w14:paraId="405C250D" w14:textId="73404FFC" w:rsidR="00682142" w:rsidRDefault="00682142" w:rsidP="00682142">
      <w:pPr>
        <w:rPr>
          <w:i/>
          <w:iCs/>
          <w:shd w:val="clear" w:color="auto" w:fill="FFFFFF"/>
        </w:rPr>
      </w:pPr>
      <w:r w:rsidRPr="00682142">
        <w:rPr>
          <w:i/>
          <w:iCs/>
          <w:shd w:val="clear" w:color="auto" w:fill="FFFFFF"/>
        </w:rPr>
        <w:t>Syphilis cases declined dramatically following the implementation of doxy-PEP in King County, WA. Compared to a counterfactual scenario without doxy-PEP implementation, there were 52.3% fewer syphilis cases. The relative difference in syphilis cases was greatest among cisgender men (53.1% fewer cases) but also affected cisgender women (46.9% fewer cases) and TNB people (33.1% fewer cases). </w:t>
      </w:r>
    </w:p>
    <w:p w14:paraId="6F93E787" w14:textId="7AFFF9E0" w:rsidR="00682142" w:rsidRDefault="00682142" w:rsidP="00682142">
      <w:pPr>
        <w:rPr>
          <w:shd w:val="clear" w:color="auto" w:fill="FFFFFF"/>
        </w:rPr>
      </w:pPr>
      <w:r w:rsidRPr="00682142">
        <w:rPr>
          <w:shd w:val="clear" w:color="auto" w:fill="FFFFFF"/>
        </w:rPr>
        <w:t> Despite these large differences in cases relative to doxy-PEP implementation, the number of pregnant women with syphilis and the number of cases of CS in King County continued to rise.</w:t>
      </w:r>
    </w:p>
    <w:p w14:paraId="4E321AF0" w14:textId="43652F79" w:rsidR="00EE3F18" w:rsidRDefault="00EE3F18">
      <w:pPr>
        <w:rPr>
          <w:rFonts w:eastAsiaTheme="majorEastAsia" w:cstheme="majorBidi"/>
          <w:b/>
          <w:color w:val="0F4761" w:themeColor="accent1" w:themeShade="BF"/>
          <w:sz w:val="24"/>
          <w:szCs w:val="32"/>
          <w:shd w:val="clear" w:color="auto" w:fill="FFFFFF"/>
        </w:rPr>
      </w:pPr>
      <w:r>
        <w:rPr>
          <w:shd w:val="clear" w:color="auto" w:fill="FFFFFF"/>
        </w:rPr>
        <w:br w:type="page"/>
      </w:r>
    </w:p>
    <w:p w14:paraId="365AC7A2" w14:textId="77777777" w:rsidR="00B62DAB" w:rsidRDefault="00EE3F18" w:rsidP="00EE3F18">
      <w:pPr>
        <w:pStyle w:val="Heading2"/>
        <w:numPr>
          <w:ilvl w:val="0"/>
          <w:numId w:val="0"/>
        </w:numPr>
        <w:ind w:left="576" w:hanging="576"/>
        <w:rPr>
          <w:shd w:val="clear" w:color="auto" w:fill="FFFFFF"/>
        </w:rPr>
      </w:pPr>
      <w:r>
        <w:rPr>
          <w:noProof/>
          <w:shd w:val="clear" w:color="auto" w:fill="FFFFFF"/>
          <w14:ligatures w14:val="standardContextual"/>
        </w:rPr>
        <w:lastRenderedPageBreak/>
        <w:drawing>
          <wp:inline distT="0" distB="0" distL="0" distR="0" wp14:anchorId="172D1F4E" wp14:editId="68F591BE">
            <wp:extent cx="4606119" cy="2915733"/>
            <wp:effectExtent l="0" t="0" r="4445" b="5715"/>
            <wp:docPr id="321474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47427" name="Picture 32147427"/>
                    <pic:cNvPicPr/>
                  </pic:nvPicPr>
                  <pic:blipFill>
                    <a:blip r:embed="rId6" cstate="print">
                      <a:extLst>
                        <a:ext uri="{28A0092B-C50C-407E-A947-70E740481C1C}">
                          <a14:useLocalDpi xmlns:a14="http://schemas.microsoft.com/office/drawing/2010/main" val="0"/>
                        </a:ext>
                      </a:extLst>
                    </a:blip>
                    <a:stretch>
                      <a:fillRect/>
                    </a:stretch>
                  </pic:blipFill>
                  <pic:spPr>
                    <a:xfrm>
                      <a:off x="0" y="0"/>
                      <a:ext cx="4682984" cy="2964389"/>
                    </a:xfrm>
                    <a:prstGeom prst="rect">
                      <a:avLst/>
                    </a:prstGeom>
                  </pic:spPr>
                </pic:pic>
              </a:graphicData>
            </a:graphic>
          </wp:inline>
        </w:drawing>
      </w:r>
    </w:p>
    <w:p w14:paraId="1BDB1937" w14:textId="185B7BE5" w:rsidR="00682142" w:rsidRDefault="00682142" w:rsidP="00EE3F18">
      <w:pPr>
        <w:pStyle w:val="Heading2"/>
        <w:numPr>
          <w:ilvl w:val="0"/>
          <w:numId w:val="0"/>
        </w:numPr>
        <w:ind w:left="576" w:hanging="576"/>
        <w:rPr>
          <w:shd w:val="clear" w:color="auto" w:fill="FFFFFF"/>
        </w:rPr>
      </w:pPr>
    </w:p>
    <w:p w14:paraId="2AEB0E32" w14:textId="2CE1D006" w:rsidR="00704BBB" w:rsidRDefault="00704BBB" w:rsidP="00704BBB"/>
    <w:p w14:paraId="779228CF" w14:textId="77777777" w:rsidR="00B62DAB" w:rsidRDefault="00EE3F18" w:rsidP="00B62DAB">
      <w:r>
        <w:t xml:space="preserve">Report a </w:t>
      </w:r>
      <w:proofErr w:type="gramStart"/>
      <w:r>
        <w:t>total cases</w:t>
      </w:r>
      <w:proofErr w:type="gramEnd"/>
      <w:r>
        <w:t xml:space="preserve"> in Seattle decreased between 2022 and 2023, but the cases in King County continue to climb</w:t>
      </w:r>
      <w:r w:rsidR="00B62DAB">
        <w:t xml:space="preserve">. </w:t>
      </w:r>
    </w:p>
    <w:p w14:paraId="253B2D7E" w14:textId="77777777" w:rsidR="00B62DAB" w:rsidRDefault="00B62DAB" w:rsidP="00B62DAB"/>
    <w:p w14:paraId="5D79EDA8" w14:textId="3D3494BF" w:rsidR="00EE3F18" w:rsidRDefault="00EE3F18" w:rsidP="00B62DAB">
      <w:r>
        <w:t>Since 2023, they are observing consistent decline in reported cases in each month</w:t>
      </w:r>
    </w:p>
    <w:p w14:paraId="7133C5A0" w14:textId="77777777" w:rsidR="00EE3F18" w:rsidRDefault="00EE3F18" w:rsidP="00EE3F18"/>
    <w:p w14:paraId="073FA3EC" w14:textId="28F0771E" w:rsidR="00EE3F18" w:rsidRDefault="003420A5" w:rsidP="00B44696">
      <w:r>
        <w:t xml:space="preserve">By sex: </w:t>
      </w:r>
      <w:r>
        <w:rPr>
          <w:noProof/>
          <w14:ligatures w14:val="standardContextual"/>
        </w:rPr>
        <w:drawing>
          <wp:inline distT="0" distB="0" distL="0" distR="0" wp14:anchorId="7EDE9EF1" wp14:editId="6637DCD3">
            <wp:extent cx="2841242" cy="1812506"/>
            <wp:effectExtent l="0" t="0" r="3810" b="3810"/>
            <wp:docPr id="823367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36753" name="Picture 82336753"/>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27678" cy="1867646"/>
                    </a:xfrm>
                    <a:prstGeom prst="rect">
                      <a:avLst/>
                    </a:prstGeom>
                  </pic:spPr>
                </pic:pic>
              </a:graphicData>
            </a:graphic>
          </wp:inline>
        </w:drawing>
      </w:r>
      <w:r w:rsidR="00EE3F18">
        <w:rPr>
          <w:noProof/>
          <w14:ligatures w14:val="standardContextual"/>
        </w:rPr>
        <w:drawing>
          <wp:inline distT="0" distB="0" distL="0" distR="0" wp14:anchorId="6CD98BAF" wp14:editId="7943D132">
            <wp:extent cx="2996916" cy="1896446"/>
            <wp:effectExtent l="0" t="0" r="635" b="0"/>
            <wp:docPr id="4813108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310891" name="Picture 48131089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28298" cy="1916305"/>
                    </a:xfrm>
                    <a:prstGeom prst="rect">
                      <a:avLst/>
                    </a:prstGeom>
                  </pic:spPr>
                </pic:pic>
              </a:graphicData>
            </a:graphic>
          </wp:inline>
        </w:drawing>
      </w:r>
    </w:p>
    <w:p w14:paraId="4A761D08" w14:textId="77777777" w:rsidR="00704BBB" w:rsidRDefault="00704BBB"/>
    <w:p w14:paraId="523A31AB" w14:textId="77777777" w:rsidR="00704BBB" w:rsidRDefault="00704BBB"/>
    <w:p w14:paraId="46D350F0" w14:textId="6A4D06E6" w:rsidR="00704BBB" w:rsidRDefault="00704BBB"/>
    <w:p w14:paraId="2C4F9D8B" w14:textId="77777777" w:rsidR="00704BBB" w:rsidRDefault="00704BBB"/>
    <w:p w14:paraId="2695DDF5" w14:textId="5AC351E1" w:rsidR="00704BBB" w:rsidRDefault="00704BBB">
      <w:r>
        <w:t xml:space="preserve">Again, the biggest difference is that although we project a decline in both group that is not too far from the data our future rate continues to climb </w:t>
      </w:r>
      <w:proofErr w:type="gramStart"/>
      <w:r>
        <w:t>two year</w:t>
      </w:r>
      <w:proofErr w:type="gramEnd"/>
      <w:r>
        <w:t xml:space="preserve"> 2025, and after that by their reported cases continued to decline</w:t>
      </w:r>
    </w:p>
    <w:p w14:paraId="2FA3806C" w14:textId="38A0F8F6" w:rsidR="00B44696" w:rsidRDefault="00EE3F18" w:rsidP="00B62DAB">
      <w:r>
        <w:br w:type="page"/>
      </w:r>
    </w:p>
    <w:p w14:paraId="462677AC" w14:textId="77777777" w:rsidR="00B62DAB" w:rsidRDefault="00B62DAB" w:rsidP="00B62DAB"/>
    <w:p w14:paraId="7703EFEA" w14:textId="77777777" w:rsidR="00B62DAB" w:rsidRDefault="00B62DAB" w:rsidP="00B62DAB">
      <w:pPr>
        <w:rPr>
          <w:rFonts w:eastAsiaTheme="majorEastAsia" w:cstheme="majorBidi"/>
          <w:b/>
          <w:color w:val="0F4761" w:themeColor="accent1" w:themeShade="BF"/>
          <w:sz w:val="24"/>
          <w:szCs w:val="32"/>
          <w:shd w:val="clear" w:color="auto" w:fill="FFFFFF"/>
        </w:rPr>
      </w:pPr>
    </w:p>
    <w:p w14:paraId="61782812" w14:textId="22C36280" w:rsidR="00B44696" w:rsidRDefault="00B44696" w:rsidP="00B44696">
      <w:pPr>
        <w:pStyle w:val="Heading1"/>
        <w:rPr>
          <w:shd w:val="clear" w:color="auto" w:fill="FFFFFF"/>
        </w:rPr>
      </w:pPr>
      <w:r>
        <w:rPr>
          <w:shd w:val="clear" w:color="auto" w:fill="FFFFFF"/>
        </w:rPr>
        <w:t>Potential Mechanisms driving the differences:</w:t>
      </w:r>
    </w:p>
    <w:p w14:paraId="479F0363" w14:textId="38E5BD59" w:rsidR="00B44696" w:rsidRDefault="00B44696" w:rsidP="00B44696">
      <w:pPr>
        <w:pStyle w:val="pk-heading2"/>
        <w:rPr>
          <w:shd w:val="clear" w:color="auto" w:fill="FFFFFF"/>
        </w:rPr>
      </w:pPr>
      <w:r>
        <w:rPr>
          <w:shd w:val="clear" w:color="auto" w:fill="FFFFFF"/>
        </w:rPr>
        <w:t xml:space="preserve">Underlying observed cases? Inconsistencies in Seattle? </w:t>
      </w:r>
    </w:p>
    <w:p w14:paraId="22E35BAF" w14:textId="77777777" w:rsidR="00B44696" w:rsidRDefault="00B44696" w:rsidP="00B44696">
      <w:pPr>
        <w:pStyle w:val="pk-heading2"/>
        <w:numPr>
          <w:ilvl w:val="0"/>
          <w:numId w:val="0"/>
        </w:numPr>
        <w:rPr>
          <w:shd w:val="clear" w:color="auto" w:fill="FFFFFF"/>
        </w:rPr>
      </w:pPr>
    </w:p>
    <w:p w14:paraId="46910700" w14:textId="67BC8DF6" w:rsidR="0047666D" w:rsidRDefault="0047666D" w:rsidP="00B44696">
      <w:pPr>
        <w:pStyle w:val="pk-heading2"/>
        <w:rPr>
          <w:shd w:val="clear" w:color="auto" w:fill="FFFFFF"/>
        </w:rPr>
      </w:pPr>
      <w:r>
        <w:rPr>
          <w:shd w:val="clear" w:color="auto" w:fill="FFFFFF"/>
        </w:rPr>
        <w:t xml:space="preserve">MSM proportion of male diagnosis: </w:t>
      </w:r>
    </w:p>
    <w:p w14:paraId="55754211" w14:textId="464F4F3D" w:rsidR="0047666D" w:rsidRDefault="0047666D" w:rsidP="0047666D">
      <w:pPr>
        <w:rPr>
          <w:i/>
          <w:iCs/>
          <w:shd w:val="clear" w:color="auto" w:fill="FFFFFF"/>
        </w:rPr>
      </w:pPr>
      <w:r>
        <w:rPr>
          <w:i/>
          <w:iCs/>
          <w:shd w:val="clear" w:color="auto" w:fill="FFFFFF"/>
        </w:rPr>
        <w:t>“</w:t>
      </w:r>
      <w:r w:rsidRPr="0047666D">
        <w:rPr>
          <w:i/>
          <w:iCs/>
          <w:shd w:val="clear" w:color="auto" w:fill="FFFFFF"/>
        </w:rPr>
        <w:t>Across the study period, MSM comprised 69% of all syphilis cases among men (84% in 2017–2020 and 56% in 2021–2025).</w:t>
      </w:r>
      <w:r>
        <w:rPr>
          <w:i/>
          <w:iCs/>
          <w:shd w:val="clear" w:color="auto" w:fill="FFFFFF"/>
        </w:rPr>
        <w:t xml:space="preserve">” </w:t>
      </w:r>
    </w:p>
    <w:p w14:paraId="7A6BA4B3" w14:textId="77777777" w:rsidR="00682142" w:rsidRDefault="00682142" w:rsidP="0047666D">
      <w:pPr>
        <w:rPr>
          <w:shd w:val="clear" w:color="auto" w:fill="FFFFFF"/>
        </w:rPr>
      </w:pPr>
    </w:p>
    <w:p w14:paraId="5A640406" w14:textId="27942C13" w:rsidR="00682142" w:rsidRPr="00682142" w:rsidRDefault="00682142" w:rsidP="0047666D">
      <w:pPr>
        <w:rPr>
          <w:shd w:val="clear" w:color="auto" w:fill="FFFFFF"/>
        </w:rPr>
      </w:pPr>
      <w:r w:rsidRPr="00682142">
        <w:rPr>
          <w:shd w:val="clear" w:color="auto" w:fill="FFFFFF"/>
        </w:rPr>
        <w:t>SHIELD:</w:t>
      </w:r>
    </w:p>
    <w:p w14:paraId="595F5E38" w14:textId="3CE5D33E" w:rsidR="00682142" w:rsidRPr="00682142" w:rsidRDefault="00682142" w:rsidP="0047666D">
      <w:pPr>
        <w:rPr>
          <w:shd w:val="clear" w:color="auto" w:fill="FFFFFF"/>
        </w:rPr>
      </w:pPr>
      <w:proofErr w:type="gramStart"/>
      <w:r w:rsidRPr="00682142">
        <w:rPr>
          <w:shd w:val="clear" w:color="auto" w:fill="FFFFFF"/>
        </w:rPr>
        <w:t>2017 :</w:t>
      </w:r>
      <w:proofErr w:type="gramEnd"/>
      <w:r w:rsidRPr="00682142">
        <w:rPr>
          <w:shd w:val="clear" w:color="auto" w:fill="FFFFFF"/>
        </w:rPr>
        <w:t xml:space="preserve"> 82% -&gt; 2020: 69%</w:t>
      </w:r>
    </w:p>
    <w:p w14:paraId="2264A6BD" w14:textId="462C5644" w:rsidR="00682142" w:rsidRPr="00682142" w:rsidRDefault="00682142" w:rsidP="0047666D">
      <w:pPr>
        <w:rPr>
          <w:shd w:val="clear" w:color="auto" w:fill="FFFFFF"/>
        </w:rPr>
      </w:pPr>
      <w:r w:rsidRPr="00682142">
        <w:rPr>
          <w:shd w:val="clear" w:color="auto" w:fill="FFFFFF"/>
        </w:rPr>
        <w:t>2021: 64% -&gt; 2025: 44%</w:t>
      </w:r>
    </w:p>
    <w:p w14:paraId="2779D37A" w14:textId="77777777" w:rsidR="007D66D8" w:rsidRDefault="007D66D8" w:rsidP="005D737A">
      <w:pPr>
        <w:rPr>
          <w:shd w:val="clear" w:color="auto" w:fill="FFFFFF"/>
        </w:rPr>
      </w:pPr>
    </w:p>
    <w:p w14:paraId="514998B4" w14:textId="2BCC50B1" w:rsidR="00682142" w:rsidRDefault="00682142" w:rsidP="005D737A">
      <w:pPr>
        <w:rPr>
          <w:shd w:val="clear" w:color="auto" w:fill="FFFFFF"/>
        </w:rPr>
      </w:pPr>
      <w:proofErr w:type="gramStart"/>
      <w:r>
        <w:rPr>
          <w:shd w:val="clear" w:color="auto" w:fill="FFFFFF"/>
        </w:rPr>
        <w:t>Close proximity</w:t>
      </w:r>
      <w:proofErr w:type="gramEnd"/>
      <w:r>
        <w:rPr>
          <w:shd w:val="clear" w:color="auto" w:fill="FFFFFF"/>
        </w:rPr>
        <w:t>, they are both projecting a reduction in share of MSM among male diagnosis</w:t>
      </w:r>
    </w:p>
    <w:p w14:paraId="11B1A967" w14:textId="77777777" w:rsidR="00B44696" w:rsidRDefault="00B44696">
      <w:pPr>
        <w:rPr>
          <w:shd w:val="clear" w:color="auto" w:fill="FFFFFF"/>
        </w:rPr>
      </w:pPr>
    </w:p>
    <w:p w14:paraId="7308132B" w14:textId="77777777" w:rsidR="007D66D8" w:rsidRDefault="007D66D8" w:rsidP="005D737A">
      <w:pPr>
        <w:rPr>
          <w:shd w:val="clear" w:color="auto" w:fill="FFFFFF"/>
        </w:rPr>
      </w:pPr>
    </w:p>
    <w:p w14:paraId="1C0C0BD9" w14:textId="7786A91B" w:rsidR="0047666D" w:rsidRPr="0047666D" w:rsidRDefault="0047666D" w:rsidP="00B44696">
      <w:pPr>
        <w:pStyle w:val="pk-heading2"/>
        <w:rPr>
          <w:shd w:val="clear" w:color="auto" w:fill="FFFFFF"/>
        </w:rPr>
      </w:pPr>
      <w:r w:rsidRPr="0047666D">
        <w:rPr>
          <w:shd w:val="clear" w:color="auto" w:fill="FFFFFF"/>
        </w:rPr>
        <w:t xml:space="preserve">overlap between MSM and </w:t>
      </w:r>
      <w:r w:rsidR="00B44696" w:rsidRPr="0047666D">
        <w:rPr>
          <w:shd w:val="clear" w:color="auto" w:fill="FFFFFF"/>
        </w:rPr>
        <w:t>heterosexual</w:t>
      </w:r>
      <w:r w:rsidRPr="0047666D">
        <w:rPr>
          <w:shd w:val="clear" w:color="auto" w:fill="FFFFFF"/>
        </w:rPr>
        <w:t xml:space="preserve"> network? </w:t>
      </w:r>
    </w:p>
    <w:p w14:paraId="4D1EE120" w14:textId="77777777" w:rsidR="007D66D8" w:rsidRDefault="007D66D8" w:rsidP="005D737A">
      <w:pPr>
        <w:rPr>
          <w:shd w:val="clear" w:color="auto" w:fill="FFFFFF"/>
        </w:rPr>
      </w:pPr>
    </w:p>
    <w:p w14:paraId="45D7729F" w14:textId="2398AA9D" w:rsidR="007D66D8" w:rsidRDefault="007D66D8" w:rsidP="005D737A">
      <w:pPr>
        <w:rPr>
          <w:shd w:val="clear" w:color="auto" w:fill="FFFFFF"/>
        </w:rPr>
      </w:pPr>
      <w:r>
        <w:rPr>
          <w:shd w:val="clear" w:color="auto" w:fill="FFFFFF"/>
        </w:rPr>
        <w:t xml:space="preserve">NHBS data on prop of </w:t>
      </w:r>
      <w:proofErr w:type="spellStart"/>
      <w:r>
        <w:rPr>
          <w:shd w:val="clear" w:color="auto" w:fill="FFFFFF"/>
        </w:rPr>
        <w:t>msm</w:t>
      </w:r>
      <w:proofErr w:type="spellEnd"/>
      <w:r>
        <w:rPr>
          <w:shd w:val="clear" w:color="auto" w:fill="FFFFFF"/>
        </w:rPr>
        <w:t xml:space="preserve"> partnership with females:</w:t>
      </w:r>
    </w:p>
    <w:tbl>
      <w:tblPr>
        <w:tblW w:w="5200" w:type="dxa"/>
        <w:tblLook w:val="04A0" w:firstRow="1" w:lastRow="0" w:firstColumn="1" w:lastColumn="0" w:noHBand="0" w:noVBand="1"/>
      </w:tblPr>
      <w:tblGrid>
        <w:gridCol w:w="1300"/>
        <w:gridCol w:w="1300"/>
        <w:gridCol w:w="1300"/>
        <w:gridCol w:w="1300"/>
      </w:tblGrid>
      <w:tr w:rsidR="007D66D8" w:rsidRPr="007D66D8" w14:paraId="4E5337D1" w14:textId="77777777" w:rsidTr="007D66D8">
        <w:trPr>
          <w:trHeight w:val="300"/>
        </w:trPr>
        <w:tc>
          <w:tcPr>
            <w:tcW w:w="1300" w:type="dxa"/>
            <w:tcBorders>
              <w:top w:val="single" w:sz="4" w:space="0" w:color="auto"/>
              <w:left w:val="single" w:sz="4" w:space="0" w:color="auto"/>
              <w:bottom w:val="nil"/>
              <w:right w:val="nil"/>
            </w:tcBorders>
            <w:shd w:val="clear" w:color="000000" w:fill="D8E4BC"/>
            <w:noWrap/>
            <w:vAlign w:val="bottom"/>
            <w:hideMark/>
          </w:tcPr>
          <w:p w14:paraId="674040A6" w14:textId="77777777" w:rsidR="007D66D8" w:rsidRPr="007D66D8" w:rsidRDefault="007D66D8" w:rsidP="007D66D8">
            <w:pPr>
              <w:rPr>
                <w:rFonts w:ascii="Calibri" w:hAnsi="Calibri" w:cs="Calibri"/>
                <w:color w:val="000000"/>
                <w:szCs w:val="22"/>
              </w:rPr>
            </w:pPr>
            <w:r w:rsidRPr="007D66D8">
              <w:rPr>
                <w:rFonts w:ascii="Calibri" w:hAnsi="Calibri" w:cs="Calibri"/>
                <w:color w:val="000000"/>
                <w:szCs w:val="22"/>
              </w:rPr>
              <w:t> </w:t>
            </w:r>
          </w:p>
        </w:tc>
        <w:tc>
          <w:tcPr>
            <w:tcW w:w="1300" w:type="dxa"/>
            <w:tcBorders>
              <w:top w:val="single" w:sz="4" w:space="0" w:color="auto"/>
              <w:left w:val="nil"/>
              <w:bottom w:val="nil"/>
              <w:right w:val="nil"/>
            </w:tcBorders>
            <w:shd w:val="clear" w:color="000000" w:fill="D8E4BC"/>
            <w:noWrap/>
            <w:vAlign w:val="bottom"/>
            <w:hideMark/>
          </w:tcPr>
          <w:p w14:paraId="26FD1259" w14:textId="77777777" w:rsidR="007D66D8" w:rsidRPr="007D66D8" w:rsidRDefault="007D66D8" w:rsidP="007D66D8">
            <w:pPr>
              <w:rPr>
                <w:rFonts w:ascii="Calibri" w:hAnsi="Calibri" w:cs="Calibri"/>
                <w:color w:val="000000"/>
                <w:szCs w:val="22"/>
              </w:rPr>
            </w:pPr>
            <w:r w:rsidRPr="007D66D8">
              <w:rPr>
                <w:rFonts w:ascii="Calibri" w:hAnsi="Calibri" w:cs="Calibri"/>
                <w:color w:val="000000"/>
                <w:szCs w:val="22"/>
              </w:rPr>
              <w:t>#</w:t>
            </w:r>
            <w:proofErr w:type="gramStart"/>
            <w:r w:rsidRPr="007D66D8">
              <w:rPr>
                <w:rFonts w:ascii="Calibri" w:hAnsi="Calibri" w:cs="Calibri"/>
                <w:color w:val="000000"/>
                <w:szCs w:val="22"/>
              </w:rPr>
              <w:t>have</w:t>
            </w:r>
            <w:proofErr w:type="gramEnd"/>
            <w:r w:rsidRPr="007D66D8">
              <w:rPr>
                <w:rFonts w:ascii="Calibri" w:hAnsi="Calibri" w:cs="Calibri"/>
                <w:color w:val="000000"/>
                <w:szCs w:val="22"/>
              </w:rPr>
              <w:t xml:space="preserve"> female partner</w:t>
            </w:r>
          </w:p>
        </w:tc>
        <w:tc>
          <w:tcPr>
            <w:tcW w:w="1300" w:type="dxa"/>
            <w:tcBorders>
              <w:top w:val="single" w:sz="4" w:space="0" w:color="auto"/>
              <w:left w:val="nil"/>
              <w:bottom w:val="nil"/>
              <w:right w:val="nil"/>
            </w:tcBorders>
            <w:shd w:val="clear" w:color="000000" w:fill="D8E4BC"/>
            <w:noWrap/>
            <w:vAlign w:val="bottom"/>
            <w:hideMark/>
          </w:tcPr>
          <w:p w14:paraId="55B5A557" w14:textId="77777777" w:rsidR="007D66D8" w:rsidRPr="007D66D8" w:rsidRDefault="007D66D8" w:rsidP="007D66D8">
            <w:pPr>
              <w:rPr>
                <w:rFonts w:ascii="Calibri" w:hAnsi="Calibri" w:cs="Calibri"/>
                <w:color w:val="000000"/>
                <w:szCs w:val="22"/>
              </w:rPr>
            </w:pPr>
            <w:r w:rsidRPr="007D66D8">
              <w:rPr>
                <w:rFonts w:ascii="Calibri" w:hAnsi="Calibri" w:cs="Calibri"/>
                <w:color w:val="000000"/>
                <w:szCs w:val="22"/>
              </w:rPr>
              <w:t>Total MSM</w:t>
            </w:r>
          </w:p>
        </w:tc>
        <w:tc>
          <w:tcPr>
            <w:tcW w:w="1300" w:type="dxa"/>
            <w:tcBorders>
              <w:top w:val="single" w:sz="4" w:space="0" w:color="auto"/>
              <w:left w:val="nil"/>
              <w:bottom w:val="nil"/>
              <w:right w:val="single" w:sz="4" w:space="0" w:color="auto"/>
            </w:tcBorders>
            <w:shd w:val="clear" w:color="000000" w:fill="D8E4BC"/>
            <w:noWrap/>
            <w:vAlign w:val="bottom"/>
            <w:hideMark/>
          </w:tcPr>
          <w:p w14:paraId="3494DF9C" w14:textId="77777777" w:rsidR="007D66D8" w:rsidRPr="007D66D8" w:rsidRDefault="007D66D8" w:rsidP="007D66D8">
            <w:pPr>
              <w:rPr>
                <w:rFonts w:ascii="Calibri" w:hAnsi="Calibri" w:cs="Calibri"/>
                <w:color w:val="000000"/>
                <w:szCs w:val="22"/>
              </w:rPr>
            </w:pPr>
            <w:r w:rsidRPr="007D66D8">
              <w:rPr>
                <w:rFonts w:ascii="Calibri" w:hAnsi="Calibri" w:cs="Calibri"/>
                <w:color w:val="000000"/>
                <w:szCs w:val="22"/>
              </w:rPr>
              <w:t>%</w:t>
            </w:r>
            <w:proofErr w:type="spellStart"/>
            <w:r w:rsidRPr="007D66D8">
              <w:rPr>
                <w:rFonts w:ascii="Calibri" w:hAnsi="Calibri" w:cs="Calibri"/>
                <w:color w:val="000000"/>
                <w:szCs w:val="22"/>
              </w:rPr>
              <w:t>msm</w:t>
            </w:r>
            <w:proofErr w:type="spellEnd"/>
            <w:r w:rsidRPr="007D66D8">
              <w:rPr>
                <w:rFonts w:ascii="Calibri" w:hAnsi="Calibri" w:cs="Calibri"/>
                <w:color w:val="000000"/>
                <w:szCs w:val="22"/>
              </w:rPr>
              <w:t xml:space="preserve"> with female partner</w:t>
            </w:r>
          </w:p>
        </w:tc>
      </w:tr>
      <w:tr w:rsidR="007D66D8" w:rsidRPr="007D66D8" w14:paraId="154649DC" w14:textId="77777777" w:rsidTr="007D66D8">
        <w:trPr>
          <w:trHeight w:val="300"/>
        </w:trPr>
        <w:tc>
          <w:tcPr>
            <w:tcW w:w="1300" w:type="dxa"/>
            <w:tcBorders>
              <w:top w:val="nil"/>
              <w:left w:val="single" w:sz="4" w:space="0" w:color="auto"/>
              <w:bottom w:val="nil"/>
              <w:right w:val="nil"/>
            </w:tcBorders>
            <w:shd w:val="clear" w:color="000000" w:fill="D8E4BC"/>
            <w:hideMark/>
          </w:tcPr>
          <w:p w14:paraId="69912617" w14:textId="77777777" w:rsidR="007D66D8" w:rsidRPr="007D66D8" w:rsidRDefault="007D66D8" w:rsidP="007D66D8">
            <w:pPr>
              <w:jc w:val="right"/>
              <w:rPr>
                <w:rFonts w:ascii="Arial" w:hAnsi="Arial" w:cs="Arial"/>
                <w:sz w:val="20"/>
                <w:szCs w:val="20"/>
              </w:rPr>
            </w:pPr>
            <w:r w:rsidRPr="007D66D8">
              <w:rPr>
                <w:rFonts w:ascii="Arial" w:hAnsi="Arial" w:cs="Arial"/>
                <w:sz w:val="20"/>
                <w:szCs w:val="20"/>
              </w:rPr>
              <w:t>2008</w:t>
            </w:r>
          </w:p>
        </w:tc>
        <w:tc>
          <w:tcPr>
            <w:tcW w:w="1300" w:type="dxa"/>
            <w:tcBorders>
              <w:top w:val="nil"/>
              <w:left w:val="nil"/>
              <w:bottom w:val="nil"/>
              <w:right w:val="nil"/>
            </w:tcBorders>
            <w:shd w:val="clear" w:color="000000" w:fill="D8E4BC"/>
            <w:hideMark/>
          </w:tcPr>
          <w:p w14:paraId="006F200B" w14:textId="77777777" w:rsidR="007D66D8" w:rsidRPr="007D66D8" w:rsidRDefault="007D66D8" w:rsidP="007D66D8">
            <w:pPr>
              <w:jc w:val="center"/>
              <w:rPr>
                <w:rFonts w:ascii="Arial" w:hAnsi="Arial" w:cs="Arial"/>
                <w:sz w:val="20"/>
                <w:szCs w:val="20"/>
              </w:rPr>
            </w:pPr>
            <w:r w:rsidRPr="007D66D8">
              <w:rPr>
                <w:rFonts w:ascii="Arial" w:hAnsi="Arial" w:cs="Arial"/>
                <w:sz w:val="20"/>
                <w:szCs w:val="20"/>
              </w:rPr>
              <w:t>1067</w:t>
            </w:r>
          </w:p>
        </w:tc>
        <w:tc>
          <w:tcPr>
            <w:tcW w:w="1300" w:type="dxa"/>
            <w:tcBorders>
              <w:top w:val="nil"/>
              <w:left w:val="nil"/>
              <w:bottom w:val="nil"/>
              <w:right w:val="nil"/>
            </w:tcBorders>
            <w:shd w:val="clear" w:color="000000" w:fill="D8E4BC"/>
            <w:hideMark/>
          </w:tcPr>
          <w:p w14:paraId="422CF7C0" w14:textId="77777777" w:rsidR="007D66D8" w:rsidRPr="007D66D8" w:rsidRDefault="007D66D8" w:rsidP="007D66D8">
            <w:pPr>
              <w:jc w:val="center"/>
              <w:rPr>
                <w:rFonts w:ascii="Arial" w:hAnsi="Arial" w:cs="Arial"/>
                <w:sz w:val="20"/>
                <w:szCs w:val="20"/>
              </w:rPr>
            </w:pPr>
            <w:r w:rsidRPr="007D66D8">
              <w:rPr>
                <w:rFonts w:ascii="Arial" w:hAnsi="Arial" w:cs="Arial"/>
                <w:sz w:val="20"/>
                <w:szCs w:val="20"/>
              </w:rPr>
              <w:t>1109</w:t>
            </w:r>
          </w:p>
        </w:tc>
        <w:tc>
          <w:tcPr>
            <w:tcW w:w="1300" w:type="dxa"/>
            <w:tcBorders>
              <w:top w:val="nil"/>
              <w:left w:val="nil"/>
              <w:bottom w:val="nil"/>
              <w:right w:val="single" w:sz="4" w:space="0" w:color="auto"/>
            </w:tcBorders>
            <w:shd w:val="clear" w:color="000000" w:fill="D8E4BC"/>
            <w:noWrap/>
            <w:vAlign w:val="bottom"/>
            <w:hideMark/>
          </w:tcPr>
          <w:p w14:paraId="52294B9B" w14:textId="77777777" w:rsidR="007D66D8" w:rsidRPr="007D66D8" w:rsidRDefault="007D66D8" w:rsidP="007D66D8">
            <w:pPr>
              <w:jc w:val="right"/>
              <w:rPr>
                <w:rFonts w:ascii="Calibri" w:hAnsi="Calibri" w:cs="Calibri"/>
                <w:color w:val="000000"/>
                <w:szCs w:val="22"/>
              </w:rPr>
            </w:pPr>
            <w:r w:rsidRPr="007D66D8">
              <w:rPr>
                <w:rFonts w:ascii="Calibri" w:hAnsi="Calibri" w:cs="Calibri"/>
                <w:color w:val="000000"/>
                <w:szCs w:val="22"/>
              </w:rPr>
              <w:t>0.14</w:t>
            </w:r>
          </w:p>
        </w:tc>
      </w:tr>
      <w:tr w:rsidR="007D66D8" w:rsidRPr="007D66D8" w14:paraId="4CD26EC9" w14:textId="77777777" w:rsidTr="007D66D8">
        <w:trPr>
          <w:trHeight w:val="300"/>
        </w:trPr>
        <w:tc>
          <w:tcPr>
            <w:tcW w:w="1300" w:type="dxa"/>
            <w:tcBorders>
              <w:top w:val="nil"/>
              <w:left w:val="single" w:sz="4" w:space="0" w:color="auto"/>
              <w:bottom w:val="nil"/>
              <w:right w:val="nil"/>
            </w:tcBorders>
            <w:shd w:val="clear" w:color="000000" w:fill="D8E4BC"/>
            <w:hideMark/>
          </w:tcPr>
          <w:p w14:paraId="448C3A83" w14:textId="77777777" w:rsidR="007D66D8" w:rsidRPr="007D66D8" w:rsidRDefault="007D66D8" w:rsidP="007D66D8">
            <w:pPr>
              <w:jc w:val="right"/>
              <w:rPr>
                <w:rFonts w:ascii="Arial" w:hAnsi="Arial" w:cs="Arial"/>
                <w:sz w:val="20"/>
                <w:szCs w:val="20"/>
              </w:rPr>
            </w:pPr>
            <w:r w:rsidRPr="007D66D8">
              <w:rPr>
                <w:rFonts w:ascii="Arial" w:hAnsi="Arial" w:cs="Arial"/>
                <w:sz w:val="20"/>
                <w:szCs w:val="20"/>
              </w:rPr>
              <w:t>2011</w:t>
            </w:r>
          </w:p>
        </w:tc>
        <w:tc>
          <w:tcPr>
            <w:tcW w:w="1300" w:type="dxa"/>
            <w:tcBorders>
              <w:top w:val="nil"/>
              <w:left w:val="nil"/>
              <w:bottom w:val="nil"/>
              <w:right w:val="nil"/>
            </w:tcBorders>
            <w:shd w:val="clear" w:color="000000" w:fill="D8E4BC"/>
            <w:hideMark/>
          </w:tcPr>
          <w:p w14:paraId="52AD9944" w14:textId="77777777" w:rsidR="007D66D8" w:rsidRPr="007D66D8" w:rsidRDefault="007D66D8" w:rsidP="007D66D8">
            <w:pPr>
              <w:jc w:val="center"/>
              <w:rPr>
                <w:rFonts w:ascii="Arial" w:hAnsi="Arial" w:cs="Arial"/>
                <w:sz w:val="20"/>
                <w:szCs w:val="20"/>
              </w:rPr>
            </w:pPr>
            <w:r w:rsidRPr="007D66D8">
              <w:rPr>
                <w:rFonts w:ascii="Arial" w:hAnsi="Arial" w:cs="Arial"/>
                <w:sz w:val="20"/>
                <w:szCs w:val="20"/>
              </w:rPr>
              <w:t>943</w:t>
            </w:r>
          </w:p>
        </w:tc>
        <w:tc>
          <w:tcPr>
            <w:tcW w:w="1300" w:type="dxa"/>
            <w:tcBorders>
              <w:top w:val="nil"/>
              <w:left w:val="nil"/>
              <w:bottom w:val="nil"/>
              <w:right w:val="nil"/>
            </w:tcBorders>
            <w:shd w:val="clear" w:color="000000" w:fill="D8E4BC"/>
            <w:hideMark/>
          </w:tcPr>
          <w:p w14:paraId="68DDB232" w14:textId="77777777" w:rsidR="007D66D8" w:rsidRPr="007D66D8" w:rsidRDefault="007D66D8" w:rsidP="007D66D8">
            <w:pPr>
              <w:jc w:val="center"/>
              <w:rPr>
                <w:rFonts w:ascii="Arial" w:hAnsi="Arial" w:cs="Arial"/>
                <w:sz w:val="20"/>
                <w:szCs w:val="20"/>
              </w:rPr>
            </w:pPr>
            <w:r w:rsidRPr="007D66D8">
              <w:rPr>
                <w:rFonts w:ascii="Arial" w:hAnsi="Arial" w:cs="Arial"/>
                <w:sz w:val="20"/>
                <w:szCs w:val="20"/>
              </w:rPr>
              <w:t>8012</w:t>
            </w:r>
          </w:p>
        </w:tc>
        <w:tc>
          <w:tcPr>
            <w:tcW w:w="1300" w:type="dxa"/>
            <w:tcBorders>
              <w:top w:val="nil"/>
              <w:left w:val="nil"/>
              <w:bottom w:val="nil"/>
              <w:right w:val="single" w:sz="4" w:space="0" w:color="auto"/>
            </w:tcBorders>
            <w:shd w:val="clear" w:color="000000" w:fill="D8E4BC"/>
            <w:noWrap/>
            <w:vAlign w:val="bottom"/>
            <w:hideMark/>
          </w:tcPr>
          <w:p w14:paraId="1C0A28F8" w14:textId="77777777" w:rsidR="007D66D8" w:rsidRPr="007D66D8" w:rsidRDefault="007D66D8" w:rsidP="007D66D8">
            <w:pPr>
              <w:jc w:val="right"/>
              <w:rPr>
                <w:rFonts w:ascii="Calibri" w:hAnsi="Calibri" w:cs="Calibri"/>
                <w:color w:val="000000"/>
                <w:szCs w:val="22"/>
              </w:rPr>
            </w:pPr>
            <w:r w:rsidRPr="007D66D8">
              <w:rPr>
                <w:rFonts w:ascii="Calibri" w:hAnsi="Calibri" w:cs="Calibri"/>
                <w:color w:val="000000"/>
                <w:szCs w:val="22"/>
              </w:rPr>
              <w:t>0.12</w:t>
            </w:r>
          </w:p>
        </w:tc>
      </w:tr>
      <w:tr w:rsidR="007D66D8" w:rsidRPr="007D66D8" w14:paraId="63195AA9" w14:textId="77777777" w:rsidTr="007D66D8">
        <w:trPr>
          <w:trHeight w:val="300"/>
        </w:trPr>
        <w:tc>
          <w:tcPr>
            <w:tcW w:w="1300" w:type="dxa"/>
            <w:tcBorders>
              <w:top w:val="nil"/>
              <w:left w:val="single" w:sz="4" w:space="0" w:color="auto"/>
              <w:bottom w:val="nil"/>
              <w:right w:val="nil"/>
            </w:tcBorders>
            <w:shd w:val="clear" w:color="000000" w:fill="D8E4BC"/>
            <w:noWrap/>
            <w:vAlign w:val="bottom"/>
            <w:hideMark/>
          </w:tcPr>
          <w:p w14:paraId="3FF0F3CE" w14:textId="77777777" w:rsidR="007D66D8" w:rsidRPr="007D66D8" w:rsidRDefault="007D66D8" w:rsidP="007D66D8">
            <w:pPr>
              <w:jc w:val="right"/>
              <w:rPr>
                <w:rFonts w:ascii="Calibri" w:hAnsi="Calibri" w:cs="Calibri"/>
                <w:color w:val="000000"/>
                <w:szCs w:val="22"/>
              </w:rPr>
            </w:pPr>
            <w:r w:rsidRPr="007D66D8">
              <w:rPr>
                <w:rFonts w:ascii="Calibri" w:hAnsi="Calibri" w:cs="Calibri"/>
                <w:color w:val="000000"/>
                <w:szCs w:val="22"/>
              </w:rPr>
              <w:t>2013</w:t>
            </w:r>
          </w:p>
        </w:tc>
        <w:tc>
          <w:tcPr>
            <w:tcW w:w="1300" w:type="dxa"/>
            <w:tcBorders>
              <w:top w:val="nil"/>
              <w:left w:val="nil"/>
              <w:bottom w:val="nil"/>
              <w:right w:val="nil"/>
            </w:tcBorders>
            <w:shd w:val="clear" w:color="000000" w:fill="D8E4BC"/>
            <w:hideMark/>
          </w:tcPr>
          <w:p w14:paraId="19C5F710" w14:textId="77777777" w:rsidR="007D66D8" w:rsidRPr="007D66D8" w:rsidRDefault="007D66D8" w:rsidP="007D66D8">
            <w:pPr>
              <w:jc w:val="center"/>
              <w:rPr>
                <w:rFonts w:ascii="Arial" w:hAnsi="Arial" w:cs="Arial"/>
                <w:sz w:val="20"/>
                <w:szCs w:val="20"/>
              </w:rPr>
            </w:pPr>
            <w:r w:rsidRPr="007D66D8">
              <w:rPr>
                <w:rFonts w:ascii="Arial" w:hAnsi="Arial" w:cs="Arial"/>
                <w:sz w:val="20"/>
                <w:szCs w:val="20"/>
              </w:rPr>
              <w:t>1065</w:t>
            </w:r>
          </w:p>
        </w:tc>
        <w:tc>
          <w:tcPr>
            <w:tcW w:w="1300" w:type="dxa"/>
            <w:tcBorders>
              <w:top w:val="nil"/>
              <w:left w:val="nil"/>
              <w:bottom w:val="nil"/>
              <w:right w:val="nil"/>
            </w:tcBorders>
            <w:shd w:val="clear" w:color="000000" w:fill="D8E4BC"/>
            <w:hideMark/>
          </w:tcPr>
          <w:p w14:paraId="5AA3D064" w14:textId="77777777" w:rsidR="007D66D8" w:rsidRPr="007D66D8" w:rsidRDefault="007D66D8" w:rsidP="007D66D8">
            <w:pPr>
              <w:jc w:val="center"/>
              <w:rPr>
                <w:rFonts w:ascii="Arial" w:hAnsi="Arial" w:cs="Arial"/>
                <w:sz w:val="20"/>
                <w:szCs w:val="20"/>
              </w:rPr>
            </w:pPr>
            <w:r w:rsidRPr="007D66D8">
              <w:rPr>
                <w:rFonts w:ascii="Arial" w:hAnsi="Arial" w:cs="Arial"/>
                <w:sz w:val="20"/>
                <w:szCs w:val="20"/>
              </w:rPr>
              <w:t>9640</w:t>
            </w:r>
          </w:p>
        </w:tc>
        <w:tc>
          <w:tcPr>
            <w:tcW w:w="1300" w:type="dxa"/>
            <w:tcBorders>
              <w:top w:val="nil"/>
              <w:left w:val="nil"/>
              <w:bottom w:val="nil"/>
              <w:right w:val="single" w:sz="4" w:space="0" w:color="auto"/>
            </w:tcBorders>
            <w:shd w:val="clear" w:color="000000" w:fill="D8E4BC"/>
            <w:noWrap/>
            <w:vAlign w:val="bottom"/>
            <w:hideMark/>
          </w:tcPr>
          <w:p w14:paraId="597E7347" w14:textId="77777777" w:rsidR="007D66D8" w:rsidRPr="007D66D8" w:rsidRDefault="007D66D8" w:rsidP="007D66D8">
            <w:pPr>
              <w:jc w:val="right"/>
              <w:rPr>
                <w:rFonts w:ascii="Calibri" w:hAnsi="Calibri" w:cs="Calibri"/>
                <w:color w:val="000000"/>
                <w:szCs w:val="22"/>
              </w:rPr>
            </w:pPr>
            <w:r w:rsidRPr="007D66D8">
              <w:rPr>
                <w:rFonts w:ascii="Calibri" w:hAnsi="Calibri" w:cs="Calibri"/>
                <w:color w:val="000000"/>
                <w:szCs w:val="22"/>
              </w:rPr>
              <w:t>0.11</w:t>
            </w:r>
          </w:p>
        </w:tc>
      </w:tr>
      <w:tr w:rsidR="007D66D8" w:rsidRPr="007D66D8" w14:paraId="17B44D8D" w14:textId="77777777" w:rsidTr="007D66D8">
        <w:trPr>
          <w:trHeight w:val="300"/>
        </w:trPr>
        <w:tc>
          <w:tcPr>
            <w:tcW w:w="1300" w:type="dxa"/>
            <w:tcBorders>
              <w:top w:val="nil"/>
              <w:left w:val="single" w:sz="4" w:space="0" w:color="auto"/>
              <w:bottom w:val="nil"/>
              <w:right w:val="nil"/>
            </w:tcBorders>
            <w:shd w:val="clear" w:color="000000" w:fill="D8E4BC"/>
            <w:noWrap/>
            <w:vAlign w:val="bottom"/>
            <w:hideMark/>
          </w:tcPr>
          <w:p w14:paraId="5EB7E680" w14:textId="77777777" w:rsidR="007D66D8" w:rsidRPr="007D66D8" w:rsidRDefault="007D66D8" w:rsidP="007D66D8">
            <w:pPr>
              <w:jc w:val="right"/>
              <w:rPr>
                <w:rFonts w:ascii="Calibri" w:hAnsi="Calibri" w:cs="Calibri"/>
                <w:color w:val="000000"/>
                <w:szCs w:val="22"/>
              </w:rPr>
            </w:pPr>
            <w:r w:rsidRPr="007D66D8">
              <w:rPr>
                <w:rFonts w:ascii="Calibri" w:hAnsi="Calibri" w:cs="Calibri"/>
                <w:color w:val="000000"/>
                <w:szCs w:val="22"/>
              </w:rPr>
              <w:t>2017</w:t>
            </w:r>
          </w:p>
        </w:tc>
        <w:tc>
          <w:tcPr>
            <w:tcW w:w="1300" w:type="dxa"/>
            <w:tcBorders>
              <w:top w:val="nil"/>
              <w:left w:val="nil"/>
              <w:bottom w:val="nil"/>
              <w:right w:val="nil"/>
            </w:tcBorders>
            <w:shd w:val="clear" w:color="000000" w:fill="D8E4BC"/>
            <w:hideMark/>
          </w:tcPr>
          <w:p w14:paraId="5012A5EC" w14:textId="77777777" w:rsidR="007D66D8" w:rsidRPr="007D66D8" w:rsidRDefault="007D66D8" w:rsidP="007D66D8">
            <w:pPr>
              <w:jc w:val="center"/>
              <w:rPr>
                <w:rFonts w:ascii="Arial" w:hAnsi="Arial" w:cs="Arial"/>
                <w:sz w:val="20"/>
                <w:szCs w:val="20"/>
              </w:rPr>
            </w:pPr>
            <w:r w:rsidRPr="007D66D8">
              <w:rPr>
                <w:rFonts w:ascii="Arial" w:hAnsi="Arial" w:cs="Arial"/>
                <w:sz w:val="20"/>
                <w:szCs w:val="20"/>
              </w:rPr>
              <w:t>1186</w:t>
            </w:r>
          </w:p>
        </w:tc>
        <w:tc>
          <w:tcPr>
            <w:tcW w:w="1300" w:type="dxa"/>
            <w:tcBorders>
              <w:top w:val="nil"/>
              <w:left w:val="nil"/>
              <w:bottom w:val="nil"/>
              <w:right w:val="nil"/>
            </w:tcBorders>
            <w:shd w:val="clear" w:color="000000" w:fill="D8E4BC"/>
            <w:hideMark/>
          </w:tcPr>
          <w:p w14:paraId="76743E60" w14:textId="77777777" w:rsidR="007D66D8" w:rsidRPr="007D66D8" w:rsidRDefault="007D66D8" w:rsidP="007D66D8">
            <w:pPr>
              <w:jc w:val="center"/>
              <w:rPr>
                <w:rFonts w:ascii="Arial" w:hAnsi="Arial" w:cs="Arial"/>
                <w:sz w:val="20"/>
                <w:szCs w:val="20"/>
              </w:rPr>
            </w:pPr>
            <w:r w:rsidRPr="007D66D8">
              <w:rPr>
                <w:rFonts w:ascii="Arial" w:hAnsi="Arial" w:cs="Arial"/>
                <w:sz w:val="20"/>
                <w:szCs w:val="20"/>
              </w:rPr>
              <w:t>10104</w:t>
            </w:r>
          </w:p>
        </w:tc>
        <w:tc>
          <w:tcPr>
            <w:tcW w:w="1300" w:type="dxa"/>
            <w:tcBorders>
              <w:top w:val="nil"/>
              <w:left w:val="nil"/>
              <w:bottom w:val="nil"/>
              <w:right w:val="single" w:sz="4" w:space="0" w:color="auto"/>
            </w:tcBorders>
            <w:shd w:val="clear" w:color="000000" w:fill="D8E4BC"/>
            <w:noWrap/>
            <w:vAlign w:val="bottom"/>
            <w:hideMark/>
          </w:tcPr>
          <w:p w14:paraId="6489DB70" w14:textId="77777777" w:rsidR="007D66D8" w:rsidRPr="007D66D8" w:rsidRDefault="007D66D8" w:rsidP="007D66D8">
            <w:pPr>
              <w:jc w:val="right"/>
              <w:rPr>
                <w:rFonts w:ascii="Calibri" w:hAnsi="Calibri" w:cs="Calibri"/>
                <w:color w:val="000000"/>
                <w:szCs w:val="22"/>
              </w:rPr>
            </w:pPr>
            <w:r w:rsidRPr="007D66D8">
              <w:rPr>
                <w:rFonts w:ascii="Calibri" w:hAnsi="Calibri" w:cs="Calibri"/>
                <w:color w:val="000000"/>
                <w:szCs w:val="22"/>
              </w:rPr>
              <w:t>0.12</w:t>
            </w:r>
          </w:p>
        </w:tc>
      </w:tr>
      <w:tr w:rsidR="007D66D8" w:rsidRPr="007D66D8" w14:paraId="47FB1BE2" w14:textId="77777777" w:rsidTr="007D66D8">
        <w:trPr>
          <w:trHeight w:val="300"/>
        </w:trPr>
        <w:tc>
          <w:tcPr>
            <w:tcW w:w="1300" w:type="dxa"/>
            <w:tcBorders>
              <w:top w:val="nil"/>
              <w:left w:val="single" w:sz="4" w:space="0" w:color="auto"/>
              <w:bottom w:val="nil"/>
              <w:right w:val="nil"/>
            </w:tcBorders>
            <w:shd w:val="clear" w:color="000000" w:fill="D8E4BC"/>
            <w:noWrap/>
            <w:vAlign w:val="bottom"/>
            <w:hideMark/>
          </w:tcPr>
          <w:p w14:paraId="7B0FE958" w14:textId="77777777" w:rsidR="007D66D8" w:rsidRPr="007D66D8" w:rsidRDefault="007D66D8" w:rsidP="007D66D8">
            <w:pPr>
              <w:jc w:val="right"/>
              <w:rPr>
                <w:rFonts w:ascii="Calibri" w:hAnsi="Calibri" w:cs="Calibri"/>
                <w:color w:val="000000"/>
                <w:szCs w:val="22"/>
              </w:rPr>
            </w:pPr>
            <w:r w:rsidRPr="007D66D8">
              <w:rPr>
                <w:rFonts w:ascii="Calibri" w:hAnsi="Calibri" w:cs="Calibri"/>
                <w:color w:val="000000"/>
                <w:szCs w:val="22"/>
              </w:rPr>
              <w:t>2021</w:t>
            </w:r>
          </w:p>
        </w:tc>
        <w:tc>
          <w:tcPr>
            <w:tcW w:w="1300" w:type="dxa"/>
            <w:tcBorders>
              <w:top w:val="nil"/>
              <w:left w:val="nil"/>
              <w:bottom w:val="nil"/>
              <w:right w:val="nil"/>
            </w:tcBorders>
            <w:shd w:val="clear" w:color="000000" w:fill="D8E4BC"/>
            <w:hideMark/>
          </w:tcPr>
          <w:p w14:paraId="2C77CDFB" w14:textId="77777777" w:rsidR="007D66D8" w:rsidRPr="007D66D8" w:rsidRDefault="007D66D8" w:rsidP="007D66D8">
            <w:pPr>
              <w:jc w:val="center"/>
              <w:rPr>
                <w:rFonts w:ascii="Arial" w:hAnsi="Arial" w:cs="Arial"/>
                <w:sz w:val="20"/>
                <w:szCs w:val="20"/>
              </w:rPr>
            </w:pPr>
            <w:r w:rsidRPr="007D66D8">
              <w:rPr>
                <w:rFonts w:ascii="Arial" w:hAnsi="Arial" w:cs="Arial"/>
                <w:sz w:val="20"/>
                <w:szCs w:val="20"/>
              </w:rPr>
              <w:t>276</w:t>
            </w:r>
          </w:p>
        </w:tc>
        <w:tc>
          <w:tcPr>
            <w:tcW w:w="1300" w:type="dxa"/>
            <w:tcBorders>
              <w:top w:val="nil"/>
              <w:left w:val="nil"/>
              <w:bottom w:val="nil"/>
              <w:right w:val="nil"/>
            </w:tcBorders>
            <w:shd w:val="clear" w:color="000000" w:fill="D8E4BC"/>
            <w:hideMark/>
          </w:tcPr>
          <w:p w14:paraId="0B25D726" w14:textId="77777777" w:rsidR="007D66D8" w:rsidRPr="007D66D8" w:rsidRDefault="007D66D8" w:rsidP="007D66D8">
            <w:pPr>
              <w:jc w:val="center"/>
              <w:rPr>
                <w:rFonts w:ascii="Arial" w:hAnsi="Arial" w:cs="Arial"/>
                <w:sz w:val="20"/>
                <w:szCs w:val="20"/>
              </w:rPr>
            </w:pPr>
            <w:r w:rsidRPr="007D66D8">
              <w:rPr>
                <w:rFonts w:ascii="Arial" w:hAnsi="Arial" w:cs="Arial"/>
                <w:sz w:val="20"/>
                <w:szCs w:val="20"/>
              </w:rPr>
              <w:t>2241</w:t>
            </w:r>
          </w:p>
        </w:tc>
        <w:tc>
          <w:tcPr>
            <w:tcW w:w="1300" w:type="dxa"/>
            <w:tcBorders>
              <w:top w:val="nil"/>
              <w:left w:val="nil"/>
              <w:bottom w:val="nil"/>
              <w:right w:val="single" w:sz="4" w:space="0" w:color="auto"/>
            </w:tcBorders>
            <w:shd w:val="clear" w:color="000000" w:fill="D8E4BC"/>
            <w:noWrap/>
            <w:vAlign w:val="bottom"/>
            <w:hideMark/>
          </w:tcPr>
          <w:p w14:paraId="45BB92CA" w14:textId="77777777" w:rsidR="007D66D8" w:rsidRPr="007D66D8" w:rsidRDefault="007D66D8" w:rsidP="007D66D8">
            <w:pPr>
              <w:jc w:val="right"/>
              <w:rPr>
                <w:rFonts w:ascii="Calibri" w:hAnsi="Calibri" w:cs="Calibri"/>
                <w:color w:val="000000"/>
                <w:szCs w:val="22"/>
              </w:rPr>
            </w:pPr>
            <w:r w:rsidRPr="007D66D8">
              <w:rPr>
                <w:rFonts w:ascii="Calibri" w:hAnsi="Calibri" w:cs="Calibri"/>
                <w:color w:val="000000"/>
                <w:szCs w:val="22"/>
              </w:rPr>
              <w:t>0.12</w:t>
            </w:r>
          </w:p>
        </w:tc>
      </w:tr>
      <w:tr w:rsidR="007D66D8" w:rsidRPr="007D66D8" w14:paraId="19D0352C" w14:textId="77777777" w:rsidTr="007D66D8">
        <w:trPr>
          <w:trHeight w:val="300"/>
        </w:trPr>
        <w:tc>
          <w:tcPr>
            <w:tcW w:w="1300" w:type="dxa"/>
            <w:tcBorders>
              <w:top w:val="nil"/>
              <w:left w:val="single" w:sz="4" w:space="0" w:color="auto"/>
              <w:bottom w:val="nil"/>
              <w:right w:val="nil"/>
            </w:tcBorders>
            <w:shd w:val="clear" w:color="000000" w:fill="D8E4BC"/>
            <w:noWrap/>
            <w:vAlign w:val="bottom"/>
            <w:hideMark/>
          </w:tcPr>
          <w:p w14:paraId="07699867" w14:textId="77777777" w:rsidR="007D66D8" w:rsidRPr="007D66D8" w:rsidRDefault="007D66D8" w:rsidP="007D66D8">
            <w:pPr>
              <w:jc w:val="right"/>
              <w:rPr>
                <w:rFonts w:ascii="Calibri" w:hAnsi="Calibri" w:cs="Calibri"/>
                <w:color w:val="000000"/>
                <w:szCs w:val="22"/>
              </w:rPr>
            </w:pPr>
            <w:r w:rsidRPr="007D66D8">
              <w:rPr>
                <w:rFonts w:ascii="Calibri" w:hAnsi="Calibri" w:cs="Calibri"/>
                <w:color w:val="000000"/>
                <w:szCs w:val="22"/>
              </w:rPr>
              <w:t>2023</w:t>
            </w:r>
          </w:p>
        </w:tc>
        <w:tc>
          <w:tcPr>
            <w:tcW w:w="1300" w:type="dxa"/>
            <w:tcBorders>
              <w:top w:val="nil"/>
              <w:left w:val="nil"/>
              <w:bottom w:val="nil"/>
              <w:right w:val="nil"/>
            </w:tcBorders>
            <w:shd w:val="clear" w:color="000000" w:fill="D8E4BC"/>
            <w:hideMark/>
          </w:tcPr>
          <w:p w14:paraId="79085F16" w14:textId="77777777" w:rsidR="007D66D8" w:rsidRPr="007D66D8" w:rsidRDefault="007D66D8" w:rsidP="007D66D8">
            <w:pPr>
              <w:jc w:val="center"/>
              <w:rPr>
                <w:rFonts w:ascii="Arial" w:hAnsi="Arial" w:cs="Arial"/>
                <w:sz w:val="20"/>
                <w:szCs w:val="20"/>
              </w:rPr>
            </w:pPr>
            <w:r w:rsidRPr="007D66D8">
              <w:rPr>
                <w:rFonts w:ascii="Arial" w:hAnsi="Arial" w:cs="Arial"/>
                <w:sz w:val="20"/>
                <w:szCs w:val="20"/>
              </w:rPr>
              <w:t>788</w:t>
            </w:r>
          </w:p>
        </w:tc>
        <w:tc>
          <w:tcPr>
            <w:tcW w:w="1300" w:type="dxa"/>
            <w:tcBorders>
              <w:top w:val="nil"/>
              <w:left w:val="nil"/>
              <w:bottom w:val="nil"/>
              <w:right w:val="nil"/>
            </w:tcBorders>
            <w:shd w:val="clear" w:color="000000" w:fill="D8E4BC"/>
            <w:hideMark/>
          </w:tcPr>
          <w:p w14:paraId="5134CD9F" w14:textId="77777777" w:rsidR="007D66D8" w:rsidRPr="007D66D8" w:rsidRDefault="007D66D8" w:rsidP="007D66D8">
            <w:pPr>
              <w:jc w:val="center"/>
              <w:rPr>
                <w:rFonts w:ascii="Arial" w:hAnsi="Arial" w:cs="Arial"/>
                <w:sz w:val="20"/>
                <w:szCs w:val="20"/>
              </w:rPr>
            </w:pPr>
            <w:r w:rsidRPr="007D66D8">
              <w:rPr>
                <w:rFonts w:ascii="Arial" w:hAnsi="Arial" w:cs="Arial"/>
                <w:sz w:val="20"/>
                <w:szCs w:val="20"/>
              </w:rPr>
              <w:t>6007</w:t>
            </w:r>
          </w:p>
        </w:tc>
        <w:tc>
          <w:tcPr>
            <w:tcW w:w="1300" w:type="dxa"/>
            <w:tcBorders>
              <w:top w:val="nil"/>
              <w:left w:val="nil"/>
              <w:bottom w:val="nil"/>
              <w:right w:val="single" w:sz="4" w:space="0" w:color="auto"/>
            </w:tcBorders>
            <w:shd w:val="clear" w:color="000000" w:fill="D8E4BC"/>
            <w:noWrap/>
            <w:vAlign w:val="bottom"/>
            <w:hideMark/>
          </w:tcPr>
          <w:p w14:paraId="71C125B3" w14:textId="77777777" w:rsidR="007D66D8" w:rsidRPr="007D66D8" w:rsidRDefault="007D66D8" w:rsidP="007D66D8">
            <w:pPr>
              <w:jc w:val="right"/>
              <w:rPr>
                <w:rFonts w:ascii="Calibri" w:hAnsi="Calibri" w:cs="Calibri"/>
                <w:color w:val="000000"/>
                <w:szCs w:val="22"/>
              </w:rPr>
            </w:pPr>
            <w:r w:rsidRPr="007D66D8">
              <w:rPr>
                <w:rFonts w:ascii="Calibri" w:hAnsi="Calibri" w:cs="Calibri"/>
                <w:color w:val="000000"/>
                <w:szCs w:val="22"/>
              </w:rPr>
              <w:t>0.09</w:t>
            </w:r>
          </w:p>
        </w:tc>
      </w:tr>
      <w:tr w:rsidR="007D66D8" w:rsidRPr="007D66D8" w14:paraId="45579A2B" w14:textId="77777777" w:rsidTr="007D66D8">
        <w:trPr>
          <w:trHeight w:val="300"/>
        </w:trPr>
        <w:tc>
          <w:tcPr>
            <w:tcW w:w="1300" w:type="dxa"/>
            <w:tcBorders>
              <w:top w:val="nil"/>
              <w:left w:val="single" w:sz="4" w:space="0" w:color="auto"/>
              <w:bottom w:val="nil"/>
              <w:right w:val="nil"/>
            </w:tcBorders>
            <w:shd w:val="clear" w:color="000000" w:fill="D8E4BC"/>
            <w:noWrap/>
            <w:vAlign w:val="bottom"/>
            <w:hideMark/>
          </w:tcPr>
          <w:p w14:paraId="6394973F" w14:textId="77777777" w:rsidR="007D66D8" w:rsidRPr="007D66D8" w:rsidRDefault="007D66D8" w:rsidP="007D66D8">
            <w:pPr>
              <w:rPr>
                <w:rFonts w:ascii="Calibri" w:hAnsi="Calibri" w:cs="Calibri"/>
                <w:color w:val="000000"/>
                <w:szCs w:val="22"/>
              </w:rPr>
            </w:pPr>
            <w:r w:rsidRPr="007D66D8">
              <w:rPr>
                <w:rFonts w:ascii="Calibri" w:hAnsi="Calibri" w:cs="Calibri"/>
                <w:color w:val="000000"/>
                <w:szCs w:val="22"/>
              </w:rPr>
              <w:t> </w:t>
            </w:r>
          </w:p>
        </w:tc>
        <w:tc>
          <w:tcPr>
            <w:tcW w:w="1300" w:type="dxa"/>
            <w:tcBorders>
              <w:top w:val="nil"/>
              <w:left w:val="nil"/>
              <w:bottom w:val="nil"/>
              <w:right w:val="nil"/>
            </w:tcBorders>
            <w:shd w:val="clear" w:color="000000" w:fill="D8E4BC"/>
            <w:noWrap/>
            <w:vAlign w:val="bottom"/>
            <w:hideMark/>
          </w:tcPr>
          <w:p w14:paraId="567B49EA" w14:textId="77777777" w:rsidR="007D66D8" w:rsidRPr="007D66D8" w:rsidRDefault="007D66D8" w:rsidP="007D66D8">
            <w:pPr>
              <w:rPr>
                <w:rFonts w:ascii="Calibri" w:hAnsi="Calibri" w:cs="Calibri"/>
                <w:color w:val="000000"/>
                <w:szCs w:val="22"/>
              </w:rPr>
            </w:pPr>
            <w:r w:rsidRPr="007D66D8">
              <w:rPr>
                <w:rFonts w:ascii="Calibri" w:hAnsi="Calibri" w:cs="Calibri"/>
                <w:color w:val="000000"/>
                <w:szCs w:val="22"/>
              </w:rPr>
              <w:t> </w:t>
            </w:r>
          </w:p>
        </w:tc>
        <w:tc>
          <w:tcPr>
            <w:tcW w:w="1300" w:type="dxa"/>
            <w:tcBorders>
              <w:top w:val="nil"/>
              <w:left w:val="nil"/>
              <w:bottom w:val="nil"/>
              <w:right w:val="nil"/>
            </w:tcBorders>
            <w:shd w:val="clear" w:color="000000" w:fill="D8E4BC"/>
            <w:noWrap/>
            <w:vAlign w:val="bottom"/>
            <w:hideMark/>
          </w:tcPr>
          <w:p w14:paraId="52CF83C7" w14:textId="77777777" w:rsidR="007D66D8" w:rsidRPr="007D66D8" w:rsidRDefault="007D66D8" w:rsidP="007D66D8">
            <w:pPr>
              <w:rPr>
                <w:rFonts w:ascii="Calibri" w:hAnsi="Calibri" w:cs="Calibri"/>
                <w:color w:val="000000"/>
                <w:szCs w:val="22"/>
              </w:rPr>
            </w:pPr>
            <w:r w:rsidRPr="007D66D8">
              <w:rPr>
                <w:rFonts w:ascii="Calibri" w:hAnsi="Calibri" w:cs="Calibri"/>
                <w:color w:val="000000"/>
                <w:szCs w:val="22"/>
              </w:rPr>
              <w:t> </w:t>
            </w:r>
          </w:p>
        </w:tc>
        <w:tc>
          <w:tcPr>
            <w:tcW w:w="1300" w:type="dxa"/>
            <w:tcBorders>
              <w:top w:val="nil"/>
              <w:left w:val="nil"/>
              <w:bottom w:val="nil"/>
              <w:right w:val="single" w:sz="4" w:space="0" w:color="auto"/>
            </w:tcBorders>
            <w:shd w:val="clear" w:color="000000" w:fill="D8E4BC"/>
            <w:noWrap/>
            <w:vAlign w:val="bottom"/>
            <w:hideMark/>
          </w:tcPr>
          <w:p w14:paraId="7DFF471A" w14:textId="77777777" w:rsidR="007D66D8" w:rsidRPr="007D66D8" w:rsidRDefault="007D66D8" w:rsidP="007D66D8">
            <w:pPr>
              <w:rPr>
                <w:rFonts w:ascii="Calibri" w:hAnsi="Calibri" w:cs="Calibri"/>
                <w:color w:val="000000"/>
                <w:szCs w:val="22"/>
              </w:rPr>
            </w:pPr>
            <w:r w:rsidRPr="007D66D8">
              <w:rPr>
                <w:rFonts w:ascii="Calibri" w:hAnsi="Calibri" w:cs="Calibri"/>
                <w:color w:val="000000"/>
                <w:szCs w:val="22"/>
              </w:rPr>
              <w:t> </w:t>
            </w:r>
          </w:p>
        </w:tc>
      </w:tr>
      <w:tr w:rsidR="007D66D8" w:rsidRPr="007D66D8" w14:paraId="5AE2D61F" w14:textId="77777777" w:rsidTr="007D66D8">
        <w:trPr>
          <w:trHeight w:val="300"/>
        </w:trPr>
        <w:tc>
          <w:tcPr>
            <w:tcW w:w="1300" w:type="dxa"/>
            <w:tcBorders>
              <w:top w:val="nil"/>
              <w:left w:val="single" w:sz="4" w:space="0" w:color="auto"/>
              <w:bottom w:val="single" w:sz="4" w:space="0" w:color="auto"/>
              <w:right w:val="nil"/>
            </w:tcBorders>
            <w:shd w:val="clear" w:color="000000" w:fill="D8E4BC"/>
            <w:noWrap/>
            <w:vAlign w:val="bottom"/>
            <w:hideMark/>
          </w:tcPr>
          <w:p w14:paraId="4CC248D9" w14:textId="77777777" w:rsidR="007D66D8" w:rsidRPr="007D66D8" w:rsidRDefault="007D66D8" w:rsidP="007D66D8">
            <w:pPr>
              <w:rPr>
                <w:rFonts w:ascii="Calibri" w:hAnsi="Calibri" w:cs="Calibri"/>
                <w:color w:val="000000"/>
                <w:szCs w:val="22"/>
              </w:rPr>
            </w:pPr>
            <w:r w:rsidRPr="007D66D8">
              <w:rPr>
                <w:rFonts w:ascii="Calibri" w:hAnsi="Calibri" w:cs="Calibri"/>
                <w:color w:val="000000"/>
                <w:szCs w:val="22"/>
              </w:rPr>
              <w:t> </w:t>
            </w:r>
          </w:p>
        </w:tc>
        <w:tc>
          <w:tcPr>
            <w:tcW w:w="1300" w:type="dxa"/>
            <w:tcBorders>
              <w:top w:val="nil"/>
              <w:left w:val="nil"/>
              <w:bottom w:val="single" w:sz="4" w:space="0" w:color="auto"/>
              <w:right w:val="nil"/>
            </w:tcBorders>
            <w:shd w:val="clear" w:color="000000" w:fill="D8E4BC"/>
            <w:noWrap/>
            <w:vAlign w:val="bottom"/>
            <w:hideMark/>
          </w:tcPr>
          <w:p w14:paraId="547195E1" w14:textId="77777777" w:rsidR="007D66D8" w:rsidRPr="007D66D8" w:rsidRDefault="007D66D8" w:rsidP="007D66D8">
            <w:pPr>
              <w:rPr>
                <w:rFonts w:ascii="Calibri" w:hAnsi="Calibri" w:cs="Calibri"/>
                <w:color w:val="000000"/>
                <w:szCs w:val="22"/>
              </w:rPr>
            </w:pPr>
            <w:r w:rsidRPr="007D66D8">
              <w:rPr>
                <w:rFonts w:ascii="Calibri" w:hAnsi="Calibri" w:cs="Calibri"/>
                <w:color w:val="000000"/>
                <w:szCs w:val="22"/>
              </w:rPr>
              <w:t> </w:t>
            </w:r>
          </w:p>
        </w:tc>
        <w:tc>
          <w:tcPr>
            <w:tcW w:w="1300" w:type="dxa"/>
            <w:tcBorders>
              <w:top w:val="nil"/>
              <w:left w:val="nil"/>
              <w:bottom w:val="single" w:sz="4" w:space="0" w:color="auto"/>
              <w:right w:val="nil"/>
            </w:tcBorders>
            <w:shd w:val="clear" w:color="000000" w:fill="D8E4BC"/>
            <w:noWrap/>
            <w:vAlign w:val="bottom"/>
            <w:hideMark/>
          </w:tcPr>
          <w:p w14:paraId="248FCBE8" w14:textId="77777777" w:rsidR="007D66D8" w:rsidRPr="007D66D8" w:rsidRDefault="007D66D8" w:rsidP="007D66D8">
            <w:pPr>
              <w:rPr>
                <w:rFonts w:ascii="Calibri" w:hAnsi="Calibri" w:cs="Calibri"/>
                <w:color w:val="000000"/>
                <w:szCs w:val="22"/>
              </w:rPr>
            </w:pPr>
            <w:r w:rsidRPr="007D66D8">
              <w:rPr>
                <w:rFonts w:ascii="Calibri" w:hAnsi="Calibri" w:cs="Calibri"/>
                <w:color w:val="000000"/>
                <w:szCs w:val="22"/>
              </w:rPr>
              <w:t>Average</w:t>
            </w:r>
          </w:p>
        </w:tc>
        <w:tc>
          <w:tcPr>
            <w:tcW w:w="1300" w:type="dxa"/>
            <w:tcBorders>
              <w:top w:val="nil"/>
              <w:left w:val="nil"/>
              <w:bottom w:val="single" w:sz="4" w:space="0" w:color="auto"/>
              <w:right w:val="single" w:sz="4" w:space="0" w:color="auto"/>
            </w:tcBorders>
            <w:shd w:val="clear" w:color="000000" w:fill="D8E4BC"/>
            <w:noWrap/>
            <w:vAlign w:val="bottom"/>
            <w:hideMark/>
          </w:tcPr>
          <w:p w14:paraId="3B8E3DBA" w14:textId="77777777" w:rsidR="007D66D8" w:rsidRPr="007D66D8" w:rsidRDefault="007D66D8" w:rsidP="007D66D8">
            <w:pPr>
              <w:jc w:val="right"/>
              <w:rPr>
                <w:rFonts w:ascii="Calibri" w:hAnsi="Calibri" w:cs="Calibri"/>
                <w:color w:val="000000"/>
                <w:szCs w:val="22"/>
              </w:rPr>
            </w:pPr>
            <w:r w:rsidRPr="007D66D8">
              <w:rPr>
                <w:rFonts w:ascii="Calibri" w:hAnsi="Calibri" w:cs="Calibri"/>
                <w:color w:val="000000"/>
                <w:szCs w:val="22"/>
              </w:rPr>
              <w:t>0.12</w:t>
            </w:r>
          </w:p>
        </w:tc>
      </w:tr>
    </w:tbl>
    <w:p w14:paraId="576FF1D0" w14:textId="53C11335" w:rsidR="007D66D8" w:rsidRDefault="0047666D" w:rsidP="005D737A">
      <w:r>
        <w:t xml:space="preserve">Our model sets this to 12% as well. </w:t>
      </w:r>
    </w:p>
    <w:p w14:paraId="04281FD5" w14:textId="494C74E8" w:rsidR="0047666D" w:rsidRDefault="0047666D" w:rsidP="005D737A">
      <w:r>
        <w:t>3 reports include selected locations – the range of data is wide (2%-40%)</w:t>
      </w:r>
    </w:p>
    <w:p w14:paraId="1A628F92" w14:textId="77777777" w:rsidR="0047666D" w:rsidRDefault="0047666D" w:rsidP="005D737A"/>
    <w:p w14:paraId="295E98FA" w14:textId="77777777" w:rsidR="00682142" w:rsidRDefault="00682142" w:rsidP="005D737A"/>
    <w:p w14:paraId="2DC4CD54" w14:textId="11240DC3" w:rsidR="00682142" w:rsidRDefault="00682142" w:rsidP="005D737A">
      <w:r>
        <w:t xml:space="preserve">Other data (cited in </w:t>
      </w:r>
      <w:proofErr w:type="spellStart"/>
      <w:r>
        <w:t>seattle</w:t>
      </w:r>
      <w:proofErr w:type="spellEnd"/>
      <w:r>
        <w:t xml:space="preserve"> paper): </w:t>
      </w:r>
    </w:p>
    <w:p w14:paraId="15D75168" w14:textId="6D327D39" w:rsidR="004D6777" w:rsidRDefault="004D6777" w:rsidP="004D6777">
      <w:pPr>
        <w:pStyle w:val="ListParagraph"/>
        <w:numPr>
          <w:ilvl w:val="0"/>
          <w:numId w:val="11"/>
        </w:numPr>
      </w:pPr>
      <w:r w:rsidRPr="004D6777">
        <w:t>weighted mean prevalence of bisexual behavior across multiple studies review</w:t>
      </w:r>
      <w:r>
        <w:t>e</w:t>
      </w:r>
      <w:r w:rsidRPr="004D6777">
        <w:t>d</w:t>
      </w:r>
      <w:r>
        <w:t xml:space="preserve">= </w:t>
      </w:r>
      <w:r w:rsidRPr="00B44696">
        <w:rPr>
          <w:b/>
          <w:bCs/>
          <w:highlight w:val="yellow"/>
        </w:rPr>
        <w:t>0.33 (0.23-0.45)</w:t>
      </w:r>
      <w:r w:rsidRPr="004D6777">
        <w:rPr>
          <w:b/>
          <w:bCs/>
        </w:rPr>
        <w:t xml:space="preserve"> </w:t>
      </w:r>
      <w:r>
        <w:t xml:space="preserve">&gt;&gt;&gt; new </w:t>
      </w:r>
      <w:proofErr w:type="spellStart"/>
      <w:r>
        <w:t>drived</w:t>
      </w:r>
      <w:proofErr w:type="spellEnd"/>
      <w:r>
        <w:t xml:space="preserve"> estimate</w:t>
      </w:r>
      <w:r w:rsidRPr="004D6777">
        <w:rPr>
          <w:b/>
          <w:bCs/>
        </w:rPr>
        <w:t>= 0.23 [0.1, 0.48]</w:t>
      </w:r>
    </w:p>
    <w:p w14:paraId="30EC4241" w14:textId="2C29E7CD" w:rsidR="004D6777" w:rsidRDefault="004D6777" w:rsidP="004D6777">
      <w:pPr>
        <w:pStyle w:val="ListParagraph"/>
        <w:numPr>
          <w:ilvl w:val="0"/>
          <w:numId w:val="11"/>
        </w:numPr>
      </w:pPr>
      <w:hyperlink r:id="rId9" w:history="1">
        <w:r w:rsidRPr="004404E0">
          <w:rPr>
            <w:rStyle w:val="Hyperlink"/>
          </w:rPr>
          <w:t>https://pmc.ncbi.nlm.nih.gov/articles/PMC3907399/</w:t>
        </w:r>
      </w:hyperlink>
    </w:p>
    <w:p w14:paraId="04C6AEF5" w14:textId="77777777" w:rsidR="004D6777" w:rsidRDefault="004D6777" w:rsidP="004D6777"/>
    <w:p w14:paraId="2A923886" w14:textId="77777777" w:rsidR="004D6777" w:rsidRPr="004D6777" w:rsidRDefault="004D6777" w:rsidP="004D6777">
      <w:pPr>
        <w:pStyle w:val="ListParagraph"/>
        <w:numPr>
          <w:ilvl w:val="0"/>
          <w:numId w:val="11"/>
        </w:numPr>
      </w:pPr>
      <w:r>
        <w:t xml:space="preserve">Het women with HIV who have molecular link to MSM = </w:t>
      </w:r>
      <w:r w:rsidRPr="004D6777">
        <w:rPr>
          <w:b/>
          <w:bCs/>
        </w:rPr>
        <w:t>29%</w:t>
      </w:r>
      <w:r>
        <w:rPr>
          <w:b/>
          <w:bCs/>
        </w:rPr>
        <w:t xml:space="preserve"> </w:t>
      </w:r>
    </w:p>
    <w:p w14:paraId="572488F0" w14:textId="6DD8A080" w:rsidR="004D6777" w:rsidRDefault="004D6777" w:rsidP="004D6777">
      <w:pPr>
        <w:pStyle w:val="ListParagraph"/>
        <w:numPr>
          <w:ilvl w:val="0"/>
          <w:numId w:val="11"/>
        </w:numPr>
        <w:rPr>
          <w:i/>
          <w:iCs/>
        </w:rPr>
      </w:pPr>
      <w:r w:rsidRPr="004D6777">
        <w:rPr>
          <w:i/>
          <w:iCs/>
        </w:rPr>
        <w:t>(Of heterosexual women for whom we identified potential transmission partners, 29% were linked to MSM, 21% to heterosexual men, and 12% to persons who inject drugs.)</w:t>
      </w:r>
    </w:p>
    <w:p w14:paraId="1ABF8373" w14:textId="019297FA" w:rsidR="004D6777" w:rsidRDefault="004D6777" w:rsidP="004D6777">
      <w:pPr>
        <w:pStyle w:val="ListParagraph"/>
        <w:numPr>
          <w:ilvl w:val="0"/>
          <w:numId w:val="11"/>
        </w:numPr>
        <w:rPr>
          <w:i/>
          <w:iCs/>
        </w:rPr>
      </w:pPr>
      <w:r>
        <w:rPr>
          <w:i/>
          <w:iCs/>
        </w:rPr>
        <w:t xml:space="preserve">(among MSM </w:t>
      </w:r>
      <w:r w:rsidRPr="004D6777">
        <w:rPr>
          <w:i/>
          <w:iCs/>
        </w:rPr>
        <w:t>only 4% were linked to heterosexual women</w:t>
      </w:r>
      <w:r>
        <w:rPr>
          <w:i/>
          <w:iCs/>
        </w:rPr>
        <w:t>)</w:t>
      </w:r>
    </w:p>
    <w:p w14:paraId="0CEA68BE" w14:textId="274B422B" w:rsidR="004D6777" w:rsidRPr="004D6777" w:rsidRDefault="004D6777" w:rsidP="004D6777">
      <w:pPr>
        <w:pStyle w:val="ListParagraph"/>
        <w:numPr>
          <w:ilvl w:val="0"/>
          <w:numId w:val="11"/>
        </w:numPr>
      </w:pPr>
      <w:r>
        <w:t>o</w:t>
      </w:r>
      <w:r w:rsidRPr="004D6777">
        <w:t>ur data suggest that HIV infections among heterosexual women predominantly originate from MSM, followed by heterosexual men. Although few MSM were linked to women, suggesting that a minority of MSM are involved in transmission with heterosexual women, these transmissions represent a substantial proportion of HIV acquisitions by heterosexual women.</w:t>
      </w:r>
    </w:p>
    <w:p w14:paraId="72ABBBBC" w14:textId="23000FD2" w:rsidR="004D6777" w:rsidRDefault="004D6777" w:rsidP="004D6777">
      <w:pPr>
        <w:pStyle w:val="ListParagraph"/>
        <w:numPr>
          <w:ilvl w:val="0"/>
          <w:numId w:val="11"/>
        </w:numPr>
      </w:pPr>
      <w:hyperlink r:id="rId10" w:history="1">
        <w:r w:rsidRPr="004404E0">
          <w:rPr>
            <w:rStyle w:val="Hyperlink"/>
          </w:rPr>
          <w:t>https://pubmed.ncbi.nlm.nih.gov/26302431/</w:t>
        </w:r>
      </w:hyperlink>
    </w:p>
    <w:p w14:paraId="41649894" w14:textId="77777777" w:rsidR="004D6777" w:rsidRDefault="004D6777" w:rsidP="004D6777"/>
    <w:p w14:paraId="663BD3B4" w14:textId="77777777" w:rsidR="004D6777" w:rsidRDefault="004D6777" w:rsidP="004D6777"/>
    <w:p w14:paraId="4108FF4D" w14:textId="3820E12C" w:rsidR="004D6777" w:rsidRDefault="00B44696" w:rsidP="00B44696">
      <w:pPr>
        <w:pStyle w:val="pk-heading2"/>
      </w:pPr>
      <w:r>
        <w:t>U</w:t>
      </w:r>
      <w:r w:rsidR="004D6777">
        <w:t>nderlying reductions in transmission</w:t>
      </w:r>
      <w:r>
        <w:t xml:space="preserve"> (not related to doxy-pep)</w:t>
      </w:r>
      <w:r w:rsidR="004D6777">
        <w:t xml:space="preserve">? </w:t>
      </w:r>
    </w:p>
    <w:p w14:paraId="7F81802D" w14:textId="265D610C" w:rsidR="004D6777" w:rsidRDefault="004D6777" w:rsidP="00B44696">
      <w:pPr>
        <w:rPr>
          <w:i/>
          <w:iCs/>
          <w:shd w:val="clear" w:color="auto" w:fill="FFFFFF"/>
        </w:rPr>
      </w:pPr>
      <w:r w:rsidRPr="00B44696">
        <w:rPr>
          <w:i/>
          <w:iCs/>
          <w:shd w:val="clear" w:color="auto" w:fill="FFFFFF"/>
        </w:rPr>
        <w:t>The number of primary and secondary syphilis cases among both men and women in the United States declined from 2022 to 2024, and it may be that at least part of trend we observed is unrelated to doxy-PEP.</w:t>
      </w:r>
    </w:p>
    <w:p w14:paraId="4E12459D" w14:textId="77777777" w:rsidR="00B44696" w:rsidRDefault="00B44696" w:rsidP="00B44696">
      <w:pPr>
        <w:rPr>
          <w:i/>
          <w:iCs/>
          <w:shd w:val="clear" w:color="auto" w:fill="FFFFFF"/>
        </w:rPr>
      </w:pPr>
    </w:p>
    <w:p w14:paraId="232D81B2" w14:textId="5394195D" w:rsidR="00B44696" w:rsidRDefault="00B44696" w:rsidP="00B44696">
      <w:pPr>
        <w:pStyle w:val="pk-heading2"/>
        <w:rPr>
          <w:shd w:val="clear" w:color="auto" w:fill="FFFFFF"/>
        </w:rPr>
      </w:pPr>
      <w:r>
        <w:rPr>
          <w:shd w:val="clear" w:color="auto" w:fill="FFFFFF"/>
        </w:rPr>
        <w:t>Misalignment of the STI testing rates driving transmission up or down?</w:t>
      </w:r>
    </w:p>
    <w:p w14:paraId="1D282BC1" w14:textId="77777777" w:rsidR="00B44696" w:rsidRPr="00B44696" w:rsidRDefault="00B44696" w:rsidP="00B44696">
      <w:pPr>
        <w:rPr>
          <w:i/>
          <w:iCs/>
        </w:rPr>
      </w:pPr>
    </w:p>
    <w:sectPr w:rsidR="00B44696" w:rsidRPr="00B44696" w:rsidSect="00EE3F1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1002AFF" w:usb1="C0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31EBE"/>
    <w:multiLevelType w:val="hybridMultilevel"/>
    <w:tmpl w:val="48B6D6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A57A91"/>
    <w:multiLevelType w:val="multilevel"/>
    <w:tmpl w:val="01E2BD4E"/>
    <w:lvl w:ilvl="0">
      <w:start w:val="1"/>
      <w:numFmt w:val="decimal"/>
      <w:pStyle w:val="Heading1"/>
      <w:lvlText w:val="%1"/>
      <w:lvlJc w:val="left"/>
      <w:pPr>
        <w:ind w:left="0" w:firstLine="0"/>
      </w:pPr>
      <w:rPr>
        <w:rFonts w:hint="default"/>
      </w:rPr>
    </w:lvl>
    <w:lvl w:ilvl="1">
      <w:start w:val="1"/>
      <w:numFmt w:val="decimal"/>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2FB615DA"/>
    <w:multiLevelType w:val="hybridMultilevel"/>
    <w:tmpl w:val="E7D09C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7593838"/>
    <w:multiLevelType w:val="hybridMultilevel"/>
    <w:tmpl w:val="099E2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82A0F9F"/>
    <w:multiLevelType w:val="multilevel"/>
    <w:tmpl w:val="ED1C04D2"/>
    <w:lvl w:ilvl="0">
      <w:start w:val="1"/>
      <w:numFmt w:val="decimal"/>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65E96A7F"/>
    <w:multiLevelType w:val="hybridMultilevel"/>
    <w:tmpl w:val="3A202776"/>
    <w:lvl w:ilvl="0" w:tplc="0409000B">
      <w:start w:val="3"/>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B544A9C"/>
    <w:multiLevelType w:val="multilevel"/>
    <w:tmpl w:val="7840B5DC"/>
    <w:lvl w:ilvl="0">
      <w:start w:val="1"/>
      <w:numFmt w:val="decimal"/>
      <w:pStyle w:val="pk-heading2"/>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604456592">
    <w:abstractNumId w:val="6"/>
  </w:num>
  <w:num w:numId="2" w16cid:durableId="2001957101">
    <w:abstractNumId w:val="1"/>
  </w:num>
  <w:num w:numId="3" w16cid:durableId="756487531">
    <w:abstractNumId w:val="1"/>
  </w:num>
  <w:num w:numId="4" w16cid:durableId="1135559157">
    <w:abstractNumId w:val="1"/>
  </w:num>
  <w:num w:numId="5" w16cid:durableId="230774828">
    <w:abstractNumId w:val="1"/>
  </w:num>
  <w:num w:numId="6" w16cid:durableId="400568982">
    <w:abstractNumId w:val="1"/>
  </w:num>
  <w:num w:numId="7" w16cid:durableId="1014537">
    <w:abstractNumId w:val="1"/>
  </w:num>
  <w:num w:numId="8" w16cid:durableId="445197601">
    <w:abstractNumId w:val="4"/>
  </w:num>
  <w:num w:numId="9" w16cid:durableId="929201297">
    <w:abstractNumId w:val="0"/>
  </w:num>
  <w:num w:numId="10" w16cid:durableId="886913853">
    <w:abstractNumId w:val="3"/>
  </w:num>
  <w:num w:numId="11" w16cid:durableId="159083524">
    <w:abstractNumId w:val="2"/>
  </w:num>
  <w:num w:numId="12" w16cid:durableId="6640888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37A"/>
    <w:rsid w:val="00001E58"/>
    <w:rsid w:val="00016F2B"/>
    <w:rsid w:val="00035AA8"/>
    <w:rsid w:val="00052732"/>
    <w:rsid w:val="00070153"/>
    <w:rsid w:val="000A1117"/>
    <w:rsid w:val="000A3760"/>
    <w:rsid w:val="000E3942"/>
    <w:rsid w:val="000F25CF"/>
    <w:rsid w:val="001031DC"/>
    <w:rsid w:val="00125D0B"/>
    <w:rsid w:val="00131383"/>
    <w:rsid w:val="0013273D"/>
    <w:rsid w:val="00136A75"/>
    <w:rsid w:val="001917E4"/>
    <w:rsid w:val="001B592A"/>
    <w:rsid w:val="001E3F66"/>
    <w:rsid w:val="00216989"/>
    <w:rsid w:val="002200AC"/>
    <w:rsid w:val="00233EF9"/>
    <w:rsid w:val="0026236C"/>
    <w:rsid w:val="002854D3"/>
    <w:rsid w:val="002A4DC3"/>
    <w:rsid w:val="002C15FC"/>
    <w:rsid w:val="002D2D91"/>
    <w:rsid w:val="002D5D6D"/>
    <w:rsid w:val="002D77B3"/>
    <w:rsid w:val="002E124A"/>
    <w:rsid w:val="002E3795"/>
    <w:rsid w:val="002E75B3"/>
    <w:rsid w:val="003041BD"/>
    <w:rsid w:val="00320651"/>
    <w:rsid w:val="003275A5"/>
    <w:rsid w:val="0033114F"/>
    <w:rsid w:val="00332EC6"/>
    <w:rsid w:val="00341861"/>
    <w:rsid w:val="003420A5"/>
    <w:rsid w:val="00351EAA"/>
    <w:rsid w:val="00356E6F"/>
    <w:rsid w:val="00375AD9"/>
    <w:rsid w:val="003A5EE9"/>
    <w:rsid w:val="003B61C7"/>
    <w:rsid w:val="003B6A07"/>
    <w:rsid w:val="0042619D"/>
    <w:rsid w:val="0044689F"/>
    <w:rsid w:val="0047666D"/>
    <w:rsid w:val="0047730A"/>
    <w:rsid w:val="004A1D63"/>
    <w:rsid w:val="004B23CE"/>
    <w:rsid w:val="004B3B29"/>
    <w:rsid w:val="004D6777"/>
    <w:rsid w:val="004D7267"/>
    <w:rsid w:val="004F1880"/>
    <w:rsid w:val="005225F1"/>
    <w:rsid w:val="005229D6"/>
    <w:rsid w:val="00534CE3"/>
    <w:rsid w:val="00541A8D"/>
    <w:rsid w:val="00587DE1"/>
    <w:rsid w:val="005A429C"/>
    <w:rsid w:val="005D56E9"/>
    <w:rsid w:val="005D737A"/>
    <w:rsid w:val="005E2400"/>
    <w:rsid w:val="005F68F0"/>
    <w:rsid w:val="006068D7"/>
    <w:rsid w:val="006365C6"/>
    <w:rsid w:val="00652524"/>
    <w:rsid w:val="006802CE"/>
    <w:rsid w:val="00680F7F"/>
    <w:rsid w:val="00682142"/>
    <w:rsid w:val="00691EE3"/>
    <w:rsid w:val="006B2C3E"/>
    <w:rsid w:val="006D43BB"/>
    <w:rsid w:val="006D56A3"/>
    <w:rsid w:val="006D5DB8"/>
    <w:rsid w:val="006E431F"/>
    <w:rsid w:val="006E74F1"/>
    <w:rsid w:val="00704BBB"/>
    <w:rsid w:val="00706A13"/>
    <w:rsid w:val="007250BC"/>
    <w:rsid w:val="0072613B"/>
    <w:rsid w:val="00731380"/>
    <w:rsid w:val="00736061"/>
    <w:rsid w:val="00751A02"/>
    <w:rsid w:val="007700EB"/>
    <w:rsid w:val="00785448"/>
    <w:rsid w:val="00790981"/>
    <w:rsid w:val="007B0375"/>
    <w:rsid w:val="007B201F"/>
    <w:rsid w:val="007B2E1D"/>
    <w:rsid w:val="007D66D8"/>
    <w:rsid w:val="007E7BFD"/>
    <w:rsid w:val="00820355"/>
    <w:rsid w:val="00842126"/>
    <w:rsid w:val="00890D34"/>
    <w:rsid w:val="00896929"/>
    <w:rsid w:val="008B3E13"/>
    <w:rsid w:val="008C2D31"/>
    <w:rsid w:val="008D4547"/>
    <w:rsid w:val="008D67FA"/>
    <w:rsid w:val="008E5126"/>
    <w:rsid w:val="008E6A9A"/>
    <w:rsid w:val="00916431"/>
    <w:rsid w:val="00941D48"/>
    <w:rsid w:val="009C5FF2"/>
    <w:rsid w:val="009E0871"/>
    <w:rsid w:val="009E1A87"/>
    <w:rsid w:val="009E4BDC"/>
    <w:rsid w:val="009E74E3"/>
    <w:rsid w:val="009F4DB4"/>
    <w:rsid w:val="00A53A89"/>
    <w:rsid w:val="00A54C2A"/>
    <w:rsid w:val="00A56138"/>
    <w:rsid w:val="00A6274A"/>
    <w:rsid w:val="00A744BE"/>
    <w:rsid w:val="00A92CF2"/>
    <w:rsid w:val="00AA09DA"/>
    <w:rsid w:val="00AD7AAA"/>
    <w:rsid w:val="00AD7CBE"/>
    <w:rsid w:val="00AE2923"/>
    <w:rsid w:val="00B44696"/>
    <w:rsid w:val="00B568B2"/>
    <w:rsid w:val="00B62DAB"/>
    <w:rsid w:val="00B925DC"/>
    <w:rsid w:val="00BA071C"/>
    <w:rsid w:val="00BC2050"/>
    <w:rsid w:val="00BC7533"/>
    <w:rsid w:val="00BD3169"/>
    <w:rsid w:val="00BD76F9"/>
    <w:rsid w:val="00BF3A5B"/>
    <w:rsid w:val="00BF4A2C"/>
    <w:rsid w:val="00C106F4"/>
    <w:rsid w:val="00C10C8B"/>
    <w:rsid w:val="00C15372"/>
    <w:rsid w:val="00C547CB"/>
    <w:rsid w:val="00C5584D"/>
    <w:rsid w:val="00C80FDF"/>
    <w:rsid w:val="00C91146"/>
    <w:rsid w:val="00C94A56"/>
    <w:rsid w:val="00C94B78"/>
    <w:rsid w:val="00C96346"/>
    <w:rsid w:val="00CA419E"/>
    <w:rsid w:val="00CA683A"/>
    <w:rsid w:val="00CE164B"/>
    <w:rsid w:val="00CE675B"/>
    <w:rsid w:val="00CE7C83"/>
    <w:rsid w:val="00D07F8B"/>
    <w:rsid w:val="00D233AA"/>
    <w:rsid w:val="00D23B42"/>
    <w:rsid w:val="00D5326A"/>
    <w:rsid w:val="00D94EFA"/>
    <w:rsid w:val="00D974CB"/>
    <w:rsid w:val="00E058EB"/>
    <w:rsid w:val="00E17F9C"/>
    <w:rsid w:val="00E23E7C"/>
    <w:rsid w:val="00E2551C"/>
    <w:rsid w:val="00E362EE"/>
    <w:rsid w:val="00EA390A"/>
    <w:rsid w:val="00EB761F"/>
    <w:rsid w:val="00EE3F18"/>
    <w:rsid w:val="00F15686"/>
    <w:rsid w:val="00F96C16"/>
    <w:rsid w:val="00FB4A7A"/>
    <w:rsid w:val="00FC0F42"/>
    <w:rsid w:val="00FD7CD5"/>
    <w:rsid w:val="00FE7D4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70E08834"/>
  <w15:chartTrackingRefBased/>
  <w15:docId w15:val="{80559A8D-CAC8-134D-A709-729AA0311D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7BFD"/>
    <w:rPr>
      <w:rFonts w:asciiTheme="minorBidi" w:hAnsiTheme="minorBidi" w:cs="Times New Roman"/>
      <w:kern w:val="0"/>
      <w:sz w:val="22"/>
      <w14:ligatures w14:val="none"/>
    </w:rPr>
  </w:style>
  <w:style w:type="paragraph" w:styleId="Heading1">
    <w:name w:val="heading 1"/>
    <w:basedOn w:val="Normal"/>
    <w:next w:val="Normal"/>
    <w:link w:val="Heading1Char"/>
    <w:autoRedefine/>
    <w:uiPriority w:val="9"/>
    <w:qFormat/>
    <w:rsid w:val="005A429C"/>
    <w:pPr>
      <w:keepNext/>
      <w:keepLines/>
      <w:numPr>
        <w:numId w:val="7"/>
      </w:numPr>
      <w:spacing w:before="120" w:after="120"/>
      <w:outlineLvl w:val="0"/>
    </w:pPr>
    <w:rPr>
      <w:rFonts w:eastAsiaTheme="majorEastAsia" w:cstheme="majorBidi"/>
      <w:b/>
      <w:color w:val="000000" w:themeColor="text1"/>
      <w:sz w:val="28"/>
      <w:szCs w:val="40"/>
    </w:rPr>
  </w:style>
  <w:style w:type="paragraph" w:styleId="Heading2">
    <w:name w:val="heading 2"/>
    <w:basedOn w:val="Normal"/>
    <w:next w:val="Normal"/>
    <w:link w:val="Heading2Char"/>
    <w:autoRedefine/>
    <w:uiPriority w:val="9"/>
    <w:unhideWhenUsed/>
    <w:qFormat/>
    <w:rsid w:val="005A429C"/>
    <w:pPr>
      <w:keepNext/>
      <w:keepLines/>
      <w:numPr>
        <w:ilvl w:val="1"/>
        <w:numId w:val="8"/>
      </w:numPr>
      <w:spacing w:before="160" w:after="80"/>
      <w:ind w:left="576" w:hanging="576"/>
      <w:outlineLvl w:val="1"/>
    </w:pPr>
    <w:rPr>
      <w:rFonts w:eastAsiaTheme="majorEastAsia" w:cstheme="majorBidi"/>
      <w:b/>
      <w:color w:val="0F4761" w:themeColor="accent1" w:themeShade="BF"/>
      <w:sz w:val="24"/>
      <w:szCs w:val="32"/>
    </w:rPr>
  </w:style>
  <w:style w:type="paragraph" w:styleId="Heading3">
    <w:name w:val="heading 3"/>
    <w:basedOn w:val="Normal"/>
    <w:next w:val="Normal"/>
    <w:link w:val="Heading3Char"/>
    <w:autoRedefine/>
    <w:uiPriority w:val="9"/>
    <w:semiHidden/>
    <w:unhideWhenUsed/>
    <w:qFormat/>
    <w:rsid w:val="005A429C"/>
    <w:pPr>
      <w:keepNext/>
      <w:keepLines/>
      <w:numPr>
        <w:ilvl w:val="2"/>
        <w:numId w:val="7"/>
      </w:numPr>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semiHidden/>
    <w:unhideWhenUsed/>
    <w:qFormat/>
    <w:rsid w:val="005D737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D737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D737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D737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D737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D737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k-heading2">
    <w:name w:val="pk-heading2"/>
    <w:basedOn w:val="Normal"/>
    <w:autoRedefine/>
    <w:qFormat/>
    <w:rsid w:val="005A429C"/>
    <w:pPr>
      <w:numPr>
        <w:numId w:val="1"/>
      </w:numPr>
    </w:pPr>
    <w:rPr>
      <w:b/>
    </w:rPr>
  </w:style>
  <w:style w:type="character" w:customStyle="1" w:styleId="Heading1Char">
    <w:name w:val="Heading 1 Char"/>
    <w:basedOn w:val="DefaultParagraphFont"/>
    <w:link w:val="Heading1"/>
    <w:uiPriority w:val="9"/>
    <w:rsid w:val="005A429C"/>
    <w:rPr>
      <w:rFonts w:asciiTheme="minorBidi" w:eastAsiaTheme="majorEastAsia" w:hAnsiTheme="minorBidi" w:cstheme="majorBidi"/>
      <w:b/>
      <w:color w:val="000000" w:themeColor="text1"/>
      <w:sz w:val="28"/>
      <w:szCs w:val="40"/>
    </w:rPr>
  </w:style>
  <w:style w:type="character" w:customStyle="1" w:styleId="Heading2Char">
    <w:name w:val="Heading 2 Char"/>
    <w:basedOn w:val="DefaultParagraphFont"/>
    <w:link w:val="Heading2"/>
    <w:uiPriority w:val="9"/>
    <w:rsid w:val="005A429C"/>
    <w:rPr>
      <w:rFonts w:asciiTheme="minorBidi" w:eastAsiaTheme="majorEastAsia" w:hAnsiTheme="minorBidi" w:cstheme="majorBidi"/>
      <w:b/>
      <w:color w:val="0F4761" w:themeColor="accent1" w:themeShade="BF"/>
      <w:szCs w:val="32"/>
    </w:rPr>
  </w:style>
  <w:style w:type="character" w:customStyle="1" w:styleId="Heading3Char">
    <w:name w:val="Heading 3 Char"/>
    <w:basedOn w:val="DefaultParagraphFont"/>
    <w:link w:val="Heading3"/>
    <w:uiPriority w:val="9"/>
    <w:semiHidden/>
    <w:rsid w:val="005A429C"/>
    <w:rPr>
      <w:rFonts w:asciiTheme="minorBidi" w:eastAsiaTheme="majorEastAsia" w:hAnsiTheme="minorBidi" w:cstheme="majorBidi"/>
      <w:b/>
      <w:color w:val="000000" w:themeColor="text1"/>
      <w:sz w:val="22"/>
      <w:szCs w:val="28"/>
    </w:rPr>
  </w:style>
  <w:style w:type="character" w:customStyle="1" w:styleId="Heading4Char">
    <w:name w:val="Heading 4 Char"/>
    <w:basedOn w:val="DefaultParagraphFont"/>
    <w:link w:val="Heading4"/>
    <w:uiPriority w:val="9"/>
    <w:semiHidden/>
    <w:rsid w:val="005D737A"/>
    <w:rPr>
      <w:rFonts w:eastAsiaTheme="majorEastAsia" w:cstheme="majorBidi"/>
      <w:i/>
      <w:iCs/>
      <w:color w:val="0F4761" w:themeColor="accent1" w:themeShade="BF"/>
      <w:kern w:val="0"/>
      <w:sz w:val="22"/>
      <w14:ligatures w14:val="none"/>
    </w:rPr>
  </w:style>
  <w:style w:type="character" w:customStyle="1" w:styleId="Heading5Char">
    <w:name w:val="Heading 5 Char"/>
    <w:basedOn w:val="DefaultParagraphFont"/>
    <w:link w:val="Heading5"/>
    <w:uiPriority w:val="9"/>
    <w:semiHidden/>
    <w:rsid w:val="005D737A"/>
    <w:rPr>
      <w:rFonts w:eastAsiaTheme="majorEastAsia" w:cstheme="majorBidi"/>
      <w:color w:val="0F4761" w:themeColor="accent1" w:themeShade="BF"/>
      <w:kern w:val="0"/>
      <w:sz w:val="22"/>
      <w14:ligatures w14:val="none"/>
    </w:rPr>
  </w:style>
  <w:style w:type="character" w:customStyle="1" w:styleId="Heading6Char">
    <w:name w:val="Heading 6 Char"/>
    <w:basedOn w:val="DefaultParagraphFont"/>
    <w:link w:val="Heading6"/>
    <w:uiPriority w:val="9"/>
    <w:semiHidden/>
    <w:rsid w:val="005D737A"/>
    <w:rPr>
      <w:rFonts w:eastAsiaTheme="majorEastAsia" w:cstheme="majorBidi"/>
      <w:i/>
      <w:iCs/>
      <w:color w:val="595959" w:themeColor="text1" w:themeTint="A6"/>
      <w:kern w:val="0"/>
      <w:sz w:val="22"/>
      <w14:ligatures w14:val="none"/>
    </w:rPr>
  </w:style>
  <w:style w:type="character" w:customStyle="1" w:styleId="Heading7Char">
    <w:name w:val="Heading 7 Char"/>
    <w:basedOn w:val="DefaultParagraphFont"/>
    <w:link w:val="Heading7"/>
    <w:uiPriority w:val="9"/>
    <w:semiHidden/>
    <w:rsid w:val="005D737A"/>
    <w:rPr>
      <w:rFonts w:eastAsiaTheme="majorEastAsia" w:cstheme="majorBidi"/>
      <w:color w:val="595959" w:themeColor="text1" w:themeTint="A6"/>
      <w:kern w:val="0"/>
      <w:sz w:val="22"/>
      <w14:ligatures w14:val="none"/>
    </w:rPr>
  </w:style>
  <w:style w:type="character" w:customStyle="1" w:styleId="Heading8Char">
    <w:name w:val="Heading 8 Char"/>
    <w:basedOn w:val="DefaultParagraphFont"/>
    <w:link w:val="Heading8"/>
    <w:uiPriority w:val="9"/>
    <w:semiHidden/>
    <w:rsid w:val="005D737A"/>
    <w:rPr>
      <w:rFonts w:eastAsiaTheme="majorEastAsia" w:cstheme="majorBidi"/>
      <w:i/>
      <w:iCs/>
      <w:color w:val="272727" w:themeColor="text1" w:themeTint="D8"/>
      <w:kern w:val="0"/>
      <w:sz w:val="22"/>
      <w14:ligatures w14:val="none"/>
    </w:rPr>
  </w:style>
  <w:style w:type="character" w:customStyle="1" w:styleId="Heading9Char">
    <w:name w:val="Heading 9 Char"/>
    <w:basedOn w:val="DefaultParagraphFont"/>
    <w:link w:val="Heading9"/>
    <w:uiPriority w:val="9"/>
    <w:semiHidden/>
    <w:rsid w:val="005D737A"/>
    <w:rPr>
      <w:rFonts w:eastAsiaTheme="majorEastAsia" w:cstheme="majorBidi"/>
      <w:color w:val="272727" w:themeColor="text1" w:themeTint="D8"/>
      <w:kern w:val="0"/>
      <w:sz w:val="22"/>
      <w14:ligatures w14:val="none"/>
    </w:rPr>
  </w:style>
  <w:style w:type="paragraph" w:styleId="Title">
    <w:name w:val="Title"/>
    <w:basedOn w:val="Normal"/>
    <w:next w:val="Normal"/>
    <w:link w:val="TitleChar"/>
    <w:uiPriority w:val="10"/>
    <w:qFormat/>
    <w:rsid w:val="005D737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737A"/>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5D737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737A"/>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5D737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D737A"/>
    <w:rPr>
      <w:rFonts w:asciiTheme="minorBidi" w:hAnsiTheme="minorBidi" w:cs="Times New Roman"/>
      <w:i/>
      <w:iCs/>
      <w:color w:val="404040" w:themeColor="text1" w:themeTint="BF"/>
      <w:kern w:val="0"/>
      <w:sz w:val="22"/>
      <w14:ligatures w14:val="none"/>
    </w:rPr>
  </w:style>
  <w:style w:type="paragraph" w:styleId="ListParagraph">
    <w:name w:val="List Paragraph"/>
    <w:basedOn w:val="Normal"/>
    <w:uiPriority w:val="34"/>
    <w:qFormat/>
    <w:rsid w:val="005D737A"/>
    <w:pPr>
      <w:ind w:left="720"/>
      <w:contextualSpacing/>
    </w:pPr>
  </w:style>
  <w:style w:type="character" w:styleId="IntenseEmphasis">
    <w:name w:val="Intense Emphasis"/>
    <w:basedOn w:val="DefaultParagraphFont"/>
    <w:uiPriority w:val="21"/>
    <w:qFormat/>
    <w:rsid w:val="005D737A"/>
    <w:rPr>
      <w:i/>
      <w:iCs/>
      <w:color w:val="0F4761" w:themeColor="accent1" w:themeShade="BF"/>
    </w:rPr>
  </w:style>
  <w:style w:type="paragraph" w:styleId="IntenseQuote">
    <w:name w:val="Intense Quote"/>
    <w:basedOn w:val="Normal"/>
    <w:next w:val="Normal"/>
    <w:link w:val="IntenseQuoteChar"/>
    <w:uiPriority w:val="30"/>
    <w:qFormat/>
    <w:rsid w:val="005D73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737A"/>
    <w:rPr>
      <w:rFonts w:asciiTheme="minorBidi" w:hAnsiTheme="minorBidi" w:cs="Times New Roman"/>
      <w:i/>
      <w:iCs/>
      <w:color w:val="0F4761" w:themeColor="accent1" w:themeShade="BF"/>
      <w:kern w:val="0"/>
      <w:sz w:val="22"/>
      <w14:ligatures w14:val="none"/>
    </w:rPr>
  </w:style>
  <w:style w:type="character" w:styleId="IntenseReference">
    <w:name w:val="Intense Reference"/>
    <w:basedOn w:val="DefaultParagraphFont"/>
    <w:uiPriority w:val="32"/>
    <w:qFormat/>
    <w:rsid w:val="005D737A"/>
    <w:rPr>
      <w:b/>
      <w:bCs/>
      <w:smallCaps/>
      <w:color w:val="0F4761" w:themeColor="accent1" w:themeShade="BF"/>
      <w:spacing w:val="5"/>
    </w:rPr>
  </w:style>
  <w:style w:type="table" w:styleId="TableGrid">
    <w:name w:val="Table Grid"/>
    <w:basedOn w:val="TableNormal"/>
    <w:uiPriority w:val="39"/>
    <w:rsid w:val="005D73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682142"/>
  </w:style>
  <w:style w:type="character" w:styleId="Hyperlink">
    <w:name w:val="Hyperlink"/>
    <w:basedOn w:val="DefaultParagraphFont"/>
    <w:uiPriority w:val="99"/>
    <w:unhideWhenUsed/>
    <w:rsid w:val="004D6777"/>
    <w:rPr>
      <w:color w:val="467886" w:themeColor="hyperlink"/>
      <w:u w:val="single"/>
    </w:rPr>
  </w:style>
  <w:style w:type="character" w:styleId="UnresolvedMention">
    <w:name w:val="Unresolved Mention"/>
    <w:basedOn w:val="DefaultParagraphFont"/>
    <w:uiPriority w:val="99"/>
    <w:semiHidden/>
    <w:unhideWhenUsed/>
    <w:rsid w:val="004D67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pubmed.ncbi.nlm.nih.gov/26302431/" TargetMode="External"/><Relationship Id="rId4" Type="http://schemas.openxmlformats.org/officeDocument/2006/relationships/settings" Target="settings.xml"/><Relationship Id="rId9" Type="http://schemas.openxmlformats.org/officeDocument/2006/relationships/hyperlink" Target="https://pmc.ncbi.nlm.nih.gov/articles/PMC390739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EBE024-9CDE-5343-9EE3-2F7AFA15CA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195</TotalTime>
  <Pages>4</Pages>
  <Words>713</Words>
  <Characters>4067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Parastu Kasaie</dc:creator>
  <cp:keywords/>
  <dc:description/>
  <cp:lastModifiedBy>Parastu Kasaie</cp:lastModifiedBy>
  <cp:revision>4</cp:revision>
  <dcterms:created xsi:type="dcterms:W3CDTF">2026-05-05T12:33:00Z</dcterms:created>
  <dcterms:modified xsi:type="dcterms:W3CDTF">2026-06-11T18:50:00Z</dcterms:modified>
</cp:coreProperties>
</file>