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C063B" w14:textId="09303226" w:rsidR="00B10A5C" w:rsidRDefault="00B10A5C" w:rsidP="00B10A5C">
      <w:pPr>
        <w:pStyle w:val="Heading1"/>
      </w:pPr>
      <w:r w:rsidRPr="00B10A5C">
        <w:t xml:space="preserve">Study 1 — Can doxy-PEP </w:t>
      </w:r>
      <w:r>
        <w:t xml:space="preserve">for MSM </w:t>
      </w:r>
      <w:r w:rsidRPr="00B10A5C">
        <w:t>bend the syphilis curve?</w:t>
      </w:r>
    </w:p>
    <w:p w14:paraId="7D554ED3" w14:textId="7D4FBA85" w:rsidR="0033378C" w:rsidRDefault="0033378C" w:rsidP="0033378C">
      <w:r>
        <w:t>Methods: SHIELD is a compartment of syphilis epidemic in the US. The model has been calibrated to 10 hybrid than MSAs.</w:t>
      </w:r>
    </w:p>
    <w:p w14:paraId="5EDAA58C" w14:textId="77777777" w:rsidR="0033378C" w:rsidRPr="0033378C" w:rsidRDefault="0033378C" w:rsidP="0033378C"/>
    <w:p w14:paraId="1C87E62B" w14:textId="12BB403A" w:rsidR="00B10A5C" w:rsidRPr="00B10A5C" w:rsidRDefault="00B10A5C" w:rsidP="00B10A5C">
      <w:pPr>
        <w:rPr>
          <w:sz w:val="24"/>
        </w:rPr>
      </w:pPr>
      <w:r w:rsidRPr="00B10A5C">
        <w:rPr>
          <w:b/>
          <w:bCs/>
          <w:sz w:val="24"/>
        </w:rPr>
        <w:t>Design.</w:t>
      </w:r>
      <w:r w:rsidRPr="00B10A5C">
        <w:rPr>
          <w:sz w:val="24"/>
        </w:rPr>
        <w:t xml:space="preserve"> </w:t>
      </w:r>
      <w:commentRangeStart w:id="0"/>
      <w:r w:rsidRPr="00B10A5C">
        <w:rPr>
          <w:sz w:val="24"/>
        </w:rPr>
        <w:t xml:space="preserve">All MSAs calibrated to end-2021 (doxy-free). </w:t>
      </w:r>
      <w:commentRangeEnd w:id="0"/>
      <w:r w:rsidRPr="00B10A5C">
        <w:rPr>
          <w:rStyle w:val="CommentReference"/>
          <w:sz w:val="24"/>
          <w:szCs w:val="24"/>
        </w:rPr>
        <w:commentReference w:id="0"/>
      </w:r>
      <w:r w:rsidRPr="00B10A5C">
        <w:rPr>
          <w:sz w:val="24"/>
        </w:rPr>
        <w:t>Doxy-PEP offered to all MSM 15–65 starting 2022, scaled to 2030. No other interventions change. Run to 20</w:t>
      </w:r>
      <w:r>
        <w:rPr>
          <w:sz w:val="24"/>
        </w:rPr>
        <w:t>4</w:t>
      </w:r>
      <w:r w:rsidRPr="00B10A5C">
        <w:rPr>
          <w:sz w:val="24"/>
        </w:rPr>
        <w:t>0.</w:t>
      </w:r>
    </w:p>
    <w:p w14:paraId="4951C0D6" w14:textId="77777777" w:rsidR="00B10A5C" w:rsidRDefault="00B10A5C" w:rsidP="00B10A5C">
      <w:pPr>
        <w:rPr>
          <w:sz w:val="24"/>
        </w:rPr>
      </w:pPr>
      <w:r w:rsidRPr="00B10A5C">
        <w:rPr>
          <w:sz w:val="24"/>
        </w:rPr>
        <w:t xml:space="preserve">Parameters. </w:t>
      </w:r>
    </w:p>
    <w:p w14:paraId="710286BD" w14:textId="77777777" w:rsidR="00B10A5C" w:rsidRDefault="00B10A5C" w:rsidP="00B10A5C">
      <w:pPr>
        <w:rPr>
          <w:sz w:val="24"/>
        </w:rPr>
      </w:pPr>
    </w:p>
    <w:p w14:paraId="682BFA31" w14:textId="101B538C" w:rsidR="00B10A5C" w:rsidRDefault="00B10A5C" w:rsidP="00B10A5C">
      <w:pPr>
        <w:rPr>
          <w:sz w:val="24"/>
        </w:rPr>
      </w:pPr>
      <w:r w:rsidRPr="00B10A5C">
        <w:rPr>
          <w:b/>
          <w:bCs/>
          <w:sz w:val="24"/>
        </w:rPr>
        <w:t>OPTION1: Coverage is imposed: what proportion of eligible MSM receive Doxy each year and are protected against transmission</w:t>
      </w:r>
      <w:r>
        <w:rPr>
          <w:sz w:val="24"/>
        </w:rPr>
        <w:t xml:space="preserve">? </w:t>
      </w:r>
    </w:p>
    <w:p w14:paraId="48B6A5E0" w14:textId="77777777" w:rsidR="00B10A5C" w:rsidRDefault="00B10A5C" w:rsidP="00B10A5C">
      <w:pPr>
        <w:rPr>
          <w:i/>
          <w:iCs/>
          <w:sz w:val="24"/>
        </w:rPr>
      </w:pPr>
    </w:p>
    <w:p w14:paraId="2495C635" w14:textId="188BDD54" w:rsidR="00B10A5C" w:rsidRPr="00B10A5C" w:rsidRDefault="00B10A5C" w:rsidP="00B10A5C">
      <w:pPr>
        <w:rPr>
          <w:i/>
          <w:iCs/>
          <w:sz w:val="24"/>
        </w:rPr>
      </w:pPr>
      <w:r w:rsidRPr="00B10A5C">
        <w:rPr>
          <w:i/>
          <w:iCs/>
          <w:sz w:val="24"/>
        </w:rPr>
        <w:t>Option2 (for later) Coverage is emergent, not imposed: annual uptake α, annual persistence p, equilibrium coverage C* = α/(2 − p). Grid search over α × p.</w:t>
      </w:r>
    </w:p>
    <w:p w14:paraId="6685B8C0" w14:textId="77777777" w:rsidR="00B10A5C" w:rsidRDefault="00B10A5C" w:rsidP="00B10A5C">
      <w:pPr>
        <w:rPr>
          <w:sz w:val="24"/>
        </w:rPr>
      </w:pPr>
    </w:p>
    <w:p w14:paraId="01673E89" w14:textId="22064B5B" w:rsidR="00B10A5C" w:rsidRPr="00B10A5C" w:rsidRDefault="00B10A5C" w:rsidP="00B10A5C">
      <w:pPr>
        <w:rPr>
          <w:sz w:val="24"/>
        </w:rPr>
      </w:pPr>
      <w:r w:rsidRPr="00B10A5C">
        <w:rPr>
          <w:sz w:val="24"/>
        </w:rPr>
        <w:t xml:space="preserve">Effectiveness </w:t>
      </w:r>
      <w:r w:rsidRPr="00B10A5C">
        <w:rPr>
          <w:i/>
          <w:iCs/>
          <w:sz w:val="24"/>
        </w:rPr>
        <w:t>e</w:t>
      </w:r>
      <w:r w:rsidRPr="00B10A5C">
        <w:rPr>
          <w:sz w:val="24"/>
        </w:rPr>
        <w:t xml:space="preserve"> combines adherence and efficacy (</w:t>
      </w:r>
      <w:r>
        <w:rPr>
          <w:sz w:val="24"/>
        </w:rPr>
        <w:t>estimated from lit clinical trials</w:t>
      </w:r>
      <w:r w:rsidRPr="00B10A5C">
        <w:rPr>
          <w:sz w:val="24"/>
        </w:rPr>
        <w:t>)</w:t>
      </w:r>
      <w:r>
        <w:rPr>
          <w:sz w:val="24"/>
        </w:rPr>
        <w:t xml:space="preserve"> -&gt; e.g., if someone is receiving Doxy, how much reduction in transmission they experience?</w:t>
      </w:r>
      <w:r w:rsidRPr="00B10A5C">
        <w:rPr>
          <w:sz w:val="24"/>
        </w:rPr>
        <w:t xml:space="preserve"> </w:t>
      </w:r>
    </w:p>
    <w:p w14:paraId="279A830E" w14:textId="77777777" w:rsidR="00B10A5C" w:rsidRDefault="00B10A5C" w:rsidP="00B10A5C">
      <w:pPr>
        <w:rPr>
          <w:sz w:val="24"/>
        </w:rPr>
      </w:pPr>
    </w:p>
    <w:p w14:paraId="20E196C7" w14:textId="330D7DA9" w:rsidR="00B10A5C" w:rsidRDefault="00B10A5C" w:rsidP="00B10A5C">
      <w:pPr>
        <w:rPr>
          <w:b/>
          <w:bCs/>
          <w:sz w:val="24"/>
        </w:rPr>
      </w:pPr>
      <w:r w:rsidRPr="00B10A5C">
        <w:rPr>
          <w:b/>
          <w:bCs/>
          <w:sz w:val="24"/>
        </w:rPr>
        <w:t>Questions</w:t>
      </w:r>
    </w:p>
    <w:p w14:paraId="12E585A5" w14:textId="25251A3A" w:rsidR="00B10A5C" w:rsidRPr="00B10A5C" w:rsidRDefault="00B10A5C" w:rsidP="00B10A5C">
      <w:pPr>
        <w:rPr>
          <w:i/>
          <w:iCs/>
          <w:sz w:val="24"/>
        </w:rPr>
      </w:pPr>
      <w:r w:rsidRPr="00B10A5C">
        <w:rPr>
          <w:i/>
          <w:iCs/>
          <w:sz w:val="24"/>
        </w:rPr>
        <w:t>Across all scenarios, Doxy PEP coverage starts to ramp up in 2023 and increases linearly to 2030; staying at that level afterward to 2040</w:t>
      </w:r>
    </w:p>
    <w:p w14:paraId="4BCC141B" w14:textId="77777777" w:rsidR="00B10A5C" w:rsidRPr="00B10A5C" w:rsidRDefault="00B10A5C" w:rsidP="00B10A5C">
      <w:pPr>
        <w:rPr>
          <w:sz w:val="24"/>
        </w:rPr>
      </w:pPr>
    </w:p>
    <w:tbl>
      <w:tblPr>
        <w:tblW w:w="0" w:type="auto"/>
        <w:tblCellMar>
          <w:left w:w="0" w:type="dxa"/>
          <w:right w:w="0" w:type="dxa"/>
        </w:tblCellMar>
        <w:tblLook w:val="04A0" w:firstRow="1" w:lastRow="0" w:firstColumn="1" w:lastColumn="0" w:noHBand="0" w:noVBand="1"/>
      </w:tblPr>
      <w:tblGrid>
        <w:gridCol w:w="737"/>
        <w:gridCol w:w="2459"/>
        <w:gridCol w:w="2014"/>
        <w:gridCol w:w="5584"/>
      </w:tblGrid>
      <w:tr w:rsidR="00B10A5C" w:rsidRPr="00B10A5C" w14:paraId="1900A3F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2C31E3" w14:textId="77777777" w:rsidR="00B10A5C" w:rsidRPr="00B10A5C" w:rsidRDefault="00B10A5C" w:rsidP="00B10A5C">
            <w:r w:rsidRPr="00B10A5C">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82C8C1" w14:textId="77777777" w:rsidR="00B10A5C" w:rsidRPr="00B10A5C" w:rsidRDefault="00B10A5C" w:rsidP="00B10A5C">
            <w:r w:rsidRPr="00B10A5C">
              <w:t>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5C4E2E" w14:textId="77777777" w:rsidR="00B10A5C" w:rsidRPr="00B10A5C" w:rsidRDefault="00B10A5C" w:rsidP="00B10A5C">
            <w:r w:rsidRPr="00B10A5C">
              <w:t>Output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303226" w14:textId="77777777" w:rsidR="00B10A5C" w:rsidRPr="00B10A5C" w:rsidRDefault="00B10A5C" w:rsidP="00B10A5C">
            <w:r w:rsidRPr="00B10A5C">
              <w:t>How we measure it in the model</w:t>
            </w:r>
          </w:p>
        </w:tc>
      </w:tr>
      <w:tr w:rsidR="00B10A5C" w:rsidRPr="00B10A5C" w14:paraId="25499CD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9EEB22" w14:textId="77777777" w:rsidR="00B10A5C" w:rsidRPr="00B10A5C" w:rsidRDefault="00B10A5C" w:rsidP="00B10A5C">
            <w:r w:rsidRPr="00B10A5C">
              <w:t>Q1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AF5E3B" w14:textId="5B18E54A" w:rsidR="00B10A5C" w:rsidRPr="00B10A5C" w:rsidRDefault="00B10A5C" w:rsidP="00B10A5C">
            <w:r w:rsidRPr="00B10A5C">
              <w:t xml:space="preserve">Can </w:t>
            </w:r>
            <w:r>
              <w:t xml:space="preserve">Doxy-PEP alone </w:t>
            </w:r>
            <w:r w:rsidRPr="00B10A5C">
              <w:t>bend the curve at 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BEBFF8" w14:textId="77777777" w:rsidR="00B10A5C" w:rsidRPr="00B10A5C" w:rsidRDefault="00B10A5C" w:rsidP="00B10A5C">
            <w:r w:rsidRPr="00B10A5C">
              <w:t>Critical coverage per MSA; controllable / not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4B8579" w14:textId="1C9F9475" w:rsidR="00B10A5C" w:rsidRDefault="00B10A5C" w:rsidP="00B10A5C">
            <w:r w:rsidRPr="00B10A5C">
              <w:t>Impose coverage directly at fixed </w:t>
            </w:r>
            <w:r w:rsidRPr="00B10A5C">
              <w:rPr>
                <w:i/>
                <w:iCs/>
              </w:rPr>
              <w:t>C</w:t>
            </w:r>
            <w:r w:rsidRPr="00B10A5C">
              <w:t>; sweep </w:t>
            </w:r>
            <w:r w:rsidRPr="00B10A5C">
              <w:rPr>
                <w:i/>
                <w:iCs/>
              </w:rPr>
              <w:t>C</w:t>
            </w:r>
            <w:r w:rsidRPr="00B10A5C">
              <w:t> from 0 to 1 in 0.05 steps, run to 20</w:t>
            </w:r>
            <w:r>
              <w:t>4</w:t>
            </w:r>
            <w:r w:rsidRPr="00B10A5C">
              <w:t>0. </w:t>
            </w:r>
          </w:p>
          <w:p w14:paraId="18398AA6" w14:textId="77777777" w:rsidR="00B10A5C" w:rsidRDefault="00B10A5C" w:rsidP="00B10A5C">
            <w:pPr>
              <w:rPr>
                <w:i/>
                <w:iCs/>
              </w:rPr>
            </w:pPr>
          </w:p>
          <w:p w14:paraId="47D4099C" w14:textId="27F20CAF" w:rsidR="00B10A5C" w:rsidRDefault="00B10A5C" w:rsidP="00B10A5C">
            <w:r w:rsidRPr="00B10A5C">
              <w:rPr>
                <w:i/>
                <w:iCs/>
              </w:rPr>
              <w:t>C</w:t>
            </w:r>
            <w:r w:rsidRPr="00B10A5C">
              <w:t>crit is the lowest </w:t>
            </w:r>
            <w:r w:rsidRPr="00B10A5C">
              <w:rPr>
                <w:i/>
                <w:iCs/>
              </w:rPr>
              <w:t>C</w:t>
            </w:r>
            <w:r w:rsidRPr="00B10A5C">
              <w:t xml:space="preserve"> at which incidence is declining </w:t>
            </w:r>
          </w:p>
          <w:p w14:paraId="4741DB9D" w14:textId="6F7C80A4" w:rsidR="00B10A5C" w:rsidRDefault="00B10A5C" w:rsidP="00B10A5C">
            <w:r>
              <w:t xml:space="preserve">1-among MSM; 2-at the population level. </w:t>
            </w:r>
          </w:p>
          <w:p w14:paraId="7EB2D3AC" w14:textId="219CC810" w:rsidR="00B10A5C" w:rsidRDefault="00B10A5C" w:rsidP="00B10A5C">
            <w:r>
              <w:t>(e.g. Ccrit_MSM maybe 40% and Ccrit_all maybe Null, meaning no amount of doxy scale up among MSM can bend the curve for other groups)</w:t>
            </w:r>
          </w:p>
          <w:p w14:paraId="3BB2FF0A" w14:textId="77777777" w:rsidR="00B10A5C" w:rsidRDefault="00B10A5C" w:rsidP="00B10A5C"/>
          <w:p w14:paraId="01C3CA8E" w14:textId="52B3182B" w:rsidR="00B10A5C" w:rsidRDefault="00B10A5C" w:rsidP="00B10A5C">
            <w:r w:rsidRPr="00B10A5C">
              <w:t>An MSA is classified not controllable if no </w:t>
            </w:r>
            <w:r w:rsidRPr="00B10A5C">
              <w:rPr>
                <w:i/>
                <w:iCs/>
              </w:rPr>
              <w:t>C</w:t>
            </w:r>
            <w:r w:rsidRPr="00B10A5C">
              <w:t> ≤ 1 satisfies this.</w:t>
            </w:r>
          </w:p>
          <w:p w14:paraId="35D77253" w14:textId="5CEEFF2B" w:rsidR="00B10A5C" w:rsidRPr="00B10A5C" w:rsidRDefault="00B10A5C" w:rsidP="00B10A5C"/>
        </w:tc>
      </w:tr>
      <w:tr w:rsidR="00B10A5C" w:rsidRPr="00B10A5C" w14:paraId="73FB5D3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12B0E9" w14:textId="77777777" w:rsidR="00B10A5C" w:rsidRPr="00B10A5C" w:rsidRDefault="00B10A5C" w:rsidP="00B10A5C">
            <w:r w:rsidRPr="00B10A5C">
              <w:t>Q2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199517" w14:textId="4E6146D0" w:rsidR="00B10A5C" w:rsidRPr="00B10A5C" w:rsidRDefault="00B10A5C" w:rsidP="00B10A5C">
            <w:r w:rsidRPr="00B10A5C">
              <w:t>What coverage gets 90% reduction in MSM incidence by 2030</w:t>
            </w:r>
            <w:r>
              <w:t xml:space="preserve"> relative to baseline (2026)?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7960E7" w14:textId="77777777" w:rsidR="00B10A5C" w:rsidRPr="00B10A5C" w:rsidRDefault="00B10A5C" w:rsidP="00B10A5C">
            <w:r w:rsidRPr="00B10A5C">
              <w:t>Minimum </w:t>
            </w:r>
            <w:r w:rsidRPr="00B10A5C">
              <w:rPr>
                <w:i/>
                <w:iCs/>
              </w:rPr>
              <w:t>C</w:t>
            </w:r>
            <w:r w:rsidRPr="00B10A5C">
              <w:t> by effectiveness 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BE3EFB" w14:textId="6DB5BC77" w:rsidR="00B10A5C" w:rsidRDefault="00B10A5C" w:rsidP="00B10A5C">
            <w:r w:rsidRPr="00B10A5C">
              <w:t>Same imposed-</w:t>
            </w:r>
            <w:r w:rsidRPr="00B10A5C">
              <w:rPr>
                <w:i/>
                <w:iCs/>
              </w:rPr>
              <w:t>C</w:t>
            </w:r>
            <w:r w:rsidRPr="00B10A5C">
              <w:t> sweep, evaluated at 2030</w:t>
            </w:r>
            <w:r>
              <w:t xml:space="preserve"> </w:t>
            </w:r>
            <w:r w:rsidRPr="00B10A5C">
              <w:t xml:space="preserve">rather than at equilibrium. </w:t>
            </w:r>
          </w:p>
          <w:p w14:paraId="7B0C00F0" w14:textId="77777777" w:rsidR="00B10A5C" w:rsidRDefault="00B10A5C" w:rsidP="00B10A5C"/>
          <w:p w14:paraId="394365C4" w14:textId="77777777" w:rsidR="00B10A5C" w:rsidRDefault="00B10A5C" w:rsidP="00B10A5C">
            <w:r w:rsidRPr="00B10A5C">
              <w:t>For each </w:t>
            </w:r>
            <w:r w:rsidRPr="00B10A5C">
              <w:rPr>
                <w:i/>
                <w:iCs/>
              </w:rPr>
              <w:t>e</w:t>
            </w:r>
            <w:r w:rsidRPr="00B10A5C">
              <w:t>, find the smallest </w:t>
            </w:r>
            <w:r w:rsidRPr="00B10A5C">
              <w:rPr>
                <w:i/>
                <w:iCs/>
              </w:rPr>
              <w:t>C</w:t>
            </w:r>
            <w:r w:rsidRPr="00B10A5C">
              <w:t xml:space="preserve"> at which MSM incidence in 2030 is ≤10% of the </w:t>
            </w:r>
            <w:r>
              <w:t xml:space="preserve">2026 </w:t>
            </w:r>
            <w:r w:rsidRPr="00B10A5C">
              <w:t xml:space="preserve">counterfactual. </w:t>
            </w:r>
            <w:r>
              <w:t xml:space="preserve"> </w:t>
            </w:r>
          </w:p>
          <w:p w14:paraId="07877E0D" w14:textId="04FAB562" w:rsidR="00B10A5C" w:rsidRPr="00B10A5C" w:rsidRDefault="00B10A5C" w:rsidP="00B10A5C"/>
        </w:tc>
      </w:tr>
      <w:tr w:rsidR="00B10A5C" w:rsidRPr="00B10A5C" w14:paraId="54F2EF5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33CC11" w14:textId="77777777" w:rsidR="00B10A5C" w:rsidRPr="00B10A5C" w:rsidRDefault="00B10A5C" w:rsidP="00B10A5C">
            <w:r w:rsidRPr="00B10A5C">
              <w:t>Q3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286DF0" w14:textId="77777777" w:rsidR="00B10A5C" w:rsidRPr="00B10A5C" w:rsidRDefault="00B10A5C" w:rsidP="00B10A5C">
            <w:r w:rsidRPr="00B10A5C">
              <w:t>What's the indirect impact on heterosexual men and women?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0E47CA" w14:textId="77777777" w:rsidR="00B10A5C" w:rsidRPr="00B10A5C" w:rsidRDefault="00B10A5C" w:rsidP="00B10A5C">
            <w:r w:rsidRPr="00B10A5C">
              <w:t>% reduction in non-MSM diagnoses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096864" w14:textId="77777777" w:rsidR="00B10A5C" w:rsidRDefault="00B10A5C" w:rsidP="00B10A5C">
            <w:r w:rsidRPr="00B10A5C">
              <w:t xml:space="preserve">Same runs as Q1/Q2, no additional simulation. Stratify incidence and diagnosis outputs by MSM / heterosexual male / female and compare to the no-doxy counterfactual. </w:t>
            </w:r>
          </w:p>
          <w:p w14:paraId="6AFC81DD" w14:textId="77777777" w:rsidR="00B10A5C" w:rsidRDefault="00B10A5C" w:rsidP="00B10A5C">
            <w:r w:rsidRPr="00B10A5C">
              <w:t xml:space="preserve">Effects propagate only through the bridging terms in the mixing matrix. </w:t>
            </w:r>
          </w:p>
          <w:p w14:paraId="7A5D7AEA" w14:textId="77777777" w:rsidR="00B10A5C" w:rsidRDefault="00B10A5C" w:rsidP="00B10A5C">
            <w:r w:rsidRPr="00B10A5C">
              <w:t xml:space="preserve">Also report averted infections decomposed into direct (among covered individuals) vs. indirect (among the uncovered, including all non-MSM). </w:t>
            </w:r>
          </w:p>
          <w:p w14:paraId="399C2AF8" w14:textId="77777777" w:rsidR="00B10A5C" w:rsidRDefault="00B10A5C" w:rsidP="00B10A5C"/>
          <w:p w14:paraId="0FE4BB52" w14:textId="110C0A43" w:rsidR="00B10A5C" w:rsidRPr="00B10A5C" w:rsidRDefault="00B10A5C" w:rsidP="00B10A5C">
            <w:r>
              <w:t>To extend to</w:t>
            </w:r>
            <w:r w:rsidRPr="00B10A5C">
              <w:t xml:space="preserve"> congenital syphilis </w:t>
            </w:r>
            <w:r>
              <w:t xml:space="preserve">(while we don’t model it directly), report reductions in </w:t>
            </w:r>
            <w:r w:rsidRPr="00B10A5C">
              <w:t>female</w:t>
            </w:r>
            <w:r>
              <w:t xml:space="preserve"> (ages 15-45)</w:t>
            </w:r>
            <w:r w:rsidRPr="00B10A5C">
              <w:t xml:space="preserve"> incidence → </w:t>
            </w:r>
            <w:r>
              <w:t>childbearing ages</w:t>
            </w:r>
            <w:r w:rsidRPr="00B10A5C">
              <w:t>.</w:t>
            </w:r>
          </w:p>
        </w:tc>
      </w:tr>
      <w:tr w:rsidR="00B10A5C" w:rsidRPr="00B10A5C" w14:paraId="5A5B57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78804B" w14:textId="77777777" w:rsidR="00B10A5C" w:rsidRPr="00B10A5C" w:rsidRDefault="00B10A5C" w:rsidP="00B10A5C">
            <w:pPr>
              <w:rPr>
                <w:i/>
                <w:iCs/>
              </w:rPr>
            </w:pPr>
            <w:r w:rsidRPr="00B10A5C">
              <w:rPr>
                <w:i/>
                <w:iCs/>
              </w:rPr>
              <w:lastRenderedPageBreak/>
              <w:t>Q4</w:t>
            </w:r>
          </w:p>
          <w:p w14:paraId="06D49914" w14:textId="1443D778" w:rsidR="00B10A5C" w:rsidRPr="00B10A5C" w:rsidRDefault="00B10A5C" w:rsidP="00B10A5C">
            <w:pPr>
              <w:rPr>
                <w:i/>
                <w:iCs/>
              </w:rPr>
            </w:pPr>
            <w:r w:rsidRPr="00B10A5C">
              <w:rPr>
                <w:i/>
                <w:iCs/>
              </w:rPr>
              <w:t>Not for now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0137C9" w14:textId="77777777" w:rsidR="00B10A5C" w:rsidRPr="00B10A5C" w:rsidRDefault="00B10A5C" w:rsidP="00B10A5C">
            <w:pPr>
              <w:rPr>
                <w:i/>
                <w:iCs/>
              </w:rPr>
            </w:pPr>
            <w:r w:rsidRPr="00B10A5C">
              <w:rPr>
                <w:i/>
                <w:iCs/>
              </w:rPr>
              <w:t>Is elimination achievable at best case?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C5D13E" w14:textId="77777777" w:rsidR="00B10A5C" w:rsidRPr="00B10A5C" w:rsidRDefault="00B10A5C" w:rsidP="00B10A5C">
            <w:pPr>
              <w:rPr>
                <w:i/>
                <w:iCs/>
              </w:rPr>
            </w:pPr>
            <w:r w:rsidRPr="00B10A5C">
              <w:rPr>
                <w:i/>
                <w:iCs/>
              </w:rPr>
              <w:t>Time to threshold, or not reached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90C57" w14:textId="77777777" w:rsidR="00B10A5C" w:rsidRPr="00B10A5C" w:rsidRDefault="00B10A5C" w:rsidP="00B10A5C">
            <w:pPr>
              <w:rPr>
                <w:i/>
                <w:iCs/>
              </w:rPr>
            </w:pPr>
            <w:r w:rsidRPr="00B10A5C">
              <w:rPr>
                <w:i/>
                <w:iCs/>
              </w:rPr>
              <w:t>Optimistic corner only (~3 runs per MSA): C = 1.0, e at the upper efficacy bound, imposed instantaneously in 2022. Extend the horizon well past 2050 and record the first year MSM incidence falls below the elimination threshold and stays there. Report separately for MSM and non-MSM. Where the threshold is never crossed, report the asymptotic incidence floor instead — that floor identifies what sustains transmission (importation, bridging, or latent-stage duration).</w:t>
            </w:r>
          </w:p>
        </w:tc>
      </w:tr>
    </w:tbl>
    <w:p w14:paraId="781FDABF" w14:textId="77777777" w:rsidR="00B10A5C" w:rsidRDefault="00B10A5C" w:rsidP="00B10A5C">
      <w:pPr>
        <w:rPr>
          <w:sz w:val="24"/>
        </w:rPr>
      </w:pPr>
    </w:p>
    <w:p w14:paraId="0DC66DB1" w14:textId="77777777" w:rsidR="0015093D" w:rsidRPr="00B10A5C" w:rsidRDefault="0015093D" w:rsidP="00B10A5C">
      <w:pPr>
        <w:rPr>
          <w:sz w:val="24"/>
        </w:rPr>
      </w:pPr>
    </w:p>
    <w:sectPr w:rsidR="0015093D" w:rsidRPr="00B10A5C" w:rsidSect="00B10A5C">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8-21T09:39:00Z" w:initials="PK">
    <w:p w14:paraId="5C61A754" w14:textId="77777777" w:rsidR="00B10A5C" w:rsidRDefault="00B10A5C" w:rsidP="00B10A5C">
      <w:r>
        <w:rPr>
          <w:rStyle w:val="CommentReference"/>
        </w:rPr>
        <w:annotationRef/>
      </w:r>
      <w:r>
        <w:rPr>
          <w:sz w:val="20"/>
          <w:szCs w:val="20"/>
        </w:rPr>
        <w:t>Andrew, I think that is the safest way to present calibration for the first manuscript. Different calibration timeline will require different interventional starting point. And I think that would be too confusing for people to follow.</w:t>
      </w:r>
    </w:p>
    <w:p w14:paraId="295D21A6" w14:textId="77777777" w:rsidR="00B10A5C" w:rsidRDefault="00B10A5C" w:rsidP="00B10A5C"/>
    <w:p w14:paraId="0594B368" w14:textId="77777777" w:rsidR="00B10A5C" w:rsidRDefault="00B10A5C" w:rsidP="00B10A5C">
      <w:r>
        <w:rPr>
          <w:sz w:val="20"/>
          <w:szCs w:val="20"/>
        </w:rPr>
        <w:t>Can you please repeat the calibration starting from stage 0 over the weekend and fit all of the cities to data by the end of 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94B3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F858C0" w16cex:dateUtc="2026-08-21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94B368" w16cid:durableId="75F858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6DD2352"/>
    <w:multiLevelType w:val="multilevel"/>
    <w:tmpl w:val="88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8E136CE"/>
    <w:multiLevelType w:val="multilevel"/>
    <w:tmpl w:val="4712E14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FC868D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8"/>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7"/>
  </w:num>
  <w:num w:numId="9" w16cid:durableId="2111774303">
    <w:abstractNumId w:val="5"/>
  </w:num>
  <w:num w:numId="10" w16cid:durableId="288127067">
    <w:abstractNumId w:val="0"/>
  </w:num>
  <w:num w:numId="11" w16cid:durableId="1778138607">
    <w:abstractNumId w:val="3"/>
  </w:num>
  <w:num w:numId="12" w16cid:durableId="408889406">
    <w:abstractNumId w:val="9"/>
  </w:num>
  <w:num w:numId="13" w16cid:durableId="383061604">
    <w:abstractNumId w:val="6"/>
  </w:num>
  <w:num w:numId="14" w16cid:durableId="138503700">
    <w:abstractNumId w:val="4"/>
  </w:num>
  <w:num w:numId="15" w16cid:durableId="8450253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5C"/>
    <w:rsid w:val="00001E58"/>
    <w:rsid w:val="00016F2B"/>
    <w:rsid w:val="00035AA8"/>
    <w:rsid w:val="00052732"/>
    <w:rsid w:val="00070153"/>
    <w:rsid w:val="000A1117"/>
    <w:rsid w:val="000A3760"/>
    <w:rsid w:val="000E3942"/>
    <w:rsid w:val="000F25CF"/>
    <w:rsid w:val="001031DC"/>
    <w:rsid w:val="00125D0B"/>
    <w:rsid w:val="00131383"/>
    <w:rsid w:val="0013273D"/>
    <w:rsid w:val="00136A75"/>
    <w:rsid w:val="0015093D"/>
    <w:rsid w:val="001917E4"/>
    <w:rsid w:val="001B592A"/>
    <w:rsid w:val="001E3F66"/>
    <w:rsid w:val="00216989"/>
    <w:rsid w:val="002200AC"/>
    <w:rsid w:val="00233EF9"/>
    <w:rsid w:val="00242625"/>
    <w:rsid w:val="0026236C"/>
    <w:rsid w:val="002854D3"/>
    <w:rsid w:val="002A4DC3"/>
    <w:rsid w:val="002C15FC"/>
    <w:rsid w:val="002D2D91"/>
    <w:rsid w:val="002D5D6D"/>
    <w:rsid w:val="002D77B3"/>
    <w:rsid w:val="002E124A"/>
    <w:rsid w:val="002E2677"/>
    <w:rsid w:val="002E3795"/>
    <w:rsid w:val="002E75B3"/>
    <w:rsid w:val="003041BD"/>
    <w:rsid w:val="00320651"/>
    <w:rsid w:val="003275A5"/>
    <w:rsid w:val="0033114F"/>
    <w:rsid w:val="00332EC6"/>
    <w:rsid w:val="0033378C"/>
    <w:rsid w:val="00341861"/>
    <w:rsid w:val="00351EAA"/>
    <w:rsid w:val="00356E6F"/>
    <w:rsid w:val="00375AD9"/>
    <w:rsid w:val="003A5EE9"/>
    <w:rsid w:val="003B61C7"/>
    <w:rsid w:val="003B6A07"/>
    <w:rsid w:val="003D43DD"/>
    <w:rsid w:val="003F60A8"/>
    <w:rsid w:val="0042619D"/>
    <w:rsid w:val="0044689F"/>
    <w:rsid w:val="0047730A"/>
    <w:rsid w:val="004A1D63"/>
    <w:rsid w:val="004B23CE"/>
    <w:rsid w:val="004B3B29"/>
    <w:rsid w:val="004B7FE6"/>
    <w:rsid w:val="004D7267"/>
    <w:rsid w:val="004E5B52"/>
    <w:rsid w:val="004F1880"/>
    <w:rsid w:val="004F2498"/>
    <w:rsid w:val="005225F1"/>
    <w:rsid w:val="005229D6"/>
    <w:rsid w:val="00534CE3"/>
    <w:rsid w:val="00541A8D"/>
    <w:rsid w:val="00587DE1"/>
    <w:rsid w:val="005A429C"/>
    <w:rsid w:val="005D56E9"/>
    <w:rsid w:val="005E2400"/>
    <w:rsid w:val="005F68F0"/>
    <w:rsid w:val="006068D7"/>
    <w:rsid w:val="00606FD6"/>
    <w:rsid w:val="006365C6"/>
    <w:rsid w:val="00652524"/>
    <w:rsid w:val="006802CE"/>
    <w:rsid w:val="00680F7F"/>
    <w:rsid w:val="00691EE3"/>
    <w:rsid w:val="006B2C3E"/>
    <w:rsid w:val="006D43BB"/>
    <w:rsid w:val="006D56A3"/>
    <w:rsid w:val="006D5DB8"/>
    <w:rsid w:val="006E431F"/>
    <w:rsid w:val="006E74F1"/>
    <w:rsid w:val="00706A13"/>
    <w:rsid w:val="007250BC"/>
    <w:rsid w:val="0072613B"/>
    <w:rsid w:val="00731380"/>
    <w:rsid w:val="00736061"/>
    <w:rsid w:val="00751A02"/>
    <w:rsid w:val="00752DC2"/>
    <w:rsid w:val="007700EB"/>
    <w:rsid w:val="00785448"/>
    <w:rsid w:val="00790981"/>
    <w:rsid w:val="007B0375"/>
    <w:rsid w:val="007B201F"/>
    <w:rsid w:val="007B2ACC"/>
    <w:rsid w:val="007B2E1D"/>
    <w:rsid w:val="007E7BFD"/>
    <w:rsid w:val="007F6FE2"/>
    <w:rsid w:val="00820355"/>
    <w:rsid w:val="00842126"/>
    <w:rsid w:val="00880807"/>
    <w:rsid w:val="00890D34"/>
    <w:rsid w:val="00896929"/>
    <w:rsid w:val="008B3E13"/>
    <w:rsid w:val="008C2D31"/>
    <w:rsid w:val="008D4547"/>
    <w:rsid w:val="008D67FA"/>
    <w:rsid w:val="008E5126"/>
    <w:rsid w:val="008E6A9A"/>
    <w:rsid w:val="00916431"/>
    <w:rsid w:val="009C5FF2"/>
    <w:rsid w:val="009D6712"/>
    <w:rsid w:val="009E0871"/>
    <w:rsid w:val="009E1A87"/>
    <w:rsid w:val="009E4BDC"/>
    <w:rsid w:val="009E74E3"/>
    <w:rsid w:val="009F4DB4"/>
    <w:rsid w:val="00A53A89"/>
    <w:rsid w:val="00A54C2A"/>
    <w:rsid w:val="00A56138"/>
    <w:rsid w:val="00A6274A"/>
    <w:rsid w:val="00A744BE"/>
    <w:rsid w:val="00A82385"/>
    <w:rsid w:val="00A834B1"/>
    <w:rsid w:val="00A92CF2"/>
    <w:rsid w:val="00AA09DA"/>
    <w:rsid w:val="00AD7AAA"/>
    <w:rsid w:val="00AD7CBE"/>
    <w:rsid w:val="00AE2923"/>
    <w:rsid w:val="00B10A5C"/>
    <w:rsid w:val="00B568B2"/>
    <w:rsid w:val="00B925DC"/>
    <w:rsid w:val="00BA071C"/>
    <w:rsid w:val="00BC7533"/>
    <w:rsid w:val="00BD3169"/>
    <w:rsid w:val="00BD76F9"/>
    <w:rsid w:val="00BF3A5B"/>
    <w:rsid w:val="00BF4A2C"/>
    <w:rsid w:val="00C106F4"/>
    <w:rsid w:val="00C10C8B"/>
    <w:rsid w:val="00C15372"/>
    <w:rsid w:val="00C547CB"/>
    <w:rsid w:val="00C5584D"/>
    <w:rsid w:val="00C80FDF"/>
    <w:rsid w:val="00C91146"/>
    <w:rsid w:val="00C94A56"/>
    <w:rsid w:val="00C94B78"/>
    <w:rsid w:val="00C96346"/>
    <w:rsid w:val="00CA419E"/>
    <w:rsid w:val="00CA683A"/>
    <w:rsid w:val="00CE164B"/>
    <w:rsid w:val="00CE675B"/>
    <w:rsid w:val="00CE7C83"/>
    <w:rsid w:val="00D07F8B"/>
    <w:rsid w:val="00D233AA"/>
    <w:rsid w:val="00D23B42"/>
    <w:rsid w:val="00D5326A"/>
    <w:rsid w:val="00D94EFA"/>
    <w:rsid w:val="00D974CB"/>
    <w:rsid w:val="00E058EB"/>
    <w:rsid w:val="00E17F9C"/>
    <w:rsid w:val="00E23E7C"/>
    <w:rsid w:val="00E2551C"/>
    <w:rsid w:val="00E362EE"/>
    <w:rsid w:val="00EA390A"/>
    <w:rsid w:val="00EB761F"/>
    <w:rsid w:val="00F15686"/>
    <w:rsid w:val="00F45760"/>
    <w:rsid w:val="00F96C16"/>
    <w:rsid w:val="00FB4A7A"/>
    <w:rsid w:val="00FC0F42"/>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73D1"/>
  <w15:chartTrackingRefBased/>
  <w15:docId w15:val="{EFD7392C-F0F0-EE43-AD6C-4B777B49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E5B52"/>
    <w:pPr>
      <w:keepNext/>
      <w:keepLines/>
      <w:numPr>
        <w:numId w:val="14"/>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4E5B52"/>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E5B5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4E5B52"/>
    <w:rPr>
      <w:rFonts w:asciiTheme="minorBidi" w:hAnsiTheme="minorBidi" w:cs="Times New Roman"/>
      <w:kern w:val="0"/>
      <w:sz w:val="22"/>
      <w14:ligatures w14:val="none"/>
    </w:rPr>
  </w:style>
  <w:style w:type="paragraph" w:styleId="NormalWeb">
    <w:name w:val="Normal (Web)"/>
    <w:basedOn w:val="Normal"/>
    <w:uiPriority w:val="99"/>
    <w:semiHidden/>
    <w:unhideWhenUsed/>
    <w:rsid w:val="00B10A5C"/>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B10A5C"/>
    <w:rPr>
      <w:b/>
      <w:bCs/>
    </w:rPr>
  </w:style>
  <w:style w:type="character" w:styleId="Emphasis">
    <w:name w:val="Emphasis"/>
    <w:basedOn w:val="DefaultParagraphFont"/>
    <w:uiPriority w:val="20"/>
    <w:qFormat/>
    <w:rsid w:val="00B10A5C"/>
    <w:rPr>
      <w:i/>
      <w:iCs/>
    </w:rPr>
  </w:style>
  <w:style w:type="table" w:styleId="PlainTable3">
    <w:name w:val="Plain Table 3"/>
    <w:basedOn w:val="TableNormal"/>
    <w:uiPriority w:val="43"/>
    <w:rsid w:val="00B10A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B10A5C"/>
    <w:rPr>
      <w:sz w:val="16"/>
      <w:szCs w:val="16"/>
    </w:rPr>
  </w:style>
  <w:style w:type="paragraph" w:styleId="CommentText">
    <w:name w:val="annotation text"/>
    <w:basedOn w:val="Normal"/>
    <w:link w:val="CommentTextChar"/>
    <w:uiPriority w:val="99"/>
    <w:semiHidden/>
    <w:unhideWhenUsed/>
    <w:rsid w:val="00B10A5C"/>
    <w:rPr>
      <w:sz w:val="20"/>
      <w:szCs w:val="20"/>
    </w:rPr>
  </w:style>
  <w:style w:type="character" w:customStyle="1" w:styleId="CommentTextChar">
    <w:name w:val="Comment Text Char"/>
    <w:basedOn w:val="DefaultParagraphFont"/>
    <w:link w:val="CommentText"/>
    <w:uiPriority w:val="99"/>
    <w:semiHidden/>
    <w:rsid w:val="00B10A5C"/>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0A5C"/>
    <w:rPr>
      <w:b/>
      <w:bCs/>
    </w:rPr>
  </w:style>
  <w:style w:type="character" w:customStyle="1" w:styleId="CommentSubjectChar">
    <w:name w:val="Comment Subject Char"/>
    <w:basedOn w:val="CommentTextChar"/>
    <w:link w:val="CommentSubject"/>
    <w:uiPriority w:val="99"/>
    <w:semiHidden/>
    <w:rsid w:val="00B10A5C"/>
    <w:rPr>
      <w:rFonts w:asciiTheme="minorBidi" w:hAnsiTheme="minorBidi" w:cs="Times New Roman"/>
      <w:b/>
      <w:bCs/>
      <w:kern w:val="0"/>
      <w:sz w:val="20"/>
      <w:szCs w:val="20"/>
      <w14:ligatures w14:val="none"/>
    </w:rPr>
  </w:style>
  <w:style w:type="table" w:styleId="PlainTable5">
    <w:name w:val="Plain Table 5"/>
    <w:basedOn w:val="TableNormal"/>
    <w:uiPriority w:val="45"/>
    <w:rsid w:val="00B10A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0A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4</cp:revision>
  <dcterms:created xsi:type="dcterms:W3CDTF">2026-08-19T14:49:00Z</dcterms:created>
  <dcterms:modified xsi:type="dcterms:W3CDTF">2026-08-28T16:36:00Z</dcterms:modified>
</cp:coreProperties>
</file>