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CAD795" w14:textId="7F071503" w:rsidR="00444F85" w:rsidRPr="00444F85" w:rsidRDefault="00A02831" w:rsidP="00444F85">
      <w:pPr>
        <w:pStyle w:val="Heading1"/>
      </w:pPr>
      <w:r>
        <w:t>Model structure</w:t>
      </w:r>
    </w:p>
    <w:p w14:paraId="276AD8FC" w14:textId="110B6B94" w:rsidR="000347E0" w:rsidRPr="000347E0" w:rsidRDefault="00243B21" w:rsidP="000347E0">
      <w:pPr>
        <w:spacing w:before="0" w:after="0"/>
      </w:pPr>
      <w:r>
        <w:t>The SHIELD engine is a</w:t>
      </w:r>
      <w:r w:rsidR="000347E0" w:rsidRPr="000347E0">
        <w:t xml:space="preserve"> deterministic, compartmental ordinary differential equation (ODE) model of syphilis transmission</w:t>
      </w:r>
      <w:r>
        <w:t xml:space="preserve">. The </w:t>
      </w:r>
      <w:r w:rsidR="007922C4">
        <w:t xml:space="preserve">simulated population captures a </w:t>
      </w:r>
      <w:r w:rsidR="000347E0" w:rsidRPr="000347E0">
        <w:t xml:space="preserve">defined </w:t>
      </w:r>
      <w:r w:rsidR="007922C4">
        <w:t>M</w:t>
      </w:r>
      <w:r w:rsidR="000347E0" w:rsidRPr="000347E0">
        <w:t xml:space="preserve">etropolitan </w:t>
      </w:r>
      <w:r w:rsidR="007922C4">
        <w:t>S</w:t>
      </w:r>
      <w:r w:rsidR="000347E0" w:rsidRPr="000347E0">
        <w:t>tatistical</w:t>
      </w:r>
      <w:r>
        <w:t xml:space="preserve"> </w:t>
      </w:r>
      <w:r w:rsidR="007922C4">
        <w:t xml:space="preserve">Area </w:t>
      </w:r>
      <w:r>
        <w:t>(MSA)</w:t>
      </w:r>
      <w:r w:rsidR="000347E0" w:rsidRPr="000347E0">
        <w:t xml:space="preserve"> </w:t>
      </w:r>
      <w:r w:rsidR="007922C4">
        <w:t xml:space="preserve">in the United States (US). </w:t>
      </w:r>
      <w:r w:rsidR="000347E0" w:rsidRPr="000347E0">
        <w:t xml:space="preserve">Population compartments are structured along </w:t>
      </w:r>
      <w:r w:rsidR="00F129A2">
        <w:t>two</w:t>
      </w:r>
      <w:r w:rsidR="000347E0" w:rsidRPr="000347E0">
        <w:t xml:space="preserve"> primary axes: (A) syphilis natural history and (B) the syphilis care cascade (Figure 1), and are further stratified by</w:t>
      </w:r>
      <w:r w:rsidR="00F129A2">
        <w:t xml:space="preserve"> </w:t>
      </w:r>
      <w:r w:rsidR="00087033">
        <w:t>key</w:t>
      </w:r>
      <w:r w:rsidR="00F129A2">
        <w:t xml:space="preserve"> demographic characteristics, including</w:t>
      </w:r>
      <w:r w:rsidR="000347E0" w:rsidRPr="000347E0">
        <w:t xml:space="preserve"> sex and risk group (heterosexual males, heterosexual females, and men who have sex with men [MSM]), age (5-year groups, 0–65 years), and race/ethnicity (non-Hispanic Black, Hispanic, and other)</w:t>
      </w:r>
      <w:r w:rsidR="000347E0">
        <w:t>.</w:t>
      </w:r>
    </w:p>
    <w:p w14:paraId="491309D9" w14:textId="7607C32D" w:rsidR="000347E0" w:rsidRPr="000347E0" w:rsidRDefault="000347E0" w:rsidP="000347E0">
      <w:r w:rsidRPr="000347E0">
        <w:t>Uninfected individuals are classified as never-infecte</w:t>
      </w:r>
      <w:r>
        <w:t xml:space="preserve">d and those </w:t>
      </w:r>
      <w:r w:rsidRPr="000347E0">
        <w:t xml:space="preserve">previously infected and treated. Upon acquiring infection, individuals progress sequentially through primary and secondary syphilis (short-duration, infectious stages), early latent infection (reduced infectiousness, with risk of relapse to secondary syphilis), and late latent infection (asymptomatic, non-infectious). From late latent, individuals may further develop </w:t>
      </w:r>
      <w:r>
        <w:t xml:space="preserve">symptomatic </w:t>
      </w:r>
      <w:r w:rsidRPr="000347E0">
        <w:t>tertiary syphilis</w:t>
      </w:r>
      <w:r>
        <w:t xml:space="preserve"> </w:t>
      </w:r>
      <w:r w:rsidRPr="000347E0">
        <w:t xml:space="preserve">or </w:t>
      </w:r>
      <w:r>
        <w:t>neurosyphili</w:t>
      </w:r>
      <w:r w:rsidRPr="000347E0">
        <w:t>s</w:t>
      </w:r>
      <w:r w:rsidR="0055106D">
        <w:t xml:space="preserve"> (high mortality risk)</w:t>
      </w:r>
      <w:r w:rsidRPr="000347E0">
        <w:t xml:space="preserve">. Diagnosis can occur through four pathways: (1) symptomatic presentation during primary, secondary, tertiary, or neurosyphilis stages; (2) STI screening across all disease states; </w:t>
      </w:r>
      <w:r w:rsidR="009D6B98">
        <w:t xml:space="preserve">and </w:t>
      </w:r>
      <w:r w:rsidRPr="000347E0">
        <w:t>(</w:t>
      </w:r>
      <w:r w:rsidR="009D6B98">
        <w:t>3</w:t>
      </w:r>
      <w:r w:rsidRPr="000347E0">
        <w:t>) prenatal care screening, modeled as a separate diagnosis rate applied to pregnant women (females of reproductive age) across all disease states. Following diagnosis, individuals may receive immediate or delayed treatment; successfully treated individuals clear infection and return to the susceptible compartment. Full details of each model component are described in the sections below.</w:t>
      </w:r>
    </w:p>
    <w:p w14:paraId="30A1DC93" w14:textId="6D3BF387" w:rsidR="009D6B98" w:rsidRDefault="002E3B0F" w:rsidP="002E3B0F">
      <w:pPr>
        <w:keepNext/>
        <w:jc w:val="center"/>
      </w:pPr>
      <w:r>
        <w:rPr>
          <w:noProof/>
          <w14:ligatures w14:val="standardContextual"/>
        </w:rPr>
        <w:drawing>
          <wp:inline distT="0" distB="0" distL="0" distR="0" wp14:anchorId="2FFA72F6" wp14:editId="4EC6095E">
            <wp:extent cx="3858270" cy="3625702"/>
            <wp:effectExtent l="0" t="0" r="2540" b="0"/>
            <wp:docPr id="1620758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58701" name=""/>
                    <pic:cNvPicPr/>
                  </pic:nvPicPr>
                  <pic:blipFill>
                    <a:blip r:embed="rId5"/>
                    <a:stretch>
                      <a:fillRect/>
                    </a:stretch>
                  </pic:blipFill>
                  <pic:spPr>
                    <a:xfrm>
                      <a:off x="0" y="0"/>
                      <a:ext cx="3869087" cy="3635867"/>
                    </a:xfrm>
                    <a:prstGeom prst="rect">
                      <a:avLst/>
                    </a:prstGeom>
                  </pic:spPr>
                </pic:pic>
              </a:graphicData>
            </a:graphic>
          </wp:inline>
        </w:drawing>
      </w:r>
    </w:p>
    <w:p w14:paraId="54990604" w14:textId="77777777" w:rsidR="009D6B98" w:rsidRPr="009D6B98" w:rsidRDefault="009D6B98" w:rsidP="009D6B98">
      <w:pPr>
        <w:pStyle w:val="Caption"/>
      </w:pPr>
      <w:r w:rsidRPr="002E3B0F">
        <w:rPr>
          <w:b/>
          <w:bCs/>
        </w:rPr>
        <w:t xml:space="preserve">Figure </w:t>
      </w:r>
      <w:r w:rsidRPr="002E3B0F">
        <w:rPr>
          <w:b/>
          <w:bCs/>
        </w:rPr>
        <w:fldChar w:fldCharType="begin"/>
      </w:r>
      <w:r w:rsidRPr="002E3B0F">
        <w:rPr>
          <w:b/>
          <w:bCs/>
        </w:rPr>
        <w:instrText xml:space="preserve"> SEQ Figure \* ARABIC </w:instrText>
      </w:r>
      <w:r w:rsidRPr="002E3B0F">
        <w:rPr>
          <w:b/>
          <w:bCs/>
        </w:rPr>
        <w:fldChar w:fldCharType="separate"/>
      </w:r>
      <w:r w:rsidRPr="002E3B0F">
        <w:rPr>
          <w:b/>
          <w:bCs/>
          <w:noProof/>
        </w:rPr>
        <w:t>1</w:t>
      </w:r>
      <w:r w:rsidRPr="002E3B0F">
        <w:rPr>
          <w:b/>
          <w:bCs/>
          <w:noProof/>
        </w:rPr>
        <w:fldChar w:fldCharType="end"/>
      </w:r>
      <w:r w:rsidRPr="002E3B0F">
        <w:rPr>
          <w:b/>
          <w:bCs/>
        </w:rPr>
        <w:t>: SHIELD</w:t>
      </w:r>
      <w:r w:rsidRPr="009D6B98">
        <w:rPr>
          <w:b/>
          <w:bCs/>
        </w:rPr>
        <w:t xml:space="preserve"> model schematic design. </w:t>
      </w:r>
      <w:r w:rsidRPr="009D6B98">
        <w:t>Boxes represent model compartments corresponding to groups of individuals in similar health states, while arrows represent transition rates between health states. Panel A represents the simulated natural history of syphilis. Individuals enter the model uninfected and susceptible to syphilis infection and may acquire infection through sexual transmission. Following infection, individuals progress through early stages of syphilis, including primary, secondary, and early latent infection. These stages are considered infectious and can contribute to sexual transmission. After the first year of infection, individuals enter the late latent stage. If untreated, late latent infection can persist for years, and some individuals may develop tertiary disease. Central nervous system involvement, including neurosyphilis, can occur at any stage of infection. Panel B represents the cascade of syphilis care. Individuals with undiagnosed symptomatic infection may seek care and undergo symptom-driven testing. The model also includes STI screening in the broader population and syphilis screening during pregnancy for women of reproductive age, consistent with clinical screening practices. Following diagnosis, individuals may receive treatment immediately or experience a delay in treatment, with ongoing opportunities to receive treatment in the future. Individuals who are successfully treated can subsequently become reinfected with syphilis.</w:t>
      </w:r>
    </w:p>
    <w:p w14:paraId="14EAE5E7" w14:textId="5893E688" w:rsidR="00A02831" w:rsidRDefault="00A02831" w:rsidP="00625032">
      <w:pPr>
        <w:pStyle w:val="Heading2"/>
      </w:pPr>
      <w:r>
        <w:t>Syphilis natural history</w:t>
      </w:r>
    </w:p>
    <w:p w14:paraId="719E68BA" w14:textId="1E8F1C83" w:rsidR="000347E0" w:rsidRPr="009A65AE" w:rsidRDefault="000347E0" w:rsidP="000347E0">
      <w:pPr>
        <w:rPr>
          <w:rFonts w:cstheme="minorBidi"/>
          <w:b/>
          <w:bCs/>
          <w:i/>
          <w:iCs/>
          <w:szCs w:val="20"/>
        </w:rPr>
      </w:pPr>
      <w:r w:rsidRPr="009A65AE">
        <w:rPr>
          <w:rFonts w:cstheme="minorBidi"/>
          <w:szCs w:val="20"/>
        </w:rPr>
        <w:t xml:space="preserve">Syphilis is a multistage disease with diverse and wide-ranging clinical manifestations that vary depending on the stage of infection, which often includes overlapping phases. In our compartmental model, we represent the </w:t>
      </w:r>
      <w:r w:rsidRPr="009A65AE">
        <w:rPr>
          <w:rFonts w:cstheme="minorBidi"/>
          <w:szCs w:val="20"/>
        </w:rPr>
        <w:lastRenderedPageBreak/>
        <w:t>natural history of syphilis through </w:t>
      </w:r>
      <w:r>
        <w:rPr>
          <w:rFonts w:cstheme="minorBidi"/>
          <w:szCs w:val="20"/>
        </w:rPr>
        <w:t>6</w:t>
      </w:r>
      <w:r w:rsidRPr="009A65AE">
        <w:rPr>
          <w:rFonts w:cstheme="minorBidi"/>
          <w:szCs w:val="20"/>
        </w:rPr>
        <w:t xml:space="preserve"> distinct stages. These stages are defined based on clinical symptoms (which trigger care-seeking), infectiousness (the potential for transmission), and the associated risks of mortality and disability (which influence the burden of disease and costs).</w:t>
      </w:r>
    </w:p>
    <w:p w14:paraId="6DA1C20D" w14:textId="4F68E1B7" w:rsidR="000347E0" w:rsidRDefault="000347E0" w:rsidP="00444F85">
      <w:pPr>
        <w:pStyle w:val="Heading3"/>
      </w:pPr>
      <w:r>
        <w:t xml:space="preserve">Primary </w:t>
      </w:r>
      <w:r w:rsidR="00B02033">
        <w:t xml:space="preserve">&amp; Secondary </w:t>
      </w:r>
      <w:r>
        <w:t xml:space="preserve">syphilis </w:t>
      </w:r>
      <w:r w:rsidR="001F0C9E">
        <w:t>(PS)</w:t>
      </w:r>
    </w:p>
    <w:p w14:paraId="114D6645" w14:textId="5148BEE3" w:rsidR="00B02033" w:rsidRDefault="000347E0" w:rsidP="006672FB">
      <w:pPr>
        <w:rPr>
          <w:rFonts w:cstheme="minorBidi"/>
          <w:szCs w:val="20"/>
        </w:rPr>
      </w:pPr>
      <w:r w:rsidRPr="009A65AE">
        <w:rPr>
          <w:rFonts w:cstheme="minorBidi"/>
          <w:szCs w:val="20"/>
        </w:rPr>
        <w:t xml:space="preserve">Within the early infection period, we assume that </w:t>
      </w:r>
      <w:r w:rsidRPr="009A65AE">
        <w:rPr>
          <w:rFonts w:cstheme="minorBidi"/>
          <w:b/>
          <w:bCs/>
          <w:szCs w:val="20"/>
        </w:rPr>
        <w:t>primary syphilis</w:t>
      </w:r>
      <w:r w:rsidRPr="009A65AE">
        <w:rPr>
          <w:rFonts w:cstheme="minorBidi"/>
          <w:szCs w:val="20"/>
        </w:rPr>
        <w:t xml:space="preserve"> is characterized by the development of a painless chancre (sore), which represents an initial local infection. The chancre typically resolves spontaneously without treatment, but the disease quickly becomes systemic as </w:t>
      </w:r>
      <w:r w:rsidRPr="009A65AE">
        <w:rPr>
          <w:rFonts w:cstheme="minorBidi"/>
          <w:i/>
          <w:iCs/>
          <w:szCs w:val="20"/>
        </w:rPr>
        <w:t>T. pallidum</w:t>
      </w:r>
      <w:r w:rsidRPr="009A65AE">
        <w:rPr>
          <w:rFonts w:cstheme="minorBidi"/>
          <w:szCs w:val="20"/>
        </w:rPr>
        <w:t xml:space="preserve"> disseminates throughout the body. </w:t>
      </w:r>
      <w:r w:rsidR="00B02033">
        <w:rPr>
          <w:rFonts w:cstheme="minorBidi"/>
          <w:szCs w:val="20"/>
        </w:rPr>
        <w:t>The</w:t>
      </w:r>
      <w:r w:rsidRPr="009A65AE">
        <w:rPr>
          <w:rFonts w:cstheme="minorBidi"/>
          <w:szCs w:val="20"/>
        </w:rPr>
        <w:t xml:space="preserve"> primary stage </w:t>
      </w:r>
      <w:r w:rsidR="00B02033">
        <w:rPr>
          <w:rFonts w:cstheme="minorBidi"/>
          <w:szCs w:val="20"/>
        </w:rPr>
        <w:t>is</w:t>
      </w:r>
      <w:r w:rsidRPr="009A65AE">
        <w:rPr>
          <w:rFonts w:cstheme="minorBidi"/>
          <w:szCs w:val="20"/>
        </w:rPr>
        <w:t xml:space="preserve"> infectious</w:t>
      </w:r>
      <w:r w:rsidR="00B02033">
        <w:rPr>
          <w:rFonts w:cstheme="minorBidi"/>
          <w:szCs w:val="20"/>
        </w:rPr>
        <w:t xml:space="preserve"> and </w:t>
      </w:r>
      <w:r w:rsidR="006672FB" w:rsidRPr="006672FB">
        <w:rPr>
          <w:rFonts w:cstheme="minorBidi"/>
          <w:szCs w:val="20"/>
        </w:rPr>
        <w:t>lasts approximately</w:t>
      </w:r>
      <w:r w:rsidR="006672FB">
        <w:rPr>
          <w:rFonts w:cstheme="minorBidi"/>
          <w:szCs w:val="20"/>
        </w:rPr>
        <w:t xml:space="preserve"> </w:t>
      </w:r>
      <w:r w:rsidR="00B02033">
        <w:rPr>
          <w:rFonts w:cstheme="minorBidi"/>
          <w:szCs w:val="20"/>
        </w:rPr>
        <w:t>2-6 weeks</w:t>
      </w:r>
      <w:r w:rsidR="00AE5FAF">
        <w:rPr>
          <w:rFonts w:cstheme="minorBidi"/>
          <w:szCs w:val="20"/>
        </w:rPr>
        <w:t xml:space="preserve"> (</w:t>
      </w:r>
      <w:r w:rsidR="00AE5FAF" w:rsidRPr="00AE5FAF">
        <w:rPr>
          <w:rFonts w:cstheme="minorBidi"/>
          <w:b/>
          <w:bCs/>
          <w:szCs w:val="20"/>
        </w:rPr>
        <w:t>Table1</w:t>
      </w:r>
      <w:r w:rsidR="00AE5FAF">
        <w:rPr>
          <w:rFonts w:cstheme="minorBidi"/>
          <w:szCs w:val="20"/>
        </w:rPr>
        <w:t>)</w:t>
      </w:r>
      <w:r w:rsidR="00B02033">
        <w:rPr>
          <w:rFonts w:cstheme="minorBidi"/>
          <w:szCs w:val="20"/>
        </w:rPr>
        <w:t xml:space="preserve">. </w:t>
      </w:r>
    </w:p>
    <w:p w14:paraId="1D5A210E" w14:textId="4E181E88" w:rsidR="00B02033" w:rsidRPr="00AE5FAF" w:rsidRDefault="00B02033" w:rsidP="00B02033">
      <w:pPr>
        <w:rPr>
          <w:rFonts w:cstheme="minorBidi"/>
          <w:b/>
          <w:bCs/>
          <w:szCs w:val="20"/>
        </w:rPr>
      </w:pPr>
      <w:r w:rsidRPr="009A65AE">
        <w:rPr>
          <w:rFonts w:cstheme="minorBidi"/>
          <w:szCs w:val="20"/>
        </w:rPr>
        <w:t xml:space="preserve">We assume that </w:t>
      </w:r>
      <w:r w:rsidRPr="009A65AE">
        <w:rPr>
          <w:rFonts w:cstheme="minorBidi"/>
          <w:b/>
          <w:bCs/>
          <w:szCs w:val="20"/>
        </w:rPr>
        <w:t>secondary syphilis</w:t>
      </w:r>
      <w:r w:rsidRPr="009A65AE">
        <w:rPr>
          <w:rFonts w:cstheme="minorBidi"/>
          <w:szCs w:val="20"/>
        </w:rPr>
        <w:t xml:space="preserve"> is characterized by systemic symptoms, with the most prominent clinical sign being a rash that can present in various forms. Similar to primary syphilis, the symptoms of secondary syphilis typically resolve spontaneously even without treatment. This stage is highly infectious</w:t>
      </w:r>
      <w:r>
        <w:rPr>
          <w:rFonts w:cstheme="minorBidi"/>
          <w:szCs w:val="20"/>
        </w:rPr>
        <w:t xml:space="preserve"> and </w:t>
      </w:r>
      <w:r w:rsidR="006672FB" w:rsidRPr="006672FB">
        <w:rPr>
          <w:rFonts w:cstheme="minorBidi"/>
          <w:szCs w:val="20"/>
        </w:rPr>
        <w:t>lasts approximately</w:t>
      </w:r>
      <w:r w:rsidR="006672FB">
        <w:rPr>
          <w:rFonts w:cstheme="minorBidi"/>
          <w:szCs w:val="20"/>
        </w:rPr>
        <w:t xml:space="preserve"> </w:t>
      </w:r>
      <w:r>
        <w:rPr>
          <w:rFonts w:cstheme="minorBidi"/>
          <w:szCs w:val="20"/>
        </w:rPr>
        <w:t>1-3 months</w:t>
      </w:r>
      <w:r w:rsidR="002467A1">
        <w:rPr>
          <w:rFonts w:cstheme="minorBidi"/>
          <w:szCs w:val="20"/>
        </w:rPr>
        <w:t xml:space="preserve"> </w:t>
      </w:r>
      <w:r w:rsidR="002467A1" w:rsidRPr="00E21E3D">
        <w:rPr>
          <w:rFonts w:cstheme="minorBidi"/>
          <w:color w:val="000000" w:themeColor="text1"/>
          <w:sz w:val="18"/>
          <w:szCs w:val="18"/>
        </w:rPr>
        <w:fldChar w:fldCharType="begin">
          <w:fldData xml:space="preserve">PEVuZE5vdGU+PENpdGU+PEF1dGhvcj5IaWNrczwvQXV0aG9yPjxZZWFyPjIwMjE8L1llYXI+PFJl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</w:fldData>
        </w:fldChar>
      </w:r>
      <w:r w:rsidR="00AC2530">
        <w:rPr>
          <w:rFonts w:cstheme="minorBidi"/>
          <w:color w:val="000000" w:themeColor="text1"/>
          <w:sz w:val="18"/>
          <w:szCs w:val="18"/>
        </w:rPr>
        <w:instrText xml:space="preserve"> ADDIN EN.CITE </w:instrText>
      </w:r>
      <w:r w:rsidR="00AC2530">
        <w:rPr>
          <w:rFonts w:cstheme="minorBidi"/>
          <w:color w:val="000000" w:themeColor="text1"/>
          <w:sz w:val="18"/>
          <w:szCs w:val="18"/>
        </w:rPr>
        <w:fldChar w:fldCharType="begin">
          <w:fldData xml:space="preserve">PEVuZE5vdGU+PENpdGU+PEF1dGhvcj5IaWNrczwvQXV0aG9yPjxZZWFyPjIwMjE8L1llYXI+PFJl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</w:fldData>
        </w:fldChar>
      </w:r>
      <w:r w:rsidR="00AC2530">
        <w:rPr>
          <w:rFonts w:cstheme="minorBidi"/>
          <w:color w:val="000000" w:themeColor="text1"/>
          <w:sz w:val="18"/>
          <w:szCs w:val="18"/>
        </w:rPr>
        <w:instrText xml:space="preserve"> ADDIN EN.CITE.DATA </w:instrText>
      </w:r>
      <w:r w:rsidR="00AC2530">
        <w:rPr>
          <w:rFonts w:cstheme="minorBidi"/>
          <w:color w:val="000000" w:themeColor="text1"/>
          <w:sz w:val="18"/>
          <w:szCs w:val="18"/>
        </w:rPr>
      </w:r>
      <w:r w:rsidR="00AC2530">
        <w:rPr>
          <w:rFonts w:cstheme="minorBidi"/>
          <w:color w:val="000000" w:themeColor="text1"/>
          <w:sz w:val="18"/>
          <w:szCs w:val="18"/>
        </w:rPr>
        <w:fldChar w:fldCharType="end"/>
      </w:r>
      <w:r w:rsidR="002467A1" w:rsidRPr="00E21E3D">
        <w:rPr>
          <w:rFonts w:cstheme="minorBidi"/>
          <w:color w:val="000000" w:themeColor="text1"/>
          <w:sz w:val="18"/>
          <w:szCs w:val="18"/>
        </w:rPr>
      </w:r>
      <w:r w:rsidR="002467A1" w:rsidRPr="00E21E3D">
        <w:rPr>
          <w:rFonts w:cstheme="minorBidi"/>
          <w:color w:val="000000" w:themeColor="text1"/>
          <w:sz w:val="18"/>
          <w:szCs w:val="18"/>
        </w:rPr>
        <w:fldChar w:fldCharType="separate"/>
      </w:r>
      <w:r w:rsidR="00AC2530">
        <w:rPr>
          <w:rFonts w:cstheme="minorBidi"/>
          <w:noProof/>
          <w:color w:val="000000" w:themeColor="text1"/>
          <w:sz w:val="18"/>
          <w:szCs w:val="18"/>
        </w:rPr>
        <w:t>(1-3)</w:t>
      </w:r>
      <w:r w:rsidR="002467A1" w:rsidRPr="00E21E3D">
        <w:rPr>
          <w:rFonts w:cstheme="minorBidi"/>
          <w:color w:val="000000" w:themeColor="text1"/>
          <w:sz w:val="18"/>
          <w:szCs w:val="18"/>
        </w:rPr>
        <w:fldChar w:fldCharType="end"/>
      </w:r>
      <w:r w:rsidR="00AE5FAF">
        <w:rPr>
          <w:rFonts w:cstheme="minorBidi"/>
          <w:szCs w:val="20"/>
        </w:rPr>
        <w:t>.</w:t>
      </w:r>
    </w:p>
    <w:p w14:paraId="020223B7" w14:textId="30C9120D" w:rsidR="00AE5FAF" w:rsidRDefault="00AE5FAF" w:rsidP="00444F85">
      <w:pPr>
        <w:pStyle w:val="Heading3"/>
      </w:pPr>
      <w:r>
        <w:t xml:space="preserve">Early </w:t>
      </w:r>
      <w:r w:rsidR="009D6B98">
        <w:t>L</w:t>
      </w:r>
      <w:r w:rsidRPr="00AE5FAF">
        <w:t>atent</w:t>
      </w:r>
      <w:r>
        <w:t xml:space="preserve"> stage </w:t>
      </w:r>
    </w:p>
    <w:p w14:paraId="1A1FA654" w14:textId="77777777" w:rsidR="00AE5FAF" w:rsidRPr="00AE5FAF" w:rsidRDefault="00AE5FAF" w:rsidP="00AE5FAF">
      <w:pPr>
        <w:rPr>
          <w:rFonts w:cstheme="minorBidi"/>
          <w:szCs w:val="20"/>
        </w:rPr>
      </w:pPr>
      <w:r w:rsidRPr="00AE5FAF">
        <w:rPr>
          <w:rFonts w:cstheme="minorBidi"/>
          <w:szCs w:val="20"/>
        </w:rPr>
        <w:t>The latent phase begins when clinical symptoms resolve but infection persists, as evidenced by positive serologic tests. Early latent syphilis is defined as infection acquired within the previous 12 months. Individuals in this stage remain sexually infectious, but at a reduced level compared with primary or secondary syphilis; we assume infectiousness is 25% of the secondary-stage level.</w:t>
      </w:r>
    </w:p>
    <w:p w14:paraId="4B3C9BE3" w14:textId="7C00A545" w:rsidR="00AE5FAF" w:rsidRPr="00AE5FAF" w:rsidRDefault="00AE5FAF" w:rsidP="00AE5FAF">
      <w:pPr>
        <w:rPr>
          <w:rFonts w:cstheme="minorBidi"/>
          <w:szCs w:val="20"/>
        </w:rPr>
      </w:pPr>
      <w:r w:rsidRPr="00AE5FAF">
        <w:rPr>
          <w:rFonts w:cstheme="minorBidi"/>
          <w:szCs w:val="20"/>
        </w:rPr>
        <w:t>A proportion of early latent infections relapse to secondary syphilis, increasing infectiousness and the likelihood of care-seeking. We assume 25% relapse from early latent to secondary</w:t>
      </w:r>
      <w:r w:rsidR="00486C4F">
        <w:rPr>
          <w:rFonts w:cstheme="minorBidi"/>
          <w:szCs w:val="20"/>
        </w:rPr>
        <w:t>.</w:t>
      </w:r>
      <w:r w:rsidR="001A0FA9" w:rsidRPr="00E21E3D">
        <w:rPr>
          <w:rFonts w:cstheme="minorBidi"/>
          <w:color w:val="000000" w:themeColor="text1"/>
          <w:sz w:val="18"/>
          <w:szCs w:val="18"/>
        </w:rPr>
        <w:fldChar w:fldCharType="begin"/>
      </w:r>
      <w:r w:rsidR="001A0FA9">
        <w:rPr>
          <w:rFonts w:cstheme="minorBidi"/>
          <w:color w:val="000000" w:themeColor="text1"/>
          <w:sz w:val="18"/>
          <w:szCs w:val="18"/>
        </w:rPr>
        <w:instrText xml:space="preserve"> ADDIN EN.CITE &lt;EndNote&gt;&lt;Cite&gt;&lt;Author&gt;Singh&lt;/Author&gt;&lt;Year&gt;1999&lt;/Year&gt;&lt;RecNum&gt;6&lt;/RecNum&gt;&lt;DisplayText&gt;(2)&lt;/DisplayText&gt;&lt;record&gt;&lt;rec-number&gt;6&lt;/rec-number&gt;&lt;foreign-keys&gt;&lt;key app="EN" db-id="2azv52r5g9zffjevde4v22w32zs5sw0ea5zd" timestamp="1731617730"&gt;6&lt;/key&gt;&lt;/foreign-keys&gt;&lt;ref-type name="Journal Article"&gt;17&lt;/ref-type&gt;&lt;contributors&gt;&lt;authors&gt;&lt;author&gt;Singh, A. E.&lt;/author&gt;&lt;author&gt;Romanowski, B.&lt;/author&gt;&lt;/authors&gt;&lt;/contributors&gt;&lt;auth-address&gt;Alberta Health STD Services, University of Alberta, Edmonton, Alberta, Canada.&lt;/auth-address&gt;&lt;titles&gt;&lt;title&gt;Syphilis: review with emphasis on clinical, epidemiologic, and some biologic features&lt;/title&gt;&lt;secondary-title&gt;Clin Microbiol Rev&lt;/secondary-title&gt;&lt;/titles&gt;&lt;periodical&gt;&lt;full-title&gt;Clin Microbiol Rev&lt;/full-title&gt;&lt;/periodical&gt;&lt;pages&gt;187-209&lt;/pages&gt;&lt;volume&gt;12&lt;/volume&gt;&lt;number&gt;2&lt;/number&gt;&lt;edition&gt;1999/04/09&lt;/edition&gt;&lt;keywords&gt;&lt;keyword&gt;HIV Infections/complications&lt;/keyword&gt;&lt;keyword&gt;Humans&lt;/keyword&gt;&lt;keyword&gt;Syphilis/complications/*epidemiology/therapy&lt;/keyword&gt;&lt;/keywords&gt;&lt;dates&gt;&lt;year&gt;1999&lt;/year&gt;&lt;pub-dates&gt;&lt;date&gt;Apr&lt;/date&gt;&lt;/pub-dates&gt;&lt;/dates&gt;&lt;isbn&gt;0893-8512 (Print)&amp;#xD;1098-6618 (Electronic)&amp;#xD;0893-8512 (Linking)&lt;/isbn&gt;&lt;accession-num&gt;10194456&lt;/accession-num&gt;&lt;urls&gt;&lt;related-urls&gt;&lt;url&gt;https://www.ncbi.nlm.nih.gov/pubmed/10194456&lt;/url&gt;&lt;/related-urls&gt;&lt;/urls&gt;&lt;custom2&gt;PMC88914&lt;/custom2&gt;&lt;electronic-resource-num&gt;10.1128/CMR.12.2.187&lt;/electronic-resource-num&gt;&lt;/record&gt;&lt;/Cite&gt;&lt;/EndNote&gt;</w:instrText>
      </w:r>
      <w:r w:rsidR="001A0FA9" w:rsidRPr="00E21E3D">
        <w:rPr>
          <w:rFonts w:cstheme="minorBidi"/>
          <w:color w:val="000000" w:themeColor="text1"/>
          <w:sz w:val="18"/>
          <w:szCs w:val="18"/>
        </w:rPr>
        <w:fldChar w:fldCharType="separate"/>
      </w:r>
      <w:r w:rsidR="001A0FA9">
        <w:rPr>
          <w:rFonts w:cstheme="minorBidi"/>
          <w:noProof/>
          <w:color w:val="000000" w:themeColor="text1"/>
          <w:sz w:val="18"/>
          <w:szCs w:val="18"/>
        </w:rPr>
        <w:t>(2)</w:t>
      </w:r>
      <w:r w:rsidR="001A0FA9" w:rsidRPr="00E21E3D">
        <w:rPr>
          <w:rFonts w:cstheme="minorBidi"/>
          <w:color w:val="000000" w:themeColor="text1"/>
          <w:sz w:val="18"/>
          <w:szCs w:val="18"/>
        </w:rPr>
        <w:fldChar w:fldCharType="end"/>
      </w:r>
      <w:r w:rsidR="001A0FA9" w:rsidRPr="00E21E3D">
        <w:rPr>
          <w:rFonts w:cstheme="minorBidi"/>
          <w:color w:val="000000" w:themeColor="text1"/>
          <w:sz w:val="18"/>
          <w:szCs w:val="18"/>
        </w:rPr>
        <w:t xml:space="preserve"> </w:t>
      </w:r>
      <w:r w:rsidRPr="00AE5FAF">
        <w:rPr>
          <w:rFonts w:cstheme="minorBidi"/>
          <w:szCs w:val="20"/>
        </w:rPr>
        <w:t>Empirically, most first relapses occur early: approximately 90% within 1 year, 94% within 2 years, with the remainder over 4 years</w:t>
      </w:r>
      <w:r w:rsidR="00B4543B">
        <w:rPr>
          <w:rFonts w:cstheme="minorBidi"/>
          <w:szCs w:val="20"/>
        </w:rPr>
        <w:t xml:space="preserve"> </w:t>
      </w:r>
      <w:r w:rsidR="00B4543B" w:rsidRPr="00633631">
        <w:rPr>
          <w:rFonts w:cstheme="minorBidi"/>
          <w:i/>
          <w:iCs/>
          <w:szCs w:val="20"/>
        </w:rPr>
        <w:fldChar w:fldCharType="begin"/>
      </w:r>
      <w:r w:rsidR="00AC2530">
        <w:rPr>
          <w:rFonts w:cstheme="minorBidi"/>
          <w:i/>
          <w:iCs/>
          <w:szCs w:val="20"/>
        </w:rPr>
        <w:instrText xml:space="preserve"> ADDIN EN.CITE &lt;EndNote&gt;&lt;Cite&gt;&lt;Author&gt;Singh&lt;/Author&gt;&lt;Year&gt;1999&lt;/Year&gt;&lt;RecNum&gt;6&lt;/RecNum&gt;&lt;DisplayText&gt;(2)&lt;/DisplayText&gt;&lt;record&gt;&lt;rec-number&gt;6&lt;/rec-number&gt;&lt;foreign-keys&gt;&lt;key app="EN" db-id="2azv52r5g9zffjevde4v22w32zs5sw0ea5zd" timestamp="1731617730"&gt;6&lt;/key&gt;&lt;/foreign-keys&gt;&lt;ref-type name="Journal Article"&gt;17&lt;/ref-type&gt;&lt;contributors&gt;&lt;authors&gt;&lt;author&gt;Singh, A. E.&lt;/author&gt;&lt;author&gt;Romanowski, B.&lt;/author&gt;&lt;/authors&gt;&lt;/contributors&gt;&lt;auth-address&gt;Alberta Health STD Services, University of Alberta, Edmonton, Alberta, Canada.&lt;/auth-address&gt;&lt;titles&gt;&lt;title&gt;Syphilis: review with emphasis on clinical, epidemiologic, and some biologic features&lt;/title&gt;&lt;secondary-title&gt;Clin Microbiol Rev&lt;/secondary-title&gt;&lt;/titles&gt;&lt;periodical&gt;&lt;full-title&gt;Clin Microbiol Rev&lt;/full-title&gt;&lt;/periodical&gt;&lt;pages&gt;187-209&lt;/pages&gt;&lt;volume&gt;12&lt;/volume&gt;&lt;number&gt;2&lt;/number&gt;&lt;edition&gt;1999/04/09&lt;/edition&gt;&lt;keywords&gt;&lt;keyword&gt;HIV Infections/complications&lt;/keyword&gt;&lt;keyword&gt;Humans&lt;/keyword&gt;&lt;keyword&gt;Syphilis/complications/*epidemiology/therapy&lt;/keyword&gt;&lt;/keywords&gt;&lt;dates&gt;&lt;year&gt;1999&lt;/year&gt;&lt;pub-dates&gt;&lt;date&gt;Apr&lt;/date&gt;&lt;/pub-dates&gt;&lt;/dates&gt;&lt;isbn&gt;0893-8512 (Print)&amp;#xD;1098-6618 (Electronic)&amp;#xD;0893-8512 (Linking)&lt;/isbn&gt;&lt;accession-num&gt;10194456&lt;/accession-num&gt;&lt;urls&gt;&lt;related-urls&gt;&lt;url&gt;https://www.ncbi.nlm.nih.gov/pubmed/10194456&lt;/url&gt;&lt;/related-urls&gt;&lt;/urls&gt;&lt;custom2&gt;PMC88914&lt;/custom2&gt;&lt;electronic-resource-num&gt;10.1128/CMR.12.2.187&lt;/electronic-resource-num&gt;&lt;/record&gt;&lt;/Cite&gt;&lt;/EndNote&gt;</w:instrText>
      </w:r>
      <w:r w:rsidR="00B4543B" w:rsidRPr="00633631">
        <w:rPr>
          <w:rFonts w:cstheme="minorBidi"/>
          <w:i/>
          <w:iCs/>
          <w:szCs w:val="20"/>
        </w:rPr>
        <w:fldChar w:fldCharType="separate"/>
      </w:r>
      <w:r w:rsidR="00AC2530">
        <w:rPr>
          <w:rFonts w:cstheme="minorBidi"/>
          <w:i/>
          <w:iCs/>
          <w:noProof/>
          <w:szCs w:val="20"/>
        </w:rPr>
        <w:t>(2)</w:t>
      </w:r>
      <w:r w:rsidR="00B4543B" w:rsidRPr="00633631">
        <w:rPr>
          <w:rFonts w:cstheme="minorBidi"/>
          <w:i/>
          <w:iCs/>
          <w:szCs w:val="20"/>
        </w:rPr>
        <w:fldChar w:fldCharType="end"/>
      </w:r>
      <w:r w:rsidRPr="00AE5FAF">
        <w:rPr>
          <w:rFonts w:cstheme="minorBidi"/>
          <w:szCs w:val="20"/>
        </w:rPr>
        <w:t>. For modeling simplicity, we implement all relapses during the first year</w:t>
      </w:r>
      <w:r w:rsidR="00486C4F">
        <w:rPr>
          <w:rFonts w:cstheme="minorBidi"/>
          <w:szCs w:val="20"/>
        </w:rPr>
        <w:t xml:space="preserve"> (</w:t>
      </w:r>
      <w:r w:rsidR="00486C4F" w:rsidRPr="00AE5FAF">
        <w:rPr>
          <w:rFonts w:cstheme="minorBidi"/>
          <w:b/>
          <w:bCs/>
          <w:szCs w:val="20"/>
        </w:rPr>
        <w:t>Table1</w:t>
      </w:r>
      <w:r w:rsidR="00486C4F">
        <w:rPr>
          <w:rFonts w:cstheme="minorBidi"/>
          <w:szCs w:val="20"/>
        </w:rPr>
        <w:t>)</w:t>
      </w:r>
      <w:r w:rsidR="00486C4F" w:rsidRPr="00AE5FAF">
        <w:rPr>
          <w:rFonts w:cstheme="minorBidi"/>
          <w:szCs w:val="20"/>
        </w:rPr>
        <w:t xml:space="preserve">. </w:t>
      </w:r>
    </w:p>
    <w:p w14:paraId="23C4D73B" w14:textId="4A97267A" w:rsidR="00AE5FAF" w:rsidRDefault="00AE5FAF" w:rsidP="00AE5FAF">
      <w:pPr>
        <w:rPr>
          <w:rFonts w:cstheme="minorBidi"/>
          <w:szCs w:val="20"/>
        </w:rPr>
      </w:pPr>
    </w:p>
    <w:p w14:paraId="7220AF3A" w14:textId="77777777" w:rsidR="00B4543B" w:rsidRDefault="00B4543B" w:rsidP="00444F85">
      <w:pPr>
        <w:pStyle w:val="Heading3"/>
      </w:pPr>
      <w:r w:rsidRPr="009A65AE">
        <w:t xml:space="preserve">Late </w:t>
      </w:r>
      <w:r>
        <w:t>Disease</w:t>
      </w:r>
    </w:p>
    <w:p w14:paraId="7B789864" w14:textId="5DFF3DE9" w:rsidR="00B4543B" w:rsidRPr="00B4543B" w:rsidRDefault="00B4543B" w:rsidP="00B4543B">
      <w:r w:rsidRPr="00B4543B">
        <w:t>Late latent syphilis is defined as infection persisting beyond 12 months. Individuals in this stage are assumed not to be sexually infectious. Clinical manifestations are absent, serologic tests remain positive with gradually declining titers, and small numbers of organisms may persist, allowing infrequent vertical transmission. Sexual transmission does not occur in late latency.</w:t>
      </w:r>
    </w:p>
    <w:p w14:paraId="509605C0" w14:textId="47F7B178" w:rsidR="0053543C" w:rsidRDefault="0053543C" w:rsidP="00672FBE">
      <w:pPr>
        <w:pStyle w:val="Heading3"/>
      </w:pPr>
      <w:r>
        <w:t>Neurosyphilis</w:t>
      </w:r>
    </w:p>
    <w:p w14:paraId="69D532A4" w14:textId="6F27A956" w:rsidR="00FA5AF3" w:rsidRPr="00FA5AF3" w:rsidRDefault="00FA5AF3" w:rsidP="00FA5AF3">
      <w:r w:rsidRPr="00FA5AF3">
        <w:t xml:space="preserve">Neurosyphilis represents central nervous system (CNS) involvement by </w:t>
      </w:r>
      <w:r>
        <w:rPr>
          <w:i/>
          <w:iCs/>
        </w:rPr>
        <w:t>T.</w:t>
      </w:r>
      <w:r w:rsidRPr="00FA5AF3">
        <w:rPr>
          <w:i/>
          <w:iCs/>
        </w:rPr>
        <w:t>pallidum</w:t>
      </w:r>
      <w:r w:rsidRPr="00FA5AF3">
        <w:t xml:space="preserve"> and can arise at multiple points during the disease course. For modeling purposes, we focus on symptomatic neurosyphilis given its impact on care-seeking behavior and clinical outcomes.</w:t>
      </w:r>
      <w:r>
        <w:t xml:space="preserve"> </w:t>
      </w:r>
      <w:r w:rsidRPr="00FA5AF3">
        <w:rPr>
          <w:b/>
          <w:bCs/>
        </w:rPr>
        <w:t>Early neurosyphilis</w:t>
      </w:r>
      <w:r w:rsidRPr="00FA5AF3">
        <w:t xml:space="preserve"> typically occurs within the first year of infection. Meningeal involvement may present with headache, neck stiffness, nausea, photophobia, and cranial nerve deficits. Ocular syphilis</w:t>
      </w:r>
      <w:r w:rsidR="00243894">
        <w:t>–</w:t>
      </w:r>
      <w:r w:rsidRPr="00FA5AF3">
        <w:t>including uveitis and optic neuropathy</w:t>
      </w:r>
      <w:r w:rsidR="00243894">
        <w:t>–</w:t>
      </w:r>
      <w:r w:rsidRPr="00FA5AF3">
        <w:t>and otosyphilis</w:t>
      </w:r>
      <w:r w:rsidR="00243894">
        <w:t>–</w:t>
      </w:r>
      <w:r w:rsidRPr="00FA5AF3">
        <w:t>manifesting as hearing loss, tinnitus, or vertigo</w:t>
      </w:r>
      <w:r w:rsidR="00243894">
        <w:t>–</w:t>
      </w:r>
      <w:r w:rsidRPr="00FA5AF3">
        <w:t>may also occur during this period and can result in permanent disability if untreated.</w:t>
      </w:r>
      <w:r>
        <w:t xml:space="preserve"> </w:t>
      </w:r>
      <w:r w:rsidRPr="00FA5AF3">
        <w:rPr>
          <w:b/>
          <w:bCs/>
        </w:rPr>
        <w:t>Late neurosyphilis</w:t>
      </w:r>
      <w:r w:rsidRPr="00FA5AF3">
        <w:t xml:space="preserve"> develops years to decades after initial infection and encompasses several distinct syndromes: meningovascular disease (characterized by ischemic stroke due to syphilitic vasculitis), tabes dorsalis (presenting with lancinating pain, sensory ataxia, proprioceptive loss, and Argyll Robertson pupils), and general paresis (marked by progressive cognitive decline, personality changes, psychosis, and motor deficits).</w:t>
      </w:r>
    </w:p>
    <w:p w14:paraId="09D71D64" w14:textId="271DB163" w:rsidR="009054B5" w:rsidRDefault="00FA5AF3" w:rsidP="009054B5">
      <w:r w:rsidRPr="00FA5AF3">
        <w:t>In our model, we estimate separate rates of progression to symptomatic neurosyphilis from early-stage disease (within the first year, through the end of the early latent period) and from late latent syphilis</w:t>
      </w:r>
      <w:r w:rsidR="009054B5">
        <w:t xml:space="preserve">. </w:t>
      </w:r>
      <w:r w:rsidR="009054B5" w:rsidRPr="009054B5">
        <w:t xml:space="preserve">Both early and late symptomatic neurosyphilis are assumed to prompt rapid care-seeking due to symptom severity; accordingly, these states are assigned </w:t>
      </w:r>
      <w:r w:rsidR="009054B5" w:rsidRPr="00672FBE">
        <w:t>a fixed duration of one month</w:t>
      </w:r>
      <w:r w:rsidR="009054B5">
        <w:t xml:space="preserve"> </w:t>
      </w:r>
      <w:r w:rsidR="009054B5" w:rsidRPr="009054B5">
        <w:t>(</w:t>
      </w:r>
      <w:r w:rsidR="009054B5" w:rsidRPr="009054B5">
        <w:rPr>
          <w:b/>
          <w:bCs/>
        </w:rPr>
        <w:t>Table 1</w:t>
      </w:r>
      <w:r w:rsidR="009054B5" w:rsidRPr="009054B5">
        <w:t>)</w:t>
      </w:r>
      <w:r w:rsidR="009054B5">
        <w:t>.</w:t>
      </w:r>
    </w:p>
    <w:p w14:paraId="386AE2CB" w14:textId="3E9C362C" w:rsidR="00CB7969" w:rsidRDefault="00CB7969" w:rsidP="009054B5">
      <w:pPr>
        <w:pStyle w:val="Heading4"/>
      </w:pPr>
      <w:r w:rsidRPr="00D24C18">
        <w:t>Rate of developing neurosyphilis from early stages</w:t>
      </w:r>
    </w:p>
    <w:p w14:paraId="78F69DD7" w14:textId="77777777" w:rsidR="001C4D0A" w:rsidRPr="001C4D0A" w:rsidRDefault="001C4D0A" w:rsidP="001C4D0A">
      <w:pPr>
        <w:rPr>
          <w:shd w:val="clear" w:color="auto" w:fill="FFFFFF"/>
        </w:rPr>
      </w:pPr>
      <w:r w:rsidRPr="001C4D0A">
        <w:rPr>
          <w:shd w:val="clear" w:color="auto" w:fill="FFFFFF"/>
        </w:rPr>
        <w:t>We estimated the annual rate of progression from early syphilis to symptomatic neurosyphilis by synthesizing evidence from surveillance data, cohort studies, and biological observations. Observed proportions were converted to hazard rates using λ = −log(1 − p) / t, where p is the cumulative probability of progression over time interval t.</w:t>
      </w:r>
    </w:p>
    <w:p w14:paraId="281246B4" w14:textId="77777777" w:rsidR="001C4D0A" w:rsidRPr="001C4D0A" w:rsidRDefault="001C4D0A" w:rsidP="001C4D0A">
      <w:pPr>
        <w:rPr>
          <w:shd w:val="clear" w:color="auto" w:fill="FFFFFF"/>
        </w:rPr>
      </w:pPr>
      <w:r w:rsidRPr="001C4D0A">
        <w:rPr>
          <w:shd w:val="clear" w:color="auto" w:fill="FFFFFF"/>
        </w:rPr>
        <w:t>Four independent estimates informed our analysis:</w:t>
      </w:r>
    </w:p>
    <w:p w14:paraId="1D440446" w14:textId="0AFCA774" w:rsidR="00CF1867" w:rsidRPr="00CF1867" w:rsidRDefault="00CF1867" w:rsidP="00CF1867">
      <w:pPr>
        <w:numPr>
          <w:ilvl w:val="0"/>
          <w:numId w:val="33"/>
        </w:numPr>
        <w:tabs>
          <w:tab w:val="num" w:pos="720"/>
        </w:tabs>
        <w:rPr>
          <w:shd w:val="clear" w:color="auto" w:fill="FFFFFF"/>
        </w:rPr>
      </w:pPr>
      <w:r w:rsidRPr="00CF1867">
        <w:rPr>
          <w:b/>
          <w:bCs/>
          <w:shd w:val="clear" w:color="auto" w:fill="FFFFFF"/>
        </w:rPr>
        <w:lastRenderedPageBreak/>
        <w:t>US surveillance data (De Voux et al., 2018):</w:t>
      </w:r>
      <w:r w:rsidRPr="00CF1867">
        <w:rPr>
          <w:shd w:val="clear" w:color="auto" w:fill="FFFFFF"/>
        </w:rPr>
        <w:t xml:space="preserve"> Among nationally reported syphilis cases (2009–2015), confirmed or probable neurosyphilis was identified in 0.3% of primary, 1.1% of secondary, and 0.8% of early latent cases</w:t>
      </w:r>
      <w:r>
        <w:rPr>
          <w:shd w:val="clear" w:color="auto" w:fill="FFFFFF"/>
        </w:rPr>
        <w:t xml:space="preserve"> </w:t>
      </w:r>
      <w:r>
        <w:rPr>
          <w:shd w:val="clear" w:color="auto" w:fill="FFFFFF"/>
        </w:rPr>
        <w:fldChar w:fldCharType="begin"/>
      </w:r>
      <w:r w:rsidR="00472A79">
        <w:rPr>
          <w:shd w:val="clear" w:color="auto" w:fill="FFFFFF"/>
        </w:rPr>
        <w:instrText xml:space="preserve"> ADDIN EN.CITE &lt;EndNote&gt;&lt;Cite&gt;&lt;Author&gt;De Voux&lt;/Author&gt;&lt;Year&gt;2018&lt;/Year&gt;&lt;RecNum&gt;1249&lt;/RecNum&gt;&lt;DisplayText&gt;(4)&lt;/DisplayText&gt;&lt;record&gt;&lt;rec-number&gt;1249&lt;/rec-number&gt;&lt;foreign-keys&gt;&lt;key app="EN" db-id="xrzs0t9aq90fz3epr5zx0p99vxx0ftpxw0s0" timestamp="1740664563"&gt;1249&lt;/key&gt;&lt;/foreign-keys&gt;&lt;ref-type name="Journal Article"&gt;17&lt;/ref-type&gt;&lt;contributors&gt;&lt;authors&gt;&lt;author&gt;De Voux, Alex&lt;/author&gt;&lt;author&gt;Kidd, Sarah&lt;/author&gt;&lt;author&gt;Torrone, Elizabeth A&lt;/author&gt;&lt;/authors&gt;&lt;/contributors&gt;&lt;titles&gt;&lt;title&gt;Reported cases of neurosyphilis among early syphilis cases—United States, 2009 to 2015&lt;/title&gt;&lt;secondary-title&gt;Sexually transmitted diseases&lt;/secondary-title&gt;&lt;/titles&gt;&lt;periodical&gt;&lt;full-title&gt;Sexually transmitted diseases&lt;/full-title&gt;&lt;/periodical&gt;&lt;pages&gt;39-41&lt;/pages&gt;&lt;volume&gt;45&lt;/volume&gt;&lt;number&gt;1&lt;/number&gt;&lt;dates&gt;&lt;year&gt;2018&lt;/year&gt;&lt;/dates&gt;&lt;isbn&gt;0148-5717&lt;/isbn&gt;&lt;urls&gt;&lt;/urls&gt;&lt;/record&gt;&lt;/Cite&gt;&lt;/EndNote&gt;</w:instrText>
      </w:r>
      <w:r>
        <w:rPr>
          <w:shd w:val="clear" w:color="auto" w:fill="FFFFFF"/>
        </w:rPr>
        <w:fldChar w:fldCharType="separate"/>
      </w:r>
      <w:r w:rsidR="00472A79">
        <w:rPr>
          <w:noProof/>
          <w:shd w:val="clear" w:color="auto" w:fill="FFFFFF"/>
        </w:rPr>
        <w:t>(4)</w:t>
      </w:r>
      <w:r>
        <w:rPr>
          <w:shd w:val="clear" w:color="auto" w:fill="FFFFFF"/>
        </w:rPr>
        <w:fldChar w:fldCharType="end"/>
      </w:r>
      <w:r w:rsidRPr="00CF1867">
        <w:rPr>
          <w:shd w:val="clear" w:color="auto" w:fill="FFFFFF"/>
        </w:rPr>
        <w:t xml:space="preserve">. Assuming stage durations of approximately 1 month (primary), 3 months (secondary), and 9 months (early latent) based on [citation], and applying stage-duration weighting, we estimated an annual progression rate of approximately </w:t>
      </w:r>
      <w:r w:rsidRPr="00CF1867">
        <w:rPr>
          <w:b/>
          <w:bCs/>
          <w:shd w:val="clear" w:color="auto" w:fill="FFFFFF"/>
        </w:rPr>
        <w:t>0.012 per year</w:t>
      </w:r>
      <w:r w:rsidRPr="00CF1867">
        <w:rPr>
          <w:shd w:val="clear" w:color="auto" w:fill="FFFFFF"/>
        </w:rPr>
        <w:t>.</w:t>
      </w:r>
    </w:p>
    <w:p w14:paraId="5564AF05" w14:textId="0ADBBD9B" w:rsidR="00CF1867" w:rsidRPr="00CF1867" w:rsidRDefault="00CF1867" w:rsidP="00CF1867">
      <w:pPr>
        <w:numPr>
          <w:ilvl w:val="0"/>
          <w:numId w:val="33"/>
        </w:numPr>
        <w:tabs>
          <w:tab w:val="num" w:pos="720"/>
        </w:tabs>
        <w:rPr>
          <w:shd w:val="clear" w:color="auto" w:fill="FFFFFF"/>
        </w:rPr>
      </w:pPr>
      <w:r w:rsidRPr="00CF1867">
        <w:rPr>
          <w:b/>
          <w:bCs/>
          <w:shd w:val="clear" w:color="auto" w:fill="FFFFFF"/>
        </w:rPr>
        <w:t>Enhanced surveillance (Quilter et al., 2021):</w:t>
      </w:r>
      <w:r w:rsidRPr="00CF1867">
        <w:rPr>
          <w:shd w:val="clear" w:color="auto" w:fill="FFFFFF"/>
        </w:rPr>
        <w:t xml:space="preserve"> Among 9,123 early syphilis cases reported through the SSuN Neuro/Ocular Surveillance Project (November 2016–October 2017), 1.7% (95% CI: 1.4%–1.9%) presented with at least one neurologic or ocular symptom</w:t>
      </w:r>
      <w:r>
        <w:rPr>
          <w:shd w:val="clear" w:color="auto" w:fill="FFFFFF"/>
        </w:rPr>
        <w:t xml:space="preserve"> </w:t>
      </w:r>
      <w:r>
        <w:rPr>
          <w:shd w:val="clear" w:color="auto" w:fill="FFFFFF"/>
        </w:rPr>
        <w:fldChar w:fldCharType="begin"/>
      </w:r>
      <w:r w:rsidR="00472A79">
        <w:rPr>
          <w:shd w:val="clear" w:color="auto" w:fill="FFFFFF"/>
        </w:rPr>
        <w:instrText xml:space="preserve"> ADDIN EN.CITE &lt;EndNote&gt;&lt;Cite&gt;&lt;Author&gt;Quilter&lt;/Author&gt;&lt;Year&gt;2021&lt;/Year&gt;&lt;RecNum&gt;2605&lt;/RecNum&gt;&lt;DisplayText&gt;(5)&lt;/DisplayText&gt;&lt;record&gt;&lt;rec-number&gt;2605&lt;/rec-number&gt;&lt;foreign-keys&gt;&lt;key app="EN" db-id="xrzs0t9aq90fz3epr5zx0p99vxx0ftpxw0s0" timestamp="1778604693"&gt;2605&lt;/key&gt;&lt;/foreign-keys&gt;&lt;ref-type name="Journal Article"&gt;17&lt;/ref-type&gt;&lt;contributors&gt;&lt;authors&gt;&lt;author&gt;Quilter, Laura AS&lt;/author&gt;&lt;author&gt;de Voux, Alex&lt;/author&gt;&lt;author&gt;Amiya, Rachel M&lt;/author&gt;&lt;author&gt;Davies, Erin&lt;/author&gt;&lt;author&gt;Hennessy, Robin R&lt;/author&gt;&lt;author&gt;Kerani, Roxanne P&lt;/author&gt;&lt;author&gt;Madera, Robbie&lt;/author&gt;&lt;author&gt;Matthias, James&lt;/author&gt;&lt;author&gt;Pearson, Victoria M&lt;/author&gt;&lt;author&gt;Walters, Jaime K&lt;/author&gt;&lt;/authors&gt;&lt;/contributors&gt;&lt;titles&gt;&lt;title&gt;Prevalence of self-reported neurologic and ocular symptoms in early syphilis cases&lt;/title&gt;&lt;secondary-title&gt;Clinical Infectious Diseases&lt;/secondary-title&gt;&lt;/titles&gt;&lt;periodical&gt;&lt;full-title&gt;Clinical Infectious Diseases&lt;/full-title&gt;&lt;/periodical&gt;&lt;pages&gt;961-967&lt;/pages&gt;&lt;volume&gt;72&lt;/volume&gt;&lt;number&gt;6&lt;/number&gt;&lt;dates&gt;&lt;year&gt;2021&lt;/year&gt;&lt;/dates&gt;&lt;isbn&gt;1058-4838&lt;/isbn&gt;&lt;urls&gt;&lt;/urls&gt;&lt;/record&gt;&lt;/Cite&gt;&lt;/EndNote&gt;</w:instrText>
      </w:r>
      <w:r>
        <w:rPr>
          <w:shd w:val="clear" w:color="auto" w:fill="FFFFFF"/>
        </w:rPr>
        <w:fldChar w:fldCharType="separate"/>
      </w:r>
      <w:r w:rsidR="00472A79">
        <w:rPr>
          <w:noProof/>
          <w:shd w:val="clear" w:color="auto" w:fill="FFFFFF"/>
        </w:rPr>
        <w:t>(5)</w:t>
      </w:r>
      <w:r>
        <w:rPr>
          <w:shd w:val="clear" w:color="auto" w:fill="FFFFFF"/>
        </w:rPr>
        <w:fldChar w:fldCharType="end"/>
      </w:r>
      <w:r w:rsidRPr="00783728">
        <w:rPr>
          <w:shd w:val="clear" w:color="auto" w:fill="FFFFFF"/>
        </w:rPr>
        <w:t xml:space="preserve"> </w:t>
      </w:r>
      <w:r w:rsidRPr="00CF1867">
        <w:rPr>
          <w:shd w:val="clear" w:color="auto" w:fill="FFFFFF"/>
        </w:rPr>
        <w:t xml:space="preserve">. This broader case definition, which captures ocular manifestations that may be underreported in routine surveillance, yielded an estimated rate of approximately </w:t>
      </w:r>
      <w:r w:rsidRPr="00CF1867">
        <w:rPr>
          <w:b/>
          <w:bCs/>
          <w:shd w:val="clear" w:color="auto" w:fill="FFFFFF"/>
        </w:rPr>
        <w:t>0.017 per year</w:t>
      </w:r>
      <w:r w:rsidRPr="00CF1867">
        <w:rPr>
          <w:shd w:val="clear" w:color="auto" w:fill="FFFFFF"/>
        </w:rPr>
        <w:t>.</w:t>
      </w:r>
    </w:p>
    <w:p w14:paraId="129B387F" w14:textId="5BFF50F5" w:rsidR="00CF1867" w:rsidRPr="00CF1867" w:rsidRDefault="00CF1867" w:rsidP="00CF1867">
      <w:pPr>
        <w:numPr>
          <w:ilvl w:val="0"/>
          <w:numId w:val="33"/>
        </w:numPr>
        <w:tabs>
          <w:tab w:val="num" w:pos="720"/>
        </w:tabs>
        <w:rPr>
          <w:shd w:val="clear" w:color="auto" w:fill="FFFFFF"/>
        </w:rPr>
      </w:pPr>
      <w:r w:rsidRPr="00CF1867">
        <w:rPr>
          <w:b/>
          <w:bCs/>
          <w:shd w:val="clear" w:color="auto" w:fill="FFFFFF"/>
        </w:rPr>
        <w:t>Cohort study (Henriques et al., 2022):</w:t>
      </w:r>
      <w:r w:rsidRPr="00CF1867">
        <w:rPr>
          <w:shd w:val="clear" w:color="auto" w:fill="FFFFFF"/>
        </w:rPr>
        <w:t xml:space="preserve"> In a retrospective cohort of people living with HIV diagnosed with incident syphilis in Brazil, the incidence rate of confirmed neurosyphilis was 15.0 per 1,000 person-years among those undergoing lumbar puncture, corresponding to approximately </w:t>
      </w:r>
      <w:r w:rsidRPr="00CF1867">
        <w:rPr>
          <w:b/>
          <w:bCs/>
          <w:shd w:val="clear" w:color="auto" w:fill="FFFFFF"/>
        </w:rPr>
        <w:t>0.015 per year</w:t>
      </w:r>
      <w:r>
        <w:rPr>
          <w:b/>
          <w:bCs/>
          <w:shd w:val="clear" w:color="auto" w:fill="FFFFFF"/>
        </w:rPr>
        <w:t xml:space="preserve"> </w:t>
      </w:r>
      <w:r w:rsidRPr="005C30EB">
        <w:rPr>
          <w:shd w:val="clear" w:color="auto" w:fill="FFFFFF"/>
        </w:rPr>
        <w:fldChar w:fldCharType="begin"/>
      </w:r>
      <w:r w:rsidR="00472A79">
        <w:rPr>
          <w:shd w:val="clear" w:color="auto" w:fill="FFFFFF"/>
        </w:rPr>
        <w:instrText xml:space="preserve"> ADDIN EN.CITE &lt;EndNote&gt;&lt;Cite&gt;&lt;Author&gt;Henriques&lt;/Author&gt;&lt;Year&gt;2022&lt;/Year&gt;&lt;RecNum&gt;2606&lt;/RecNum&gt;&lt;DisplayText&gt;(6)&lt;/DisplayText&gt;&lt;record&gt;&lt;rec-number&gt;2606&lt;/rec-number&gt;&lt;foreign-keys&gt;&lt;key app="EN" db-id="xrzs0t9aq90fz3epr5zx0p99vxx0ftpxw0s0" timestamp="1778604783"&gt;2606&lt;/key&gt;&lt;/foreign-keys&gt;&lt;ref-type name="Journal Article"&gt;17&lt;/ref-type&gt;&lt;contributors&gt;&lt;authors&gt;&lt;author&gt;Henriques, Barbara L&lt;/author&gt;&lt;author&gt;Cortez, André L&lt;/author&gt;&lt;author&gt;Nunes, Nathália N&lt;/author&gt;&lt;author&gt;Vidal, José E&lt;/author&gt;&lt;author&gt;Avelino</w:instrText>
      </w:r>
      <w:r w:rsidR="00472A79">
        <w:rPr>
          <w:rFonts w:ascii="Cambria Math" w:hAnsi="Cambria Math" w:cs="Cambria Math"/>
          <w:shd w:val="clear" w:color="auto" w:fill="FFFFFF"/>
        </w:rPr>
        <w:instrText>‐</w:instrText>
      </w:r>
      <w:r w:rsidR="00472A79">
        <w:rPr>
          <w:shd w:val="clear" w:color="auto" w:fill="FFFFFF"/>
        </w:rPr>
        <w:instrText>Silva, Vivian I&lt;/author&gt;&lt;/authors&gt;&lt;/contributors&gt;&lt;titles&gt;&lt;title&gt;Clinical outcomes of HIV–syphilis coinfection among patients with no neurological symptoms: a retrospective cohort study&lt;/title&gt;&lt;secondary-title&gt;HIV medicine&lt;/secondary-title&gt;&lt;/titles&gt;&lt;periodical&gt;&lt;full-title&gt;HIV medicine&lt;/full-title&gt;&lt;/periodical&gt;&lt;pages&gt;1041-1050&lt;/pages&gt;&lt;volume&gt;23&lt;/volume&gt;&lt;number&gt;10&lt;/number&gt;&lt;dates&gt;&lt;year&gt;2022&lt;/year&gt;&lt;/dates&gt;&lt;isbn&gt;1464-2662&lt;/isbn&gt;&lt;urls&gt;&lt;/urls&gt;&lt;/record&gt;&lt;/Cite&gt;&lt;/EndNote&gt;</w:instrText>
      </w:r>
      <w:r w:rsidRPr="005C30EB">
        <w:rPr>
          <w:shd w:val="clear" w:color="auto" w:fill="FFFFFF"/>
        </w:rPr>
        <w:fldChar w:fldCharType="separate"/>
      </w:r>
      <w:r w:rsidR="00472A79">
        <w:rPr>
          <w:noProof/>
          <w:shd w:val="clear" w:color="auto" w:fill="FFFFFF"/>
        </w:rPr>
        <w:t>(6)</w:t>
      </w:r>
      <w:r w:rsidRPr="005C30EB">
        <w:rPr>
          <w:shd w:val="clear" w:color="auto" w:fill="FFFFFF"/>
        </w:rPr>
        <w:fldChar w:fldCharType="end"/>
      </w:r>
      <w:r w:rsidRPr="00CF1867">
        <w:rPr>
          <w:shd w:val="clear" w:color="auto" w:fill="FFFFFF"/>
        </w:rPr>
        <w:t>. While HIV-associated immunosuppression may elevate neurosyphilis risk, the consistency of this estimate with general population surveillance data suggests it remains informative.</w:t>
      </w:r>
    </w:p>
    <w:p w14:paraId="67D32644" w14:textId="527DD105" w:rsidR="00CF1867" w:rsidRDefault="00CF1867" w:rsidP="00CF1867">
      <w:pPr>
        <w:numPr>
          <w:ilvl w:val="0"/>
          <w:numId w:val="33"/>
        </w:numPr>
        <w:tabs>
          <w:tab w:val="num" w:pos="720"/>
        </w:tabs>
        <w:rPr>
          <w:shd w:val="clear" w:color="auto" w:fill="FFFFFF"/>
        </w:rPr>
      </w:pPr>
      <w:r w:rsidRPr="00CF1867">
        <w:rPr>
          <w:b/>
          <w:bCs/>
          <w:shd w:val="clear" w:color="auto" w:fill="FFFFFF"/>
        </w:rPr>
        <w:t>Biological plausibility:</w:t>
      </w:r>
      <w:r w:rsidRPr="00CF1867">
        <w:rPr>
          <w:shd w:val="clear" w:color="auto" w:fill="FFFFFF"/>
        </w:rPr>
        <w:t xml:space="preserve"> Approximately 30% of indivduals with untreated early syphilis demonstrate cerebrospinal fluid evidence of CNS invasion </w:t>
      </w:r>
      <w:r w:rsidRPr="00BE27B3">
        <w:rPr>
          <w:shd w:val="clear" w:color="auto" w:fill="FFFFFF"/>
        </w:rPr>
        <w:fldChar w:fldCharType="begin"/>
      </w:r>
      <w:r w:rsidR="00472A79">
        <w:rPr>
          <w:shd w:val="clear" w:color="auto" w:fill="FFFFFF"/>
        </w:rPr>
        <w:instrText xml:space="preserve"> ADDIN EN.CITE &lt;EndNote&gt;&lt;Cite&gt;&lt;Author&gt;Lukehart&lt;/Author&gt;&lt;Year&gt;1988&lt;/Year&gt;&lt;RecNum&gt;2607&lt;/RecNum&gt;&lt;DisplayText&gt;(7, 8)&lt;/DisplayText&gt;&lt;record&gt;&lt;rec-number&gt;2607&lt;/rec-number&gt;&lt;foreign-keys&gt;&lt;key app="EN" db-id="xrzs0t9aq90fz3epr5zx0p99vxx0ftpxw0s0" timestamp="1778605196"&gt;2607&lt;/key&gt;&lt;/foreign-keys&gt;&lt;ref-type name="Journal Article"&gt;17&lt;/ref-type&gt;&lt;contributors&gt;&lt;authors&gt;&lt;author&gt;Lukehart, Sheila A&lt;/author&gt;&lt;author&gt;Hook III, Edward W&lt;/author&gt;&lt;author&gt;Baker-Zander, Sharon A&lt;/author&gt;&lt;author&gt;Collier, Ann C&lt;/author&gt;&lt;author&gt;Critchlow, Cathy W&lt;/author&gt;&lt;author&gt;Handsfield, H Hunter&lt;/author&gt;&lt;/authors&gt;&lt;/contributors&gt;&lt;titles&gt;&lt;title&gt;Invasion of the central nervous system by Treponema pallidum: implications for diagnosis and treatment&lt;/title&gt;&lt;secondary-title&gt;Annals of internal medicine&lt;/secondary-title&gt;&lt;/titles&gt;&lt;periodical&gt;&lt;full-title&gt;Ann Intern Med&lt;/full-title&gt;&lt;abbr-1&gt;Annals of internal medicine&lt;/abbr-1&gt;&lt;/periodical&gt;&lt;pages&gt;855-862&lt;/pages&gt;&lt;volume&gt;109&lt;/volume&gt;&lt;number&gt;11&lt;/number&gt;&lt;dates&gt;&lt;year&gt;1988&lt;/year&gt;&lt;/dates&gt;&lt;isbn&gt;0003-4819&lt;/isbn&gt;&lt;urls&gt;&lt;/urls&gt;&lt;/record&gt;&lt;/Cite&gt;&lt;Cite&gt;&lt;Author&gt;Van Eijk&lt;/Author&gt;&lt;Year&gt;1987&lt;/Year&gt;&lt;RecNum&gt;2608&lt;/RecNum&gt;&lt;record&gt;&lt;rec-number&gt;2608&lt;/rec-number&gt;&lt;foreign-keys&gt;&lt;key app="EN" db-id="xrzs0t9aq90fz3epr5zx0p99vxx0ftpxw0s0" timestamp="1778605229"&gt;2608&lt;/key&gt;&lt;/foreign-keys&gt;&lt;ref-type name="Journal Article"&gt;17&lt;/ref-type&gt;&lt;contributors&gt;&lt;authors&gt;&lt;author&gt;Van Eijk, RV&lt;/author&gt;&lt;author&gt;Wolters, E Ch&lt;/author&gt;&lt;author&gt;Tutuarima, JA&lt;/author&gt;&lt;author&gt;Hische, EA&lt;/author&gt;&lt;author&gt;Bos, JD&lt;/author&gt;&lt;author&gt;Van Trotsenburg, L&lt;/author&gt;&lt;author&gt;de Koning, GA&lt;/author&gt;&lt;author&gt;van der Helm, HJ&lt;/author&gt;&lt;/authors&gt;&lt;/contributors&gt;&lt;titles&gt;&lt;title&gt;Effect of early and late syphilis on central nervous system: cerebrospinal fluid changes and neurological deficit&lt;/title&gt;&lt;secondary-title&gt;Sexually Transmitted Infections&lt;/secondary-title&gt;&lt;/titles&gt;&lt;periodical&gt;&lt;full-title&gt;Sexually transmitted infections&lt;/full-title&gt;&lt;/periodical&gt;&lt;pages&gt;77-82&lt;/pages&gt;&lt;volume&gt;63&lt;/volume&gt;&lt;number&gt;2&lt;/number&gt;&lt;dates&gt;&lt;year&gt;1987&lt;/year&gt;&lt;/dates&gt;&lt;isbn&gt;1368-4973&lt;/isbn&gt;&lt;urls&gt;&lt;/urls&gt;&lt;/record&gt;&lt;/Cite&gt;&lt;/EndNote&gt;</w:instrText>
      </w:r>
      <w:r w:rsidRPr="00BE27B3">
        <w:rPr>
          <w:shd w:val="clear" w:color="auto" w:fill="FFFFFF"/>
        </w:rPr>
        <w:fldChar w:fldCharType="separate"/>
      </w:r>
      <w:r w:rsidR="00472A79">
        <w:rPr>
          <w:noProof/>
          <w:shd w:val="clear" w:color="auto" w:fill="FFFFFF"/>
        </w:rPr>
        <w:t>(7, 8)</w:t>
      </w:r>
      <w:r w:rsidRPr="00BE27B3">
        <w:rPr>
          <w:shd w:val="clear" w:color="auto" w:fill="FFFFFF"/>
        </w:rPr>
        <w:fldChar w:fldCharType="end"/>
      </w:r>
      <w:r w:rsidRPr="00BE27B3">
        <w:rPr>
          <w:shd w:val="clear" w:color="auto" w:fill="FFFFFF"/>
        </w:rPr>
        <w:t>.</w:t>
      </w:r>
      <w:r w:rsidRPr="00CF1867">
        <w:rPr>
          <w:shd w:val="clear" w:color="auto" w:fill="FFFFFF"/>
        </w:rPr>
        <w:t xml:space="preserve"> Assuming approximately 5% of those with CNS invasion progress to symptomatic neurosyphilis </w:t>
      </w:r>
      <w:r w:rsidRPr="00BE27B3">
        <w:rPr>
          <w:shd w:val="clear" w:color="auto" w:fill="FFFFFF"/>
        </w:rPr>
        <w:fldChar w:fldCharType="begin"/>
      </w:r>
      <w:r w:rsidR="00472A79">
        <w:rPr>
          <w:shd w:val="clear" w:color="auto" w:fill="FFFFFF"/>
        </w:rPr>
        <w:instrText xml:space="preserve"> ADDIN EN.CITE &lt;EndNote&gt;&lt;Cite&gt;&lt;Author&gt;Golden&lt;/Author&gt;&lt;Year&gt;2003&lt;/Year&gt;&lt;RecNum&gt;6&lt;/RecNum&gt;&lt;DisplayText&gt;(9)&lt;/DisplayText&gt;&lt;record&gt;&lt;rec-number&gt;6&lt;/rec-number&gt;&lt;foreign-keys&gt;&lt;key app="EN" db-id="s5f5zrwf4f52f7e99st5pdzfd9wd9f2xp5zv" timestamp="1778597343"&gt;6&lt;/key&gt;&lt;/foreign-keys&gt;&lt;ref-type name="Journal Article"&gt;17&lt;/ref-type&gt;&lt;contributors&gt;&lt;authors&gt;&lt;author&gt;Golden, Matthew R&lt;/author&gt;&lt;author&gt;Marra, Christina M&lt;/author&gt;&lt;author&gt;Holmes, King K&lt;/author&gt;&lt;/authors&gt;&lt;/contributors&gt;&lt;titles&gt;&lt;title&gt;Update on syphilis: resurgence of an old problem&lt;/title&gt;&lt;secondary-title&gt;Jama&lt;/secondary-title&gt;&lt;/titles&gt;&lt;pages&gt;1510-1514&lt;/pages&gt;&lt;volume&gt;290&lt;/volume&gt;&lt;number&gt;11&lt;/number&gt;&lt;dates&gt;&lt;year&gt;2003&lt;/year&gt;&lt;/dates&gt;&lt;isbn&gt;0098-7484&lt;/isbn&gt;&lt;urls&gt;&lt;/urls&gt;&lt;/record&gt;&lt;/Cite&gt;&lt;/EndNote&gt;</w:instrText>
      </w:r>
      <w:r w:rsidRPr="00BE27B3">
        <w:rPr>
          <w:shd w:val="clear" w:color="auto" w:fill="FFFFFF"/>
        </w:rPr>
        <w:fldChar w:fldCharType="separate"/>
      </w:r>
      <w:r w:rsidR="00472A79">
        <w:rPr>
          <w:noProof/>
          <w:shd w:val="clear" w:color="auto" w:fill="FFFFFF"/>
        </w:rPr>
        <w:t>(9)</w:t>
      </w:r>
      <w:r w:rsidRPr="00BE27B3">
        <w:rPr>
          <w:shd w:val="clear" w:color="auto" w:fill="FFFFFF"/>
        </w:rPr>
        <w:fldChar w:fldCharType="end"/>
      </w:r>
      <w:r>
        <w:rPr>
          <w:shd w:val="clear" w:color="auto" w:fill="FFFFFF"/>
        </w:rPr>
        <w:t xml:space="preserve">, </w:t>
      </w:r>
      <w:r w:rsidRPr="00CF1867">
        <w:rPr>
          <w:shd w:val="clear" w:color="auto" w:fill="FFFFFF"/>
        </w:rPr>
        <w:t xml:space="preserve">the implied probability of symptomatic disease is approximately 1.5%, corresponding to a hazard rate of </w:t>
      </w:r>
      <w:r w:rsidRPr="00CF1867">
        <w:rPr>
          <w:b/>
          <w:bCs/>
          <w:shd w:val="clear" w:color="auto" w:fill="FFFFFF"/>
        </w:rPr>
        <w:t>0.015 per year</w:t>
      </w:r>
      <w:r w:rsidRPr="00CF1867">
        <w:rPr>
          <w:shd w:val="clear" w:color="auto" w:fill="FFFFFF"/>
        </w:rPr>
        <w:t>.</w:t>
      </w:r>
    </w:p>
    <w:p w14:paraId="1CB99BDD" w14:textId="364A102C" w:rsidR="00C260D5" w:rsidRDefault="00CF1867" w:rsidP="00CF1867">
      <w:pPr>
        <w:rPr>
          <w:shd w:val="clear" w:color="auto" w:fill="FFFFFF"/>
        </w:rPr>
      </w:pPr>
      <w:r w:rsidRPr="00CF1867">
        <w:rPr>
          <w:shd w:val="clear" w:color="auto" w:fill="FFFFFF"/>
        </w:rPr>
        <w:t>These four estimates</w:t>
      </w:r>
      <w:r w:rsidRPr="00C260D5">
        <w:rPr>
          <w:shd w:val="clear" w:color="auto" w:fill="FFFFFF"/>
        </w:rPr>
        <w:t xml:space="preserve"> show notable convergence. We selected 0.015 per year as our base-case estimate, representing the central tendency of available evidence, with a plausible range of 0.012–0.017 per year for sensitivity analyses</w:t>
      </w:r>
      <w:r w:rsidR="00C260D5" w:rsidRPr="00C260D5">
        <w:rPr>
          <w:shd w:val="clear" w:color="auto" w:fill="FFFFFF"/>
        </w:rPr>
        <w:t xml:space="preserve"> (Table1</w:t>
      </w:r>
      <w:r w:rsidR="00C260D5">
        <w:rPr>
          <w:shd w:val="clear" w:color="auto" w:fill="FFFFFF"/>
        </w:rPr>
        <w:t>)</w:t>
      </w:r>
      <w:r w:rsidRPr="00CF1867">
        <w:rPr>
          <w:shd w:val="clear" w:color="auto" w:fill="FFFFFF"/>
        </w:rPr>
        <w:t xml:space="preserve">. </w:t>
      </w:r>
    </w:p>
    <w:p w14:paraId="107A10E7" w14:textId="77777777" w:rsidR="00FE0333" w:rsidRPr="00D72BA1" w:rsidRDefault="00FE0333" w:rsidP="00283F29">
      <w:pPr>
        <w:pStyle w:val="Heading4"/>
        <w:rPr>
          <w:shd w:val="clear" w:color="auto" w:fill="FFFFFF"/>
        </w:rPr>
      </w:pPr>
      <w:r w:rsidRPr="00D24C18">
        <w:t xml:space="preserve">Rate of developing </w:t>
      </w:r>
      <w:r>
        <w:t>neurosyphilis</w:t>
      </w:r>
      <w:r w:rsidRPr="00D24C18">
        <w:t xml:space="preserve"> from </w:t>
      </w:r>
      <w:r>
        <w:t>late</w:t>
      </w:r>
      <w:r w:rsidRPr="00D24C18">
        <w:t xml:space="preserve"> stages </w:t>
      </w:r>
    </w:p>
    <w:p w14:paraId="72DB9359" w14:textId="60B9C629" w:rsidR="00C260D5" w:rsidRDefault="00C260D5" w:rsidP="00C260D5">
      <w:pPr>
        <w:rPr>
          <w:rFonts w:eastAsiaTheme="majorEastAsia"/>
        </w:rPr>
      </w:pPr>
      <w:r w:rsidRPr="00C260D5">
        <w:rPr>
          <w:rFonts w:eastAsiaTheme="majorEastAsia"/>
        </w:rPr>
        <w:t xml:space="preserve">Progression rates from late latent syphilis to symptomatic neurosyphilis were estimated using data from the Oslo study, a prospective cohort of untreated syphilis patients followed from 1891 to 1951 </w:t>
      </w:r>
      <w:r>
        <w:fldChar w:fldCharType="begin"/>
      </w:r>
      <w:r w:rsidR="00472A79">
        <w:instrText xml:space="preserve"> ADDIN EN.CITE &lt;EndNote&gt;&lt;Cite&gt;&lt;Author&gt;Clark&lt;/Author&gt;&lt;Year&gt;1955&lt;/Year&gt;&lt;RecNum&gt;1250&lt;/RecNum&gt;&lt;DisplayText&gt;(10)&lt;/DisplayText&gt;&lt;record&gt;&lt;rec-number&gt;1250&lt;/rec-number&gt;&lt;foreign-keys&gt;&lt;key app="EN" db-id="xrzs0t9aq90fz3epr5zx0p99vxx0ftpxw0s0" timestamp="1740665125"&gt;1250&lt;/key&gt;&lt;/foreign-keys&gt;&lt;ref-type name="Journal Article"&gt;17&lt;/ref-type&gt;&lt;contributors&gt;&lt;authors&gt;&lt;author&gt;Clark, E Gurney&lt;/author&gt;&lt;author&gt;Danbolt, Niels&lt;/author&gt;&lt;/authors&gt;&lt;/contributors&gt;&lt;titles&gt;&lt;title&gt;The Oslo study of the natural history of untreated syphilis: an epidemiologic investigation based on a restudy of the Boeck-Bruusgaard material a review and appraisal&lt;/title&gt;&lt;secondary-title&gt;Journal of chronic diseases&lt;/secondary-title&gt;&lt;/titles&gt;&lt;periodical&gt;&lt;full-title&gt;Journal of chronic diseases&lt;/full-title&gt;&lt;/periodical&gt;&lt;pages&gt;311-344&lt;/pages&gt;&lt;volume&gt;2&lt;/volume&gt;&lt;number&gt;3&lt;/number&gt;&lt;dates&gt;&lt;year&gt;1955&lt;/year&gt;&lt;/dates&gt;&lt;isbn&gt;0021-9681&lt;/isbn&gt;&lt;urls&gt;&lt;/urls&gt;&lt;/record&gt;&lt;/Cite&gt;&lt;/EndNote&gt;</w:instrText>
      </w:r>
      <w:r>
        <w:fldChar w:fldCharType="separate"/>
      </w:r>
      <w:r w:rsidR="00472A79">
        <w:rPr>
          <w:noProof/>
        </w:rPr>
        <w:t>(10)</w:t>
      </w:r>
      <w:r>
        <w:fldChar w:fldCharType="end"/>
      </w:r>
      <w:r w:rsidRPr="00C260D5">
        <w:rPr>
          <w:rFonts w:eastAsiaTheme="majorEastAsia"/>
        </w:rPr>
        <w:t>. Despite its historical context, this study remains the only systematic observation of untreated syphilis natural history; ethical constraints preclude contemporary replication. We acknowledge that modern progression rates may differ due to incidental antibiotic exposure, HIV co-infection (absent in the Oslo cohort), and differences in baseline health and competing mortality. Given these potentially offsetting biases, we apply Oslo-derived estimates as our best available approximation while conducting sensitivity analyses to assess the impact of this uncertainty.</w:t>
      </w:r>
    </w:p>
    <w:p w14:paraId="35E71E9F" w14:textId="70F7C9DC" w:rsidR="00FE0333" w:rsidRDefault="00FE0333" w:rsidP="00C260D5">
      <w:pPr>
        <w:rPr>
          <w:rFonts w:eastAsiaTheme="majorEastAsia"/>
        </w:rPr>
      </w:pPr>
      <w:r w:rsidRPr="00D72BA1">
        <w:rPr>
          <w:rFonts w:eastAsiaTheme="majorEastAsia"/>
        </w:rPr>
        <w:t>Neurosyphilis progression rates were estimated separately for men and women using cumulative incidence proportions and mean times to diagnosis from the Oslo cohort</w:t>
      </w:r>
      <w:r w:rsidR="00C260D5">
        <w:rPr>
          <w:rFonts w:eastAsiaTheme="majorEastAsia"/>
        </w:rPr>
        <w:t>.</w:t>
      </w:r>
      <w:r w:rsidRPr="00D72BA1">
        <w:rPr>
          <w:rFonts w:eastAsiaTheme="majorEastAsia"/>
        </w:rPr>
        <w:t xml:space="preserve"> Three sub-outcomes were included: diffuse meningovascular syphilis, general paresis, and tabes dorsalis. Gumma of the brain was excluded due to the absence of a reported mean time to diagnosis in </w:t>
      </w:r>
      <w:r>
        <w:rPr>
          <w:rFonts w:eastAsiaTheme="majorEastAsia"/>
        </w:rPr>
        <w:t>the report</w:t>
      </w:r>
      <w:r w:rsidRPr="00D72BA1">
        <w:rPr>
          <w:rFonts w:eastAsiaTheme="majorEastAsia"/>
        </w:rPr>
        <w:t xml:space="preserve">; given its small observed proportion (men: 0.3%, women: 0.2%), exclusion is unlikely to meaningfully affect the total rate. The sub-outcomes were treated as mutually exclusive by design, as their proportions sum exactly to the Oslo-reported total neurosyphilis prevalence (men: 9.4%, women: 5.0%), consistent with each case being assigned a single primary diagnosis. </w:t>
      </w:r>
    </w:p>
    <w:p w14:paraId="031FA443" w14:textId="1C8703B7" w:rsidR="00C260D5" w:rsidRDefault="00FE0333" w:rsidP="00C260D5">
      <w:r w:rsidRPr="00D72BA1">
        <w:rPr>
          <w:rFonts w:eastAsiaTheme="majorEastAsia"/>
        </w:rPr>
        <w:t>For each sub-outcome, the hazard was estimated as λ = −log(1 − p) / t, and uncertainty was quantified using the delta method. The total neurosyphilis hazard and its SE were obtained by summing sub-outcome-specific hazards and combining SEs under the assumption of independence</w:t>
      </w:r>
      <w:r>
        <w:rPr>
          <w:rFonts w:eastAsiaTheme="majorEastAsia"/>
        </w:rPr>
        <w:t xml:space="preserve">. </w:t>
      </w:r>
      <w:r w:rsidRPr="00264B6B">
        <w:t>Ninety-five percent confidence intervals were constructed using the normal approximation</w:t>
      </w:r>
      <w:r>
        <w:t xml:space="preserve"> (</w:t>
      </w:r>
      <w:r w:rsidRPr="00F659AA">
        <w:rPr>
          <w:b/>
          <w:bCs/>
        </w:rPr>
        <w:t>Table1</w:t>
      </w:r>
      <w:r>
        <w:t>).</w:t>
      </w:r>
    </w:p>
    <w:p w14:paraId="0042B757" w14:textId="77777777" w:rsidR="00283F29" w:rsidRDefault="00283F29" w:rsidP="00283F29">
      <w:pPr>
        <w:pStyle w:val="Heading3"/>
      </w:pPr>
      <w:r w:rsidRPr="00B4543B">
        <w:t xml:space="preserve">Tertiary syphilis </w:t>
      </w:r>
    </w:p>
    <w:p w14:paraId="5CE575E6" w14:textId="6C575AD1" w:rsidR="009054B5" w:rsidRPr="009054B5" w:rsidRDefault="009054B5" w:rsidP="00CE162F">
      <w:r w:rsidRPr="009054B5">
        <w:t>Without treatment, individuals in late latent syphilis may remain in this stage indefinitely or progress to symptomatic late disease</w:t>
      </w:r>
      <w:r w:rsidR="00243894">
        <w:t>–</w:t>
      </w:r>
      <w:r w:rsidRPr="009054B5">
        <w:t xml:space="preserve">either neurosyphilis (described above) or tertiary syphilis. </w:t>
      </w:r>
      <w:r w:rsidRPr="00CE162F">
        <w:t>Tertiary syphilis refers to</w:t>
      </w:r>
      <w:r w:rsidRPr="009054B5">
        <w:t xml:space="preserve"> late symptomatic disease involving the cardiovascular or gummatous systems, typically emerging years to decades after initial infection. Cardiovascular syphilis most commonly manifests as aortitis, leading to aortic aneurysm, aortic regurgitation, or coronary ostial stenosis. Gummatous syphilis is characterized by granulomatous nodular lesions affecting skin, bone, or viscera; although uncommon in the modern era, these lesions can be locally destructive. Historically, gummatous disease was termed "late benign syphilis" due to its relatively favorable prognosis compared to cardiovascular or neurologic involvement, though this terminology </w:t>
      </w:r>
      <w:r w:rsidRPr="009054B5">
        <w:lastRenderedPageBreak/>
        <w:t>understates its potential morbidity.</w:t>
      </w:r>
      <w:r w:rsidR="00D40555">
        <w:t xml:space="preserve"> Similar to neurosyphilis, our model assumes that tertiary syphilis </w:t>
      </w:r>
      <w:r w:rsidR="00D40555" w:rsidRPr="009054B5">
        <w:t>prompt</w:t>
      </w:r>
      <w:r w:rsidR="00D40555">
        <w:t>s</w:t>
      </w:r>
      <w:r w:rsidR="00D40555" w:rsidRPr="009054B5">
        <w:t xml:space="preserve"> rapid care-seeking due to symptom severity. Accordingly, we assign tertiary syphilis </w:t>
      </w:r>
      <w:r w:rsidR="00D40555">
        <w:t xml:space="preserve">a </w:t>
      </w:r>
      <w:r w:rsidR="00D40555" w:rsidRPr="009054B5">
        <w:t xml:space="preserve">fixed duration of one month in the model, reflecting the expected interval between symptom onset and </w:t>
      </w:r>
      <w:r w:rsidR="00D40555">
        <w:t>diagnosis</w:t>
      </w:r>
      <w:r w:rsidR="00D40555" w:rsidRPr="009054B5">
        <w:t xml:space="preserve"> (</w:t>
      </w:r>
      <w:r w:rsidR="00D40555" w:rsidRPr="00CE162F">
        <w:rPr>
          <w:b/>
          <w:bCs/>
        </w:rPr>
        <w:t>Table 1</w:t>
      </w:r>
      <w:r w:rsidR="00D40555" w:rsidRPr="009054B5">
        <w:t>).</w:t>
      </w:r>
    </w:p>
    <w:p w14:paraId="64E3F7F6" w14:textId="6FED515D" w:rsidR="006452AA" w:rsidRDefault="006452AA" w:rsidP="00D40555">
      <w:pPr>
        <w:pStyle w:val="Heading4"/>
      </w:pPr>
      <w:r w:rsidRPr="00D24C18">
        <w:t xml:space="preserve">Rate of developing </w:t>
      </w:r>
      <w:r w:rsidR="00D72BA1">
        <w:t>tertiary</w:t>
      </w:r>
      <w:r w:rsidRPr="00D24C18">
        <w:t xml:space="preserve"> from </w:t>
      </w:r>
      <w:r>
        <w:t>late</w:t>
      </w:r>
      <w:r w:rsidRPr="00D24C18">
        <w:t xml:space="preserve"> stages </w:t>
      </w:r>
    </w:p>
    <w:p w14:paraId="38004E82" w14:textId="58024D5F" w:rsidR="00760A8A" w:rsidRDefault="00E81A42" w:rsidP="007E1E03">
      <w:r w:rsidRPr="00256546">
        <w:t>We use data from Oslo study, fo</w:t>
      </w:r>
      <w:r>
        <w:t xml:space="preserve">llowing 2,000 untreated patients with primary and secondary syphilis during the twenty-year period, 1891–1910 </w:t>
      </w:r>
      <w:r>
        <w:fldChar w:fldCharType="begin"/>
      </w:r>
      <w:r w:rsidR="00472A79">
        <w:instrText xml:space="preserve"> ADDIN EN.CITE &lt;EndNote&gt;&lt;Cite&gt;&lt;Author&gt;Clark&lt;/Author&gt;&lt;Year&gt;1955&lt;/Year&gt;&lt;RecNum&gt;1250&lt;/RecNum&gt;&lt;DisplayText&gt;(10)&lt;/DisplayText&gt;&lt;record&gt;&lt;rec-number&gt;1250&lt;/rec-number&gt;&lt;foreign-keys&gt;&lt;key app="EN" db-id="xrzs0t9aq90fz3epr5zx0p99vxx0ftpxw0s0" timestamp="1740665125"&gt;1250&lt;/key&gt;&lt;/foreign-keys&gt;&lt;ref-type name="Journal Article"&gt;17&lt;/ref-type&gt;&lt;contributors&gt;&lt;authors&gt;&lt;author&gt;Clark, E Gurney&lt;/author&gt;&lt;author&gt;Danbolt, Niels&lt;/author&gt;&lt;/authors&gt;&lt;/contributors&gt;&lt;titles&gt;&lt;title&gt;The Oslo study of the natural history of untreated syphilis: an epidemiologic investigation based on a restudy of the Boeck-Bruusgaard material a review and appraisal&lt;/title&gt;&lt;secondary-title&gt;Journal of chronic diseases&lt;/secondary-title&gt;&lt;/titles&gt;&lt;periodical&gt;&lt;full-title&gt;Journal of chronic diseases&lt;/full-title&gt;&lt;/periodical&gt;&lt;pages&gt;311-344&lt;/pages&gt;&lt;volume&gt;2&lt;/volume&gt;&lt;number&gt;3&lt;/number&gt;&lt;dates&gt;&lt;year&gt;1955&lt;/year&gt;&lt;/dates&gt;&lt;isbn&gt;0021-9681&lt;/isbn&gt;&lt;urls&gt;&lt;/urls&gt;&lt;/record&gt;&lt;/Cite&gt;&lt;/EndNote&gt;</w:instrText>
      </w:r>
      <w:r>
        <w:fldChar w:fldCharType="separate"/>
      </w:r>
      <w:r w:rsidR="00472A79">
        <w:rPr>
          <w:noProof/>
        </w:rPr>
        <w:t>(10)</w:t>
      </w:r>
      <w:r>
        <w:fldChar w:fldCharType="end"/>
      </w:r>
      <w:r>
        <w:t xml:space="preserve">. We first computed the rate of developing late benign and cardiovascular syphilis, and then add them to compute total tertiary rate </w:t>
      </w:r>
      <w:r w:rsidR="007E1E03">
        <w:t>for men and women.</w:t>
      </w:r>
    </w:p>
    <w:p w14:paraId="216F538D" w14:textId="77777777" w:rsidR="00A43AFC" w:rsidRDefault="00264B6B" w:rsidP="00A43AFC">
      <w:r>
        <w:t>First, t</w:t>
      </w:r>
      <w:r w:rsidRPr="00264B6B">
        <w:t>o estimate progression from early syphilis to late benign syphilis, we used the reported cumulative incidence proportions at 15, 30, and 35 years of follow-up. Assuming a constant hazard over time, the cumulative incidence can be expressed as (</w:t>
      </w:r>
      <w:r w:rsidR="009B709D" w:rsidRPr="00195C08">
        <w:t>p(t) = 1 − e^(−λt)</w:t>
      </w:r>
      <w:r w:rsidR="009B709D">
        <w:t xml:space="preserve">) </w:t>
      </w:r>
      <w:r w:rsidRPr="00264B6B">
        <w:t xml:space="preserve">which can be linearized as </w:t>
      </w:r>
      <w:r w:rsidR="000A5851" w:rsidRPr="00195C08">
        <w:t>−log(1 − p(t)) = λt</w:t>
      </w:r>
      <w:r w:rsidRPr="00264B6B">
        <w:t xml:space="preserve">. We estimated the hazard rate </w:t>
      </w:r>
      <w:r w:rsidR="000A5851" w:rsidRPr="00195C08">
        <w:t>λ</w:t>
      </w:r>
      <w:r w:rsidR="000A5851">
        <w:t xml:space="preserve">_benign </w:t>
      </w:r>
      <w:r w:rsidRPr="00264B6B">
        <w:t xml:space="preserve">separately for men and women using ordinary least squares regression without an intercept, regressing </w:t>
      </w:r>
      <w:r w:rsidR="00A43AFC" w:rsidRPr="00195C08">
        <w:t>−log(1 − p(t)) on t</w:t>
      </w:r>
      <w:r w:rsidRPr="00264B6B">
        <w:t>. This approach constrains the cumulative hazard to be zero at baseline and yields the constant hazard rate as the regression slope. Standard errors were obtained from the model variance-covariance matrix.</w:t>
      </w:r>
    </w:p>
    <w:p w14:paraId="03D31AB2" w14:textId="164AA9FB" w:rsidR="00264B6B" w:rsidRPr="00264B6B" w:rsidRDefault="00A43AFC" w:rsidP="00F659AA">
      <w:r>
        <w:t>Second, t</w:t>
      </w:r>
      <w:r w:rsidR="00264B6B" w:rsidRPr="00264B6B">
        <w:t>o estimate progression to cardiovascular syphilis, we used the reported proportion of individuals aged 15 years and older who developed cardiovascular involvement during follow-up. Assuming events occurred over a 35-year period, we calculated the hazard rate as (</w:t>
      </w:r>
      <w:r w:rsidR="00F659AA" w:rsidRPr="002F7E79">
        <w:t>λ = −log(1 − p) / 35</w:t>
      </w:r>
      <w:r w:rsidR="00264B6B" w:rsidRPr="00264B6B">
        <w:t>), where (p) is the observed proportion developing cardiovascular disease. This method combines all cardiovascular manifestations into a single outcome and assumes a common follow-up period for all cardiovascular complications. Standard errors were calculated using the delta method, treating the observed proportion as a binomial estimate.</w:t>
      </w:r>
      <w:r w:rsidR="00F659AA">
        <w:t xml:space="preserve"> </w:t>
      </w:r>
    </w:p>
    <w:p w14:paraId="54B3CAA5" w14:textId="532047C5" w:rsidR="00264B6B" w:rsidRPr="00264B6B" w:rsidRDefault="00264B6B" w:rsidP="00264B6B">
      <w:r w:rsidRPr="00264B6B">
        <w:t>Finally, we estimated the overall tertiary syphilis progression rate by summing the late benign and cardiovascular hazard rates. Assuming the two progression pathways were independent, the standard error of the combined estimate was calculated as the square root of the sum of the squared component standard errors. Ninety-five percent confidence intervals were constructed using the normal approximation</w:t>
      </w:r>
      <w:r w:rsidR="00F659AA">
        <w:t xml:space="preserve"> (</w:t>
      </w:r>
      <w:r w:rsidR="00F659AA" w:rsidRPr="00F659AA">
        <w:rPr>
          <w:b/>
          <w:bCs/>
        </w:rPr>
        <w:t>Table1</w:t>
      </w:r>
      <w:r w:rsidR="00F659AA">
        <w:t>)</w:t>
      </w:r>
      <w:r w:rsidR="00215279">
        <w:t>.</w:t>
      </w:r>
    </w:p>
    <w:p w14:paraId="4308FF92" w14:textId="03EA8991" w:rsidR="00760A8A" w:rsidRDefault="005E074A" w:rsidP="00582055">
      <w:pPr>
        <w:pStyle w:val="Heading3"/>
        <w:rPr>
          <w:shd w:val="clear" w:color="auto" w:fill="FFFFFF"/>
        </w:rPr>
      </w:pPr>
      <w:r>
        <w:rPr>
          <w:shd w:val="clear" w:color="auto" w:fill="FFFFFF"/>
        </w:rPr>
        <w:t>Sexual transmissibility by stage</w:t>
      </w:r>
    </w:p>
    <w:p w14:paraId="618069BA" w14:textId="3A5707EF" w:rsidR="007A531E" w:rsidRPr="005D61C9" w:rsidRDefault="007A531E" w:rsidP="007A531E">
      <w:pPr>
        <w:rPr>
          <w:rFonts w:cstheme="minorBidi"/>
          <w:szCs w:val="20"/>
        </w:rPr>
      </w:pPr>
      <w:r w:rsidRPr="005D61C9">
        <w:rPr>
          <w:rFonts w:cstheme="minorBidi"/>
          <w:szCs w:val="20"/>
        </w:rPr>
        <w:t>Some studies suggest that the infectiousness of syphilis varies across its stages, influenced by clinical manifestations and the presence of lesions that facilitate transmission. During primary syphilis, infectiousness is high due to chancres, which are filled with </w:t>
      </w:r>
      <w:r>
        <w:rPr>
          <w:rFonts w:cstheme="minorBidi"/>
          <w:szCs w:val="20"/>
        </w:rPr>
        <w:t>T.p</w:t>
      </w:r>
      <w:r w:rsidRPr="005D61C9">
        <w:rPr>
          <w:rFonts w:cstheme="minorBidi"/>
          <w:i/>
          <w:iCs/>
          <w:szCs w:val="20"/>
        </w:rPr>
        <w:t>allidum</w:t>
      </w:r>
      <w:r w:rsidRPr="005D61C9">
        <w:rPr>
          <w:rFonts w:cstheme="minorBidi"/>
          <w:szCs w:val="20"/>
        </w:rPr>
        <w:t>. The risk remains elevated in secondary syphilis, characterized by mucocutaneous rashes and condylomata lata, both rich in bacteria and highly transmissible. However, despite these suggestions in the literature, we could not find a study directly linking a relative increase in infectiousness across stages.</w:t>
      </w:r>
    </w:p>
    <w:p w14:paraId="1664E8BF" w14:textId="2ED48AAC" w:rsidR="007A531E" w:rsidRPr="002968B8" w:rsidRDefault="007A531E" w:rsidP="007A531E">
      <w:pPr>
        <w:rPr>
          <w:rFonts w:cstheme="minorBidi"/>
          <w:szCs w:val="20"/>
        </w:rPr>
      </w:pPr>
      <w:r w:rsidRPr="005D61C9">
        <w:rPr>
          <w:rFonts w:cstheme="minorBidi"/>
          <w:szCs w:val="20"/>
        </w:rPr>
        <w:t xml:space="preserve">A study by Alexander &amp; Schoch (1949), which treated individuals known to have been in contact with patients infected with syphilis, included those with recent exposure to primary or secondary syphilis. Of the 51 individuals exposed to primary syphilis, 62.7% became infected, while 61.8% of the 110 exposed to secondary syphilis were infected. This suggests that transmissibility from primary syphilis is similar to that of secondary syphilis </w:t>
      </w:r>
      <w:r>
        <w:rPr>
          <w:rFonts w:cs="Calibri"/>
          <w:szCs w:val="20"/>
        </w:rPr>
        <w:fldChar w:fldCharType="begin"/>
      </w:r>
      <w:r w:rsidR="00472A79">
        <w:rPr>
          <w:rFonts w:cs="Calibri"/>
          <w:szCs w:val="20"/>
        </w:rPr>
        <w:instrText xml:space="preserve"> ADDIN EN.CITE &lt;EndNote&gt;&lt;Cite&gt;&lt;Author&gt;Alexander&lt;/Author&gt;&lt;Year&gt;1949&lt;/Year&gt;&lt;RecNum&gt;2487&lt;/RecNum&gt;&lt;DisplayText&gt;(11)&lt;/DisplayText&gt;&lt;record&gt;&lt;rec-number&gt;2487&lt;/rec-number&gt;&lt;foreign-keys&gt;&lt;key app="EN" db-id="xrzs0t9aq90fz3epr5zx0p99vxx0ftpxw0s0" timestamp="1778531040"&gt;2487&lt;/key&gt;&lt;/foreign-keys&gt;&lt;ref-type name="Journal Article"&gt;17&lt;/ref-type&gt;&lt;contributors&gt;&lt;authors&gt;&lt;author&gt;Alexander, Lee J&lt;/author&gt;&lt;author&gt;SCHOCH, ARTHUR G&lt;/author&gt;&lt;/authors&gt;&lt;/contributors&gt;&lt;titles&gt;&lt;title&gt;Prevention of syphilis: Penicillin calcium in oil and white wax, usp, bismuth ethylcamphorate and oxophenarsine hydrochloride in treatment, during incubation stage, of persons exposed to syphilis&lt;/title&gt;&lt;secondary-title&gt;Archives of dermatology and syphilology&lt;/secondary-title&gt;&lt;/titles&gt;&lt;periodical&gt;&lt;full-title&gt;Archives of dermatology and syphilology&lt;/full-title&gt;&lt;/periodical&gt;&lt;pages&gt;1-10&lt;/pages&gt;&lt;volume&gt;59&lt;/volume&gt;&lt;number&gt;1&lt;/number&gt;&lt;dates&gt;&lt;year&gt;1949&lt;/year&gt;&lt;/dates&gt;&lt;isbn&gt;0096-6029&lt;/isbn&gt;&lt;urls&gt;&lt;/urls&gt;&lt;/record&gt;&lt;/Cite&gt;&lt;/EndNote&gt;</w:instrText>
      </w:r>
      <w:r>
        <w:rPr>
          <w:rFonts w:cs="Calibri"/>
          <w:szCs w:val="20"/>
        </w:rPr>
        <w:fldChar w:fldCharType="separate"/>
      </w:r>
      <w:r w:rsidR="00472A79">
        <w:rPr>
          <w:rFonts w:cs="Calibri"/>
          <w:noProof/>
          <w:szCs w:val="20"/>
        </w:rPr>
        <w:t>(11)</w:t>
      </w:r>
      <w:r>
        <w:rPr>
          <w:rFonts w:cs="Calibri"/>
          <w:szCs w:val="20"/>
        </w:rPr>
        <w:fldChar w:fldCharType="end"/>
      </w:r>
      <w:r>
        <w:rPr>
          <w:rFonts w:cs="Calibri"/>
          <w:szCs w:val="20"/>
        </w:rPr>
        <w:t xml:space="preserve">. </w:t>
      </w:r>
      <w:r w:rsidRPr="005D61C9">
        <w:rPr>
          <w:rFonts w:cstheme="minorBidi"/>
          <w:szCs w:val="20"/>
        </w:rPr>
        <w:t xml:space="preserve">In the absence of definitive estimates, we assume similar transmissibility for primary and </w:t>
      </w:r>
      <w:r w:rsidRPr="002968B8">
        <w:rPr>
          <w:rFonts w:cstheme="minorBidi"/>
          <w:szCs w:val="20"/>
        </w:rPr>
        <w:t>secondary syphilis</w:t>
      </w:r>
      <w:r w:rsidR="00B84DD6" w:rsidRPr="002968B8">
        <w:rPr>
          <w:rFonts w:cstheme="minorBidi"/>
          <w:szCs w:val="20"/>
        </w:rPr>
        <w:t xml:space="preserve"> (</w:t>
      </w:r>
      <w:r w:rsidR="00B84DD6" w:rsidRPr="002968B8">
        <w:rPr>
          <w:rFonts w:cstheme="minorBidi"/>
          <w:b/>
          <w:bCs/>
          <w:szCs w:val="20"/>
        </w:rPr>
        <w:t>Table1</w:t>
      </w:r>
      <w:r w:rsidR="00B84DD6" w:rsidRPr="002968B8">
        <w:rPr>
          <w:rFonts w:cstheme="minorBidi"/>
          <w:szCs w:val="20"/>
        </w:rPr>
        <w:t>)</w:t>
      </w:r>
      <w:r w:rsidRPr="002968B8">
        <w:rPr>
          <w:rFonts w:cstheme="minorBidi"/>
          <w:szCs w:val="20"/>
        </w:rPr>
        <w:t>.</w:t>
      </w:r>
    </w:p>
    <w:p w14:paraId="7EB9F624" w14:textId="51169037" w:rsidR="00582055" w:rsidRPr="002968B8" w:rsidRDefault="00BF1F35" w:rsidP="00582055">
      <w:pPr>
        <w:jc w:val="both"/>
        <w:rPr>
          <w:rFonts w:cs="Calibri"/>
          <w:szCs w:val="20"/>
        </w:rPr>
      </w:pPr>
      <w:r w:rsidRPr="002968B8">
        <w:rPr>
          <w:rFonts w:cs="Calibri"/>
          <w:szCs w:val="20"/>
        </w:rPr>
        <w:t xml:space="preserve">We modeled early latent syphilis infectiousness through two distinct mechanisms. First, we explicitly incorporated a probability of relapse from early latent to secondary syphilis, during which individuals are assumed to have full transmissibility equivalent to primary and secondary infection. Second, among the remaining </w:t>
      </w:r>
      <w:r w:rsidR="007B1911" w:rsidRPr="002968B8">
        <w:rPr>
          <w:rFonts w:cs="Calibri"/>
          <w:szCs w:val="20"/>
        </w:rPr>
        <w:t>group</w:t>
      </w:r>
      <w:r w:rsidRPr="002968B8">
        <w:rPr>
          <w:rFonts w:cs="Calibri"/>
          <w:szCs w:val="20"/>
        </w:rPr>
        <w:t xml:space="preserve"> who do not relapse, we assigned a residual relative infectiousness of 25%, reflecting the potential for transmission in the absence of overt lesions, consistent with evidence of detectable T. pallidum in oral and mucosal specimens during early latent infection. The effective population-weighted infectiousness of the early latent compartment relative to primary and secondary syphilis is therefore (0.25 × 1.0) + (0.75 × 0.25) = 0.4375, or approximately 43%. This estimate aligns with the 50% relative infectiousness assumed by </w:t>
      </w:r>
      <w:r w:rsidR="00582055" w:rsidRPr="002968B8">
        <w:rPr>
          <w:rFonts w:cs="Calibri"/>
          <w:szCs w:val="20"/>
        </w:rPr>
        <w:t>other modeling studies</w:t>
      </w:r>
      <w:r w:rsidR="00582055" w:rsidRPr="002968B8">
        <w:rPr>
          <w:rFonts w:cs="Calibri"/>
          <w:szCs w:val="20"/>
        </w:rPr>
        <w:fldChar w:fldCharType="begin"/>
      </w:r>
      <w:r w:rsidR="00472A79">
        <w:rPr>
          <w:rFonts w:cs="Calibri"/>
          <w:szCs w:val="20"/>
        </w:rPr>
        <w:instrText xml:space="preserve"> ADDIN EN.CITE &lt;EndNote&gt;&lt;Cite&gt;&lt;Author&gt;Gray&lt;/Author&gt;&lt;Year&gt;2010&lt;/Year&gt;&lt;RecNum&gt;629&lt;/RecNum&gt;&lt;DisplayText&gt;(12)&lt;/DisplayText&gt;&lt;record&gt;&lt;rec-number&gt;629&lt;/rec-number&gt;&lt;foreign-keys&gt;&lt;key app="EN" db-id="xrzs0t9aq90fz3epr5zx0p99vxx0ftpxw0s0" timestamp="1695387938"&gt;629&lt;/key&gt;&lt;/foreign-keys&gt;&lt;ref-type name="Journal Article"&gt;17&lt;/ref-type&gt;&lt;contributors&gt;&lt;authors&gt;&lt;author&gt;Gray, Richard T&lt;/author&gt;&lt;author&gt;Hoare, Alexander&lt;/author&gt;&lt;author&gt;Prestage, Garrett P&lt;/author&gt;&lt;author&gt;Donovan, Basil&lt;/author&gt;&lt;author&gt;Kaldor, John M&lt;/author&gt;&lt;author&gt;Wilson, David P&lt;/author&gt;&lt;/authors&gt;&lt;/contributors&gt;&lt;titles&gt;&lt;title&gt;Frequent testing of highly sexually active gay men is required to control syphilis&lt;/title&gt;&lt;secondary-title&gt;Sexually transmitted diseases&lt;/secondary-title&gt;&lt;/titles&gt;&lt;periodical&gt;&lt;full-title&gt;Sexually transmitted diseases&lt;/full-title&gt;&lt;/periodical&gt;&lt;pages&gt;298-305&lt;/pages&gt;&lt;dates&gt;&lt;year&gt;2010&lt;/year&gt;&lt;/dates&gt;&lt;isbn&gt;0148-5717&lt;/isbn&gt;&lt;urls&gt;&lt;/urls&gt;&lt;/record&gt;&lt;/Cite&gt;&lt;/EndNote&gt;</w:instrText>
      </w:r>
      <w:r w:rsidR="00582055" w:rsidRPr="002968B8">
        <w:rPr>
          <w:rFonts w:cs="Calibri"/>
          <w:szCs w:val="20"/>
        </w:rPr>
        <w:fldChar w:fldCharType="separate"/>
      </w:r>
      <w:r w:rsidR="00472A79">
        <w:rPr>
          <w:rFonts w:cs="Calibri"/>
          <w:noProof/>
          <w:szCs w:val="20"/>
        </w:rPr>
        <w:t>(12)</w:t>
      </w:r>
      <w:r w:rsidR="00582055" w:rsidRPr="002968B8">
        <w:rPr>
          <w:rFonts w:cs="Calibri"/>
          <w:szCs w:val="20"/>
        </w:rPr>
        <w:fldChar w:fldCharType="end"/>
      </w:r>
      <w:r w:rsidRPr="002968B8">
        <w:rPr>
          <w:rFonts w:cs="Calibri"/>
          <w:szCs w:val="20"/>
        </w:rPr>
        <w:t xml:space="preserve">. </w:t>
      </w:r>
    </w:p>
    <w:p w14:paraId="3841A880" w14:textId="2CC63ED0" w:rsidR="007A531E" w:rsidRPr="00EE7946" w:rsidRDefault="00582055" w:rsidP="00BF1F35">
      <w:pPr>
        <w:jc w:val="both"/>
        <w:rPr>
          <w:rFonts w:cs="Calibri"/>
          <w:szCs w:val="20"/>
        </w:rPr>
      </w:pPr>
      <w:r w:rsidRPr="002968B8">
        <w:rPr>
          <w:rFonts w:cs="Calibri"/>
          <w:szCs w:val="20"/>
        </w:rPr>
        <w:t>Finaly</w:t>
      </w:r>
      <w:r w:rsidR="007A531E" w:rsidRPr="002968B8">
        <w:rPr>
          <w:rFonts w:cs="Calibri"/>
          <w:szCs w:val="20"/>
        </w:rPr>
        <w:t>, late latent syphilis</w:t>
      </w:r>
      <w:r w:rsidRPr="002968B8">
        <w:rPr>
          <w:rFonts w:cs="Calibri"/>
          <w:szCs w:val="20"/>
        </w:rPr>
        <w:t>, neurosyphilis</w:t>
      </w:r>
      <w:r w:rsidR="007A531E" w:rsidRPr="002968B8">
        <w:rPr>
          <w:rFonts w:cs="Calibri"/>
          <w:szCs w:val="20"/>
        </w:rPr>
        <w:t xml:space="preserve"> and tertiary syphilis are considered non-infectious, as they lack active lesions. </w:t>
      </w:r>
    </w:p>
    <w:p w14:paraId="2505418A" w14:textId="77777777" w:rsidR="0025757A" w:rsidRDefault="0025757A" w:rsidP="0025757A">
      <w:pPr>
        <w:pStyle w:val="Heading1"/>
      </w:pPr>
      <w:r>
        <w:t>Estimating the size of initial infection in 1970</w:t>
      </w:r>
    </w:p>
    <w:p w14:paraId="5B798AEF" w14:textId="2C8DA25A" w:rsidR="00687393" w:rsidRPr="00687393" w:rsidRDefault="00687393" w:rsidP="00CA6FDD">
      <w:r>
        <w:t>Simulations start in year</w:t>
      </w:r>
      <w:r w:rsidRPr="00687393">
        <w:t xml:space="preserve"> 1970, prior to the onset of the AIDS epidemic</w:t>
      </w:r>
      <w:r w:rsidR="00C920F9">
        <w:t xml:space="preserve">. This period </w:t>
      </w:r>
      <w:r w:rsidR="00694E1B">
        <w:t xml:space="preserve">predates major </w:t>
      </w:r>
      <w:r w:rsidRPr="00687393">
        <w:t xml:space="preserve">changes in sexual behavior, sexual networks, and sexually transmitted infection epidemiology associated with the </w:t>
      </w:r>
      <w:r w:rsidRPr="00687393">
        <w:lastRenderedPageBreak/>
        <w:t xml:space="preserve">HIV/AIDS epidemic in the </w:t>
      </w:r>
      <w:r w:rsidR="00C920F9">
        <w:t>US</w:t>
      </w:r>
      <w:r w:rsidRPr="00687393">
        <w:t xml:space="preserve">. </w:t>
      </w:r>
      <w:r w:rsidR="00CA6FDD" w:rsidRPr="00CA6FDD">
        <w:t>Starting the model in 1970 allows the syphilis epidemic to evolve from a relatively stable baseline and minimizes the influence of HIV-related changes on the model's initial conditions. It also provides a long historical period over which the model can reproduce observed trends in syphilis incidence and prevalence.</w:t>
      </w:r>
    </w:p>
    <w:p w14:paraId="60D3DCD9" w14:textId="57203AC6" w:rsidR="00687393" w:rsidRPr="00687393" w:rsidRDefault="00687393" w:rsidP="00687393">
      <w:r w:rsidRPr="00687393">
        <w:t>Because the true size of the infected population in 1970 is unknown, we approximate</w:t>
      </w:r>
      <w:r w:rsidR="00CA6FDD">
        <w:t>d</w:t>
      </w:r>
      <w:r w:rsidRPr="00687393">
        <w:t xml:space="preserve"> the initial prevalence of syphilis using diagnosis data. First, we estimate</w:t>
      </w:r>
      <w:r w:rsidR="00CA6FDD">
        <w:t>d</w:t>
      </w:r>
      <w:r w:rsidRPr="00687393">
        <w:t xml:space="preserve"> the population diagnosis rate by syphilis stage</w:t>
      </w:r>
      <w:r w:rsidR="00275853">
        <w:t xml:space="preserve"> in each MSA</w:t>
      </w:r>
      <w:r w:rsidRPr="00687393">
        <w:t>, defined as the number of diagnoses in each stage divided by the total population size. Because stage-specific diagnosis data are not available for 1970, we use</w:t>
      </w:r>
      <w:r w:rsidR="00CA6FDD">
        <w:t>d</w:t>
      </w:r>
      <w:r w:rsidRPr="00687393">
        <w:t xml:space="preserve"> data from 1993, the first year for which such data are reported</w:t>
      </w:r>
      <w:r w:rsidR="00CA6FDD">
        <w:t>.</w:t>
      </w:r>
    </w:p>
    <w:p w14:paraId="3ACC4B7F" w14:textId="3B2FF824" w:rsidR="00687393" w:rsidRPr="00687393" w:rsidRDefault="00687393" w:rsidP="00687393">
      <w:r w:rsidRPr="00687393">
        <w:t>Since not all individuals living with syphilis are diagnosed each year, we further assume</w:t>
      </w:r>
      <w:r w:rsidR="00BA6233">
        <w:t>d</w:t>
      </w:r>
      <w:r w:rsidRPr="00687393">
        <w:t xml:space="preserve"> a ratio of </w:t>
      </w:r>
      <w:r w:rsidR="00BB2F26">
        <w:t>undiagnosed</w:t>
      </w:r>
      <w:r w:rsidRPr="00687393">
        <w:t xml:space="preserve"> </w:t>
      </w:r>
      <w:r w:rsidR="00BB2F26">
        <w:t>prevalent cases</w:t>
      </w:r>
      <w:r w:rsidRPr="00687393">
        <w:t xml:space="preserve"> to newly diagnosed cases in 1970. The base-case prior for this parameter </w:t>
      </w:r>
      <w:r w:rsidR="00BA6233">
        <w:t>was set at</w:t>
      </w:r>
      <w:r w:rsidRPr="00687393">
        <w:t xml:space="preserve"> 3, corresponding to three prevalent infections</w:t>
      </w:r>
      <w:r w:rsidR="00BB2F26">
        <w:t xml:space="preserve"> remaining undiagnosed</w:t>
      </w:r>
      <w:r w:rsidRPr="00687393">
        <w:t xml:space="preserve"> for every diagnosed case. This parameter is varied during model calibration.</w:t>
      </w:r>
    </w:p>
    <w:p w14:paraId="014C0611" w14:textId="2791A415" w:rsidR="0025757A" w:rsidRDefault="00687393" w:rsidP="006338C7">
      <w:r w:rsidRPr="00687393">
        <w:t>To distribute prevalent infections by sex, we include</w:t>
      </w:r>
      <w:r w:rsidR="00BA6233">
        <w:t>d</w:t>
      </w:r>
      <w:r w:rsidRPr="00687393">
        <w:t xml:space="preserve"> a parameter representing the proportion of infections occurring among </w:t>
      </w:r>
      <w:r w:rsidR="00BA6233">
        <w:t>MSM</w:t>
      </w:r>
      <w:r w:rsidRPr="00687393">
        <w:t xml:space="preserve">, with a prior value of 30%. This parameter is also </w:t>
      </w:r>
      <w:r w:rsidR="00BA6233">
        <w:t>varied</w:t>
      </w:r>
      <w:r w:rsidRPr="00687393">
        <w:t xml:space="preserve"> during calibration. The remaining infections are distributed equally between heterosexual men and women. In the absence of historical data on demographic distributions of prevalent infections in 1970, we further assume equal distributions across age and racial groups.</w:t>
      </w:r>
      <w:r w:rsidR="006338C7">
        <w:t xml:space="preserve"> </w:t>
      </w:r>
    </w:p>
    <w:p w14:paraId="3E342DF2" w14:textId="5525F22C" w:rsidR="00C0204C" w:rsidRDefault="003356EB" w:rsidP="00C0204C">
      <w:r>
        <w:t>Finally</w:t>
      </w:r>
      <w:r w:rsidR="00C0204C" w:rsidRPr="00C0204C">
        <w:t>, we assumed that all prevalent infections at baseline were undiagnosed and untreated.</w:t>
      </w:r>
      <w:r>
        <w:t xml:space="preserve"> I</w:t>
      </w:r>
      <w:r w:rsidR="00C0204C" w:rsidRPr="00C0204C">
        <w:t xml:space="preserve">ndividuals who have already been diagnosed and treated </w:t>
      </w:r>
      <w:r>
        <w:t>were</w:t>
      </w:r>
      <w:r w:rsidR="00C0204C" w:rsidRPr="00C0204C">
        <w:t xml:space="preserve"> not explicitly initialized because they </w:t>
      </w:r>
      <w:r>
        <w:t>were</w:t>
      </w:r>
      <w:r w:rsidR="00C0204C" w:rsidRPr="00C0204C">
        <w:t xml:space="preserve"> </w:t>
      </w:r>
      <w:r w:rsidRPr="00C0204C">
        <w:t>no</w:t>
      </w:r>
      <w:r>
        <w:t xml:space="preserve"> </w:t>
      </w:r>
      <w:r w:rsidRPr="00C0204C">
        <w:t>longer</w:t>
      </w:r>
      <w:r w:rsidR="00C0204C" w:rsidRPr="00C0204C">
        <w:t xml:space="preserve"> infectious and </w:t>
      </w:r>
      <w:r>
        <w:t>did</w:t>
      </w:r>
      <w:r w:rsidR="00C0204C" w:rsidRPr="00C0204C">
        <w:t xml:space="preserve"> not contribute to the transmission dynamics.</w:t>
      </w:r>
    </w:p>
    <w:p w14:paraId="4FB8E06D" w14:textId="77777777" w:rsidR="007A531E" w:rsidRDefault="007A531E" w:rsidP="007E1E03">
      <w:pPr>
        <w:rPr>
          <w:shd w:val="clear" w:color="auto" w:fill="FFFFFF"/>
        </w:rPr>
      </w:pPr>
    </w:p>
    <w:p w14:paraId="52DE2D11" w14:textId="77777777" w:rsidR="00B82CC6" w:rsidRPr="00F413DD" w:rsidRDefault="00A02831" w:rsidP="00920D35">
      <w:pPr>
        <w:pStyle w:val="Heading1"/>
      </w:pPr>
      <w:r w:rsidRPr="00F413DD">
        <w:t>Cascade of care</w:t>
      </w:r>
    </w:p>
    <w:p w14:paraId="17DDF3E7" w14:textId="18A76654" w:rsidR="00B82CC6" w:rsidRDefault="00B82CC6" w:rsidP="00F413DD">
      <w:r w:rsidRPr="00F413DD">
        <w:t xml:space="preserve">The model includes </w:t>
      </w:r>
      <w:r w:rsidR="006F0889" w:rsidRPr="00F413DD">
        <w:t>two</w:t>
      </w:r>
      <w:r w:rsidRPr="00F413DD">
        <w:t xml:space="preserve"> pathways through which an individual can receive a syphilis diagnosis. The first pathway is symptom-driven testing, which occurs when individuals with symptomatic syphilis seek medical care because of their symptoms and subsequently receive a positive test result.</w:t>
      </w:r>
      <w:r w:rsidR="00007464" w:rsidRPr="00F413DD">
        <w:t xml:space="preserve"> </w:t>
      </w:r>
      <w:r w:rsidR="008F2DB3" w:rsidRPr="00F413DD">
        <w:t>The second pathway is true syphilis is screening that can occur at any point regardless of disease stage and symptoms</w:t>
      </w:r>
      <w:r w:rsidR="00F413DD" w:rsidRPr="00F413DD">
        <w:t>. The model does not explicitly represent STI screening during prenatal care for pregnant women or partner services (e.g., contact tracing) for individuals diagnosed with early syphilis. Instead, we assume that diagnoses resulting from these activities are implicitly captured by the overall STI screening rate in the model</w:t>
      </w:r>
      <w:r w:rsidR="00F413DD">
        <w:t>.</w:t>
      </w:r>
    </w:p>
    <w:p w14:paraId="55E62346" w14:textId="05F5BBF1" w:rsidR="00920D35" w:rsidRDefault="00920D35" w:rsidP="00625032">
      <w:pPr>
        <w:pStyle w:val="Heading2"/>
      </w:pPr>
      <w:r>
        <w:t>Diagnosis pathways</w:t>
      </w:r>
    </w:p>
    <w:p w14:paraId="04CBA75E" w14:textId="51B2DD71" w:rsidR="00B82CC6" w:rsidRDefault="00B82CC6" w:rsidP="00B82CC6">
      <w:pPr>
        <w:pStyle w:val="Heading3"/>
      </w:pPr>
      <w:r>
        <w:t xml:space="preserve">Symptomatic </w:t>
      </w:r>
      <w:r w:rsidR="001328D5">
        <w:t>Syphilis T</w:t>
      </w:r>
      <w:r>
        <w:t>esting</w:t>
      </w:r>
    </w:p>
    <w:p w14:paraId="1080EC48" w14:textId="77777777" w:rsidR="00C94DC7" w:rsidRPr="00C94DC7" w:rsidRDefault="00C94DC7" w:rsidP="00C94DC7">
      <w:r w:rsidRPr="00C94DC7">
        <w:t>One pathway to diagnosis in the model is symptom-driven testing, which occurs when individuals with symptomatic syphilis seek care because of their symptoms and receive a positive test result. We assume that a proportion of infections in the primary and secondary stages are symptomatic.</w:t>
      </w:r>
    </w:p>
    <w:p w14:paraId="3CF530DE" w14:textId="77777777" w:rsidR="00C94DC7" w:rsidRPr="00C94DC7" w:rsidRDefault="00C94DC7" w:rsidP="00C94DC7">
      <w:r w:rsidRPr="00C94DC7">
        <w:t>The likelihood of symptomatic presentation depends in part on the anatomical site of infection, which varies by sex and sexual behavior. In heterosexual men, primary chancres most commonly occur on the penis; in MSM, chancres more often occur at less visible sites, including the rectum, anal canal, and oral cavity. In women, primary chancres are frequently located on the labia or cervix. Because chancres are typically painless and may occur in inconspicuous locations, infections in women and MSM may be less likely to be recognized and may remain undiagnosed until later stages.</w:t>
      </w:r>
    </w:p>
    <w:p w14:paraId="7DEB721B" w14:textId="58AF19B3" w:rsidR="00B82CC6" w:rsidRPr="00C31505" w:rsidRDefault="00B82CC6" w:rsidP="00B82CC6">
      <w:pPr>
        <w:pStyle w:val="NoSpacing"/>
        <w:rPr>
          <w:rFonts w:cstheme="minorBidi"/>
          <w:szCs w:val="20"/>
        </w:rPr>
      </w:pPr>
      <w:r w:rsidRPr="006672FB">
        <w:rPr>
          <w:rFonts w:cstheme="minorBidi"/>
          <w:szCs w:val="20"/>
        </w:rPr>
        <w:t xml:space="preserve">Data on the true proportion of symptomatic cases and care-seeking among those symptomatic are limited. We therefore </w:t>
      </w:r>
      <w:r>
        <w:rPr>
          <w:rFonts w:cstheme="minorBidi"/>
          <w:szCs w:val="20"/>
        </w:rPr>
        <w:t>estimated</w:t>
      </w:r>
      <w:r w:rsidRPr="006672FB">
        <w:rPr>
          <w:rFonts w:cstheme="minorBidi"/>
          <w:szCs w:val="20"/>
        </w:rPr>
        <w:t xml:space="preserve"> symptomatic presentation using available data on MSM</w:t>
      </w:r>
      <w:r>
        <w:rPr>
          <w:rFonts w:cstheme="minorBidi"/>
          <w:szCs w:val="20"/>
        </w:rPr>
        <w:t xml:space="preserve"> (below)</w:t>
      </w:r>
      <w:r w:rsidRPr="006672FB">
        <w:rPr>
          <w:rFonts w:cstheme="minorBidi"/>
          <w:szCs w:val="20"/>
        </w:rPr>
        <w:t xml:space="preserve"> and applied simple ratios across groups</w:t>
      </w:r>
      <w:r>
        <w:rPr>
          <w:rFonts w:cstheme="minorBidi"/>
          <w:szCs w:val="20"/>
        </w:rPr>
        <w:t xml:space="preserve"> (</w:t>
      </w:r>
      <w:r w:rsidRPr="00C31505">
        <w:rPr>
          <w:rFonts w:cstheme="minorBidi"/>
          <w:b/>
          <w:bCs/>
          <w:szCs w:val="20"/>
        </w:rPr>
        <w:t>Table1</w:t>
      </w:r>
      <w:r>
        <w:rPr>
          <w:rFonts w:cstheme="minorBidi"/>
          <w:szCs w:val="20"/>
        </w:rPr>
        <w:t>)</w:t>
      </w:r>
      <w:r w:rsidRPr="006672FB">
        <w:rPr>
          <w:rFonts w:cstheme="minorBidi"/>
          <w:szCs w:val="20"/>
        </w:rPr>
        <w:t>. Specifically, we assumed that 25% (range 20–29%) of incident primary infections in MSM are symptomatic</w:t>
      </w:r>
      <w:r>
        <w:rPr>
          <w:rFonts w:cstheme="minorBidi"/>
          <w:szCs w:val="20"/>
        </w:rPr>
        <w:t>.</w:t>
      </w:r>
      <w:r w:rsidRPr="001B116A">
        <w:rPr>
          <w:rFonts w:cstheme="minorBidi"/>
          <w:szCs w:val="20"/>
        </w:rPr>
        <w:fldChar w:fldCharType="begin"/>
      </w:r>
      <w:r w:rsidR="00472A79">
        <w:rPr>
          <w:rFonts w:cstheme="minorBidi"/>
          <w:szCs w:val="20"/>
        </w:rPr>
        <w:instrText xml:space="preserve"> ADDIN EN.CITE &lt;EndNote&gt;&lt;Cite&gt;&lt;Author&gt;Peel&lt;/Author&gt;&lt;Year&gt;2021&lt;/Year&gt;&lt;RecNum&gt;1247&lt;/RecNum&gt;&lt;DisplayText&gt;(13)&lt;/DisplayText&gt;&lt;record&gt;&lt;rec-number&gt;1247&lt;/rec-number&gt;&lt;foreign-keys&gt;&lt;key app="EN" db-id="xrzs0t9aq90fz3epr5zx0p99vxx0ftpxw0s0" timestamp="1740664089"&gt;1247&lt;/key&gt;&lt;/foreign-keys&gt;&lt;ref-type name="Journal Article"&gt;17&lt;/ref-type&gt;&lt;contributors&gt;&lt;authors&gt;&lt;author&gt;Peel, Joanne&lt;/author&gt;&lt;author&gt;Chow, Eric PF&lt;/author&gt;&lt;author&gt;Denham, Ian&lt;/author&gt;&lt;author&gt;Schmidt, Tina&lt;/author&gt;&lt;author&gt;Buchanan, Andrew&lt;/author&gt;&lt;author&gt;Fairley, Christopher K&lt;/author&gt;&lt;author&gt;Williamson, Deborah A&lt;/author&gt;&lt;author&gt;Bissessor, Melanie&lt;/author&gt;&lt;author&gt;Chen, Marcus Y&lt;/author&gt;&lt;/authors&gt;&lt;/contributors&gt;&lt;titles&gt;&lt;title&gt;Clinical presentation of incident syphilis among men who have sex with men taking HIV pre-exposure prophylaxis in Melbourne, Australia&lt;/title&gt;&lt;secondary-title&gt;Clinical Infectious Diseases&lt;/secondary-title&gt;&lt;/titles&gt;&lt;periodical&gt;&lt;full-title&gt;Clinical Infectious Diseases&lt;/full-title&gt;&lt;/periodical&gt;&lt;pages&gt;e934-e937&lt;/pages&gt;&lt;volume&gt;73&lt;/volume&gt;&lt;number&gt;4&lt;/number&gt;&lt;dates&gt;&lt;year&gt;2021&lt;/year&gt;&lt;/dates&gt;&lt;isbn&gt;1058-4838&lt;/isbn&gt;&lt;urls&gt;&lt;/urls&gt;&lt;/record&gt;&lt;/Cite&gt;&lt;/EndNote&gt;</w:instrText>
      </w:r>
      <w:r w:rsidRPr="001B116A">
        <w:rPr>
          <w:rFonts w:cstheme="minorBidi"/>
          <w:szCs w:val="20"/>
        </w:rPr>
        <w:fldChar w:fldCharType="separate"/>
      </w:r>
      <w:r w:rsidR="00472A79">
        <w:rPr>
          <w:rFonts w:cstheme="minorBidi"/>
          <w:noProof/>
          <w:szCs w:val="20"/>
        </w:rPr>
        <w:t>(13)</w:t>
      </w:r>
      <w:r w:rsidRPr="001B116A">
        <w:rPr>
          <w:rFonts w:cstheme="minorBidi"/>
          <w:szCs w:val="20"/>
        </w:rPr>
        <w:fldChar w:fldCharType="end"/>
      </w:r>
      <w:r w:rsidRPr="006672FB">
        <w:rPr>
          <w:rFonts w:cstheme="minorBidi"/>
          <w:szCs w:val="20"/>
        </w:rPr>
        <w:t xml:space="preserve"> For simplicity, we applied the same proportion to heterosexual men and assumed 66% of that proportion in women</w:t>
      </w:r>
      <w:r>
        <w:rPr>
          <w:rFonts w:cstheme="minorBidi"/>
          <w:szCs w:val="20"/>
        </w:rPr>
        <w:t>.</w:t>
      </w:r>
      <w:r w:rsidRPr="001B116A">
        <w:rPr>
          <w:rFonts w:cstheme="minorBidi"/>
          <w:szCs w:val="20"/>
        </w:rPr>
        <w:fldChar w:fldCharType="begin"/>
      </w:r>
      <w:r w:rsidR="00472A79">
        <w:rPr>
          <w:rFonts w:cstheme="minorBidi"/>
          <w:szCs w:val="20"/>
        </w:rPr>
        <w:instrText xml:space="preserve"> ADDIN EN.CITE &lt;EndNote&gt;&lt;Cite&gt;&lt;Author&gt;Berzkalns&lt;/Author&gt;&lt;Year&gt;2023&lt;/Year&gt;&lt;RecNum&gt;2604&lt;/RecNum&gt;&lt;DisplayText&gt;(14)&lt;/DisplayText&gt;&lt;record&gt;&lt;rec-number&gt;2604&lt;/rec-number&gt;&lt;foreign-keys&gt;&lt;key app="EN" db-id="xrzs0t9aq90fz3epr5zx0p99vxx0ftpxw0s0" timestamp="1778597333"&gt;2604&lt;/key&gt;&lt;/foreign-keys&gt;&lt;ref-type name="Conference Proceedings"&gt;10&lt;/ref-type&gt;&lt;contributors&gt;&lt;authors&gt;&lt;author&gt;Berzkalns, Anna&lt;/author&gt;&lt;author&gt;Ramchandani, Meena S&lt;/author&gt;&lt;author&gt;Cannon, Chase A&lt;/author&gt;&lt;author&gt;Kerani, Roxanne P&lt;/author&gt;&lt;author&gt;Dombrowski, Julie C&lt;/author&gt;&lt;author&gt;Golden, Matthew R&lt;/author&gt;&lt;/authors&gt;&lt;/contributors&gt;&lt;titles&gt;&lt;title&gt;The syphilis epidemic among heterosexuals is accelerating: evidence from King County, Washington&lt;/title&gt;&lt;secondary-title&gt;Open Forum Infectious Diseases&lt;/secondary-title&gt;&lt;/titles&gt;&lt;periodical&gt;&lt;full-title&gt;Open Forum Infectious Diseases&lt;/full-title&gt;&lt;/periodical&gt;&lt;pages&gt;ofad481&lt;/pages&gt;&lt;volume&gt;10&lt;/volume&gt;&lt;number&gt;10&lt;/number&gt;&lt;dates&gt;&lt;year&gt;2023&lt;/year&gt;&lt;/dates&gt;&lt;publisher&gt;Oxford University Press US&lt;/publisher&gt;&lt;isbn&gt;2328-8957&lt;/isbn&gt;&lt;urls&gt;&lt;/urls&gt;&lt;/record&gt;&lt;/Cite&gt;&lt;/EndNote&gt;</w:instrText>
      </w:r>
      <w:r w:rsidRPr="001B116A">
        <w:rPr>
          <w:rFonts w:cstheme="minorBidi"/>
          <w:szCs w:val="20"/>
        </w:rPr>
        <w:fldChar w:fldCharType="separate"/>
      </w:r>
      <w:r w:rsidR="00472A79">
        <w:rPr>
          <w:rFonts w:cstheme="minorBidi"/>
          <w:noProof/>
          <w:szCs w:val="20"/>
        </w:rPr>
        <w:t>(14)</w:t>
      </w:r>
      <w:r w:rsidRPr="001B116A">
        <w:rPr>
          <w:rFonts w:cstheme="minorBidi"/>
          <w:szCs w:val="20"/>
        </w:rPr>
        <w:fldChar w:fldCharType="end"/>
      </w:r>
      <w:r>
        <w:rPr>
          <w:rFonts w:cstheme="minorBidi"/>
          <w:szCs w:val="20"/>
        </w:rPr>
        <w:t xml:space="preserve"> </w:t>
      </w:r>
      <w:r w:rsidRPr="006672FB">
        <w:rPr>
          <w:rFonts w:cstheme="minorBidi"/>
          <w:szCs w:val="20"/>
        </w:rPr>
        <w:t>For secondary syphilis, we assumed 16% (range 15–17%) symptomatic presentation across groups</w:t>
      </w:r>
      <w:r>
        <w:rPr>
          <w:rFonts w:cstheme="minorBidi"/>
          <w:szCs w:val="20"/>
        </w:rPr>
        <w:t>.</w:t>
      </w:r>
      <w:r w:rsidRPr="00C31505">
        <w:rPr>
          <w:rFonts w:cstheme="minorBidi"/>
          <w:szCs w:val="20"/>
        </w:rPr>
        <w:fldChar w:fldCharType="begin"/>
      </w:r>
      <w:r w:rsidR="00472A79">
        <w:rPr>
          <w:rFonts w:cstheme="minorBidi"/>
          <w:szCs w:val="20"/>
        </w:rPr>
        <w:instrText xml:space="preserve"> ADDIN EN.CITE &lt;EndNote&gt;&lt;Cite&gt;&lt;Author&gt;Peel&lt;/Author&gt;&lt;Year&gt;2021&lt;/Year&gt;&lt;RecNum&gt;1247&lt;/RecNum&gt;&lt;DisplayText&gt;(13)&lt;/DisplayText&gt;&lt;record&gt;&lt;rec-number&gt;1247&lt;/rec-number&gt;&lt;foreign-keys&gt;&lt;key app="EN" db-id="xrzs0t9aq90fz3epr5zx0p99vxx0ftpxw0s0" timestamp="1740664089"&gt;1247&lt;/key&gt;&lt;/foreign-keys&gt;&lt;ref-type name="Journal Article"&gt;17&lt;/ref-type&gt;&lt;contributors&gt;&lt;authors&gt;&lt;author&gt;Peel, Joanne&lt;/author&gt;&lt;author&gt;Chow, Eric PF&lt;/author&gt;&lt;author&gt;Denham, Ian&lt;/author&gt;&lt;author&gt;Schmidt, Tina&lt;/author&gt;&lt;author&gt;Buchanan, Andrew&lt;/author&gt;&lt;author&gt;Fairley, Christopher K&lt;/author&gt;&lt;author&gt;Williamson, Deborah A&lt;/author&gt;&lt;author&gt;Bissessor, Melanie&lt;/author&gt;&lt;author&gt;Chen, Marcus Y&lt;/author&gt;&lt;/authors&gt;&lt;/contributors&gt;&lt;titles&gt;&lt;title&gt;Clinical presentation of incident syphilis among men who have sex with men taking HIV pre-exposure prophylaxis in Melbourne, Australia&lt;/title&gt;&lt;secondary-title&gt;Clinical Infectious Diseases&lt;/secondary-title&gt;&lt;/titles&gt;&lt;periodical&gt;&lt;full-title&gt;Clinical Infectious Diseases&lt;/full-title&gt;&lt;/periodical&gt;&lt;pages&gt;e934-e937&lt;/pages&gt;&lt;volume&gt;73&lt;/volume&gt;&lt;number&gt;4&lt;/number&gt;&lt;dates&gt;&lt;year&gt;2021&lt;/year&gt;&lt;/dates&gt;&lt;isbn&gt;1058-4838&lt;/isbn&gt;&lt;urls&gt;&lt;/urls&gt;&lt;/record&gt;&lt;/Cite&gt;&lt;/EndNote&gt;</w:instrText>
      </w:r>
      <w:r w:rsidRPr="00C31505">
        <w:rPr>
          <w:rFonts w:cstheme="minorBidi"/>
          <w:szCs w:val="20"/>
        </w:rPr>
        <w:fldChar w:fldCharType="separate"/>
      </w:r>
      <w:r w:rsidR="00472A79">
        <w:rPr>
          <w:rFonts w:cstheme="minorBidi"/>
          <w:noProof/>
          <w:szCs w:val="20"/>
        </w:rPr>
        <w:t>(13)</w:t>
      </w:r>
      <w:r w:rsidRPr="00C31505">
        <w:rPr>
          <w:rFonts w:cstheme="minorBidi"/>
          <w:szCs w:val="20"/>
        </w:rPr>
        <w:fldChar w:fldCharType="end"/>
      </w:r>
      <w:r w:rsidR="00C94DC7">
        <w:rPr>
          <w:rFonts w:cstheme="minorBidi"/>
          <w:szCs w:val="20"/>
        </w:rPr>
        <w:t xml:space="preserve"> All of these parameters are varied during the calibration</w:t>
      </w:r>
    </w:p>
    <w:p w14:paraId="4C85623B" w14:textId="4A5DE0FD" w:rsidR="00B82CC6" w:rsidRPr="00C31505" w:rsidRDefault="00B82CC6" w:rsidP="00B82CC6">
      <w:pPr>
        <w:pStyle w:val="ListParagraph"/>
        <w:numPr>
          <w:ilvl w:val="0"/>
          <w:numId w:val="30"/>
        </w:numPr>
        <w:rPr>
          <w:rFonts w:cstheme="minorBidi"/>
          <w:szCs w:val="20"/>
        </w:rPr>
      </w:pPr>
      <w:r w:rsidRPr="00C31505">
        <w:rPr>
          <w:rFonts w:cstheme="minorBidi"/>
          <w:b/>
          <w:bCs/>
          <w:szCs w:val="20"/>
        </w:rPr>
        <w:t>Proportion of MSM with symptomatic disease:</w:t>
      </w:r>
      <w:r w:rsidRPr="00C31505">
        <w:rPr>
          <w:rFonts w:cstheme="minorBidi"/>
          <w:szCs w:val="20"/>
        </w:rPr>
        <w:t xml:space="preserve"> We estimated the proportion of incident syphilis cases in MSM presenting with symptomatic disease using Peel et al. (2021), a cohort of MSM attending a PrEP clinic in Melbourne between February 2016 and March 2019 with routine 3</w:t>
      </w:r>
      <w:r w:rsidRPr="00C31505">
        <w:rPr>
          <w:rFonts w:cstheme="minorBidi"/>
          <w:szCs w:val="20"/>
        </w:rPr>
        <w:noBreakHyphen/>
        <w:t xml:space="preserve">monthly STI </w:t>
      </w:r>
      <w:r w:rsidRPr="00C31505">
        <w:rPr>
          <w:rFonts w:cstheme="minorBidi"/>
          <w:szCs w:val="20"/>
        </w:rPr>
        <w:lastRenderedPageBreak/>
        <w:t>screening and access to a walk</w:t>
      </w:r>
      <w:r w:rsidRPr="00C31505">
        <w:rPr>
          <w:rFonts w:cstheme="minorBidi"/>
          <w:szCs w:val="20"/>
        </w:rPr>
        <w:noBreakHyphen/>
        <w:t>in clinic</w:t>
      </w:r>
      <w:r>
        <w:rPr>
          <w:rFonts w:cstheme="minorBidi"/>
          <w:szCs w:val="20"/>
        </w:rPr>
        <w:t>.</w:t>
      </w:r>
      <w:r w:rsidRPr="00C31505">
        <w:rPr>
          <w:rFonts w:cs="Calibri"/>
          <w:szCs w:val="20"/>
        </w:rPr>
        <w:fldChar w:fldCharType="begin"/>
      </w:r>
      <w:r w:rsidR="00472A79">
        <w:rPr>
          <w:rFonts w:cs="Calibri"/>
          <w:szCs w:val="20"/>
        </w:rPr>
        <w:instrText xml:space="preserve"> ADDIN EN.CITE &lt;EndNote&gt;&lt;Cite&gt;&lt;Author&gt;Peel&lt;/Author&gt;&lt;Year&gt;2021&lt;/Year&gt;&lt;RecNum&gt;1247&lt;/RecNum&gt;&lt;DisplayText&gt;(13)&lt;/DisplayText&gt;&lt;record&gt;&lt;rec-number&gt;1247&lt;/rec-number&gt;&lt;foreign-keys&gt;&lt;key app="EN" db-id="xrzs0t9aq90fz3epr5zx0p99vxx0ftpxw0s0" timestamp="1740664089"&gt;1247&lt;/key&gt;&lt;/foreign-keys&gt;&lt;ref-type name="Journal Article"&gt;17&lt;/ref-type&gt;&lt;contributors&gt;&lt;authors&gt;&lt;author&gt;Peel, Joanne&lt;/author&gt;&lt;author&gt;Chow, Eric PF&lt;/author&gt;&lt;author&gt;Denham, Ian&lt;/author&gt;&lt;author&gt;Schmidt, Tina&lt;/author&gt;&lt;author&gt;Buchanan, Andrew&lt;/author&gt;&lt;author&gt;Fairley, Christopher K&lt;/author&gt;&lt;author&gt;Williamson, Deborah A&lt;/author&gt;&lt;author&gt;Bissessor, Melanie&lt;/author&gt;&lt;author&gt;Chen, Marcus Y&lt;/author&gt;&lt;/authors&gt;&lt;/contributors&gt;&lt;titles&gt;&lt;title&gt;Clinical presentation of incident syphilis among men who have sex with men taking HIV pre-exposure prophylaxis in Melbourne, Australia&lt;/title&gt;&lt;secondary-title&gt;Clinical Infectious Diseases&lt;/secondary-title&gt;&lt;/titles&gt;&lt;periodical&gt;&lt;full-title&gt;Clinical Infectious Diseases&lt;/full-title&gt;&lt;/periodical&gt;&lt;pages&gt;e934-e937&lt;/pages&gt;&lt;volume&gt;73&lt;/volume&gt;&lt;number&gt;4&lt;/number&gt;&lt;dates&gt;&lt;year&gt;2021&lt;/year&gt;&lt;/dates&gt;&lt;isbn&gt;1058-4838&lt;/isbn&gt;&lt;urls&gt;&lt;/urls&gt;&lt;/record&gt;&lt;/Cite&gt;&lt;/EndNote&gt;</w:instrText>
      </w:r>
      <w:r w:rsidRPr="00C31505">
        <w:rPr>
          <w:rFonts w:cs="Calibri"/>
          <w:szCs w:val="20"/>
        </w:rPr>
        <w:fldChar w:fldCharType="separate"/>
      </w:r>
      <w:r w:rsidR="00472A79">
        <w:rPr>
          <w:rFonts w:cs="Calibri"/>
          <w:noProof/>
          <w:szCs w:val="20"/>
        </w:rPr>
        <w:t>(13)</w:t>
      </w:r>
      <w:r w:rsidRPr="00C31505">
        <w:rPr>
          <w:rFonts w:cs="Calibri"/>
          <w:szCs w:val="20"/>
        </w:rPr>
        <w:fldChar w:fldCharType="end"/>
      </w:r>
      <w:r w:rsidRPr="00C31505">
        <w:rPr>
          <w:rFonts w:cstheme="minorBidi"/>
          <w:szCs w:val="20"/>
        </w:rPr>
        <w:t xml:space="preserve"> Syphilis was classified per Australian laboratory case definitions and staged via clinical exam and laboratory evidence. Among 69 incident cases (24 primary, 16 secondary, 29 early latent), 20 reported primary-stage symptoms, 14 of whom were diagnosed at walk</w:t>
      </w:r>
      <w:r w:rsidRPr="00C31505">
        <w:rPr>
          <w:rFonts w:cstheme="minorBidi"/>
          <w:szCs w:val="20"/>
        </w:rPr>
        <w:noBreakHyphen/>
        <w:t xml:space="preserve">in visits; this yields a symptomatic </w:t>
      </w:r>
      <w:r>
        <w:rPr>
          <w:rFonts w:cstheme="minorBidi"/>
          <w:szCs w:val="20"/>
        </w:rPr>
        <w:t>ratio</w:t>
      </w:r>
      <w:r w:rsidRPr="00C31505">
        <w:rPr>
          <w:rFonts w:cstheme="minorBidi"/>
          <w:szCs w:val="20"/>
        </w:rPr>
        <w:t xml:space="preserve"> of 20–29% (14/69–20/69)</w:t>
      </w:r>
      <w:r>
        <w:rPr>
          <w:rFonts w:cstheme="minorBidi"/>
          <w:szCs w:val="20"/>
        </w:rPr>
        <w:t xml:space="preserve"> for primary syphilis</w:t>
      </w:r>
      <w:r w:rsidRPr="00C31505">
        <w:rPr>
          <w:rFonts w:cstheme="minorBidi"/>
          <w:szCs w:val="20"/>
        </w:rPr>
        <w:t>. For secondary-stage symptoms among non</w:t>
      </w:r>
      <w:r w:rsidRPr="00C31505">
        <w:rPr>
          <w:rFonts w:cstheme="minorBidi"/>
          <w:szCs w:val="20"/>
        </w:rPr>
        <w:noBreakHyphen/>
        <w:t>primary cases, 8 of 45 reported symptoms (7 diagnosed at walk</w:t>
      </w:r>
      <w:r w:rsidRPr="00C31505">
        <w:rPr>
          <w:rFonts w:cstheme="minorBidi"/>
          <w:szCs w:val="20"/>
        </w:rPr>
        <w:noBreakHyphen/>
        <w:t xml:space="preserve">in), yielding </w:t>
      </w:r>
      <w:r>
        <w:rPr>
          <w:rFonts w:cstheme="minorBidi"/>
          <w:szCs w:val="20"/>
        </w:rPr>
        <w:t xml:space="preserve">a </w:t>
      </w:r>
      <w:r w:rsidRPr="00C31505">
        <w:rPr>
          <w:rFonts w:cstheme="minorBidi"/>
          <w:szCs w:val="20"/>
        </w:rPr>
        <w:t xml:space="preserve">symptomatic </w:t>
      </w:r>
      <w:r>
        <w:rPr>
          <w:rFonts w:cstheme="minorBidi"/>
          <w:szCs w:val="20"/>
        </w:rPr>
        <w:t xml:space="preserve">ratio of </w:t>
      </w:r>
      <w:r w:rsidRPr="00C31505">
        <w:rPr>
          <w:rFonts w:cstheme="minorBidi"/>
          <w:szCs w:val="20"/>
        </w:rPr>
        <w:t>15–17% (7/45–8/45)</w:t>
      </w:r>
      <w:r>
        <w:rPr>
          <w:rFonts w:cstheme="minorBidi"/>
          <w:szCs w:val="20"/>
        </w:rPr>
        <w:t xml:space="preserve"> for secondary syphilis</w:t>
      </w:r>
      <w:r w:rsidRPr="00C31505">
        <w:rPr>
          <w:rFonts w:cstheme="minorBidi"/>
          <w:szCs w:val="20"/>
        </w:rPr>
        <w:t>.</w:t>
      </w:r>
    </w:p>
    <w:p w14:paraId="341644FB" w14:textId="7D3A0D76" w:rsidR="00B82CC6" w:rsidRPr="00041913" w:rsidRDefault="00B82CC6" w:rsidP="00B82CC6">
      <w:pPr>
        <w:pStyle w:val="ListParagraph"/>
        <w:numPr>
          <w:ilvl w:val="0"/>
          <w:numId w:val="30"/>
        </w:numPr>
        <w:rPr>
          <w:rFonts w:cstheme="minorBidi"/>
          <w:szCs w:val="20"/>
        </w:rPr>
      </w:pPr>
      <w:r w:rsidRPr="00041913">
        <w:rPr>
          <w:rFonts w:cstheme="minorBidi"/>
          <w:b/>
          <w:bCs/>
          <w:szCs w:val="20"/>
        </w:rPr>
        <w:t>Relative Ratio of symptomatic disease in women to MSM:</w:t>
      </w:r>
      <w:r w:rsidRPr="00041913">
        <w:rPr>
          <w:rFonts w:cstheme="minorBidi"/>
          <w:szCs w:val="20"/>
        </w:rPr>
        <w:t xml:space="preserve"> We derived the ratio of symptomatic presentation in women versus MSM using King County surveillance data analyzed by Berzkalns et al. (2023) from 2007–2022 </w:t>
      </w:r>
      <w:r w:rsidRPr="00041913">
        <w:rPr>
          <w:rFonts w:cs="Calibri"/>
          <w:szCs w:val="20"/>
        </w:rPr>
        <w:fldChar w:fldCharType="begin"/>
      </w:r>
      <w:r w:rsidR="00472A79">
        <w:rPr>
          <w:rFonts w:cs="Calibri"/>
          <w:szCs w:val="20"/>
        </w:rPr>
        <w:instrText xml:space="preserve"> ADDIN EN.CITE &lt;EndNote&gt;&lt;Cite&gt;&lt;Author&gt;Berzkalns&lt;/Author&gt;&lt;Year&gt;2023&lt;/Year&gt;&lt;RecNum&gt;2604&lt;/RecNum&gt;&lt;DisplayText&gt;(14)&lt;/DisplayText&gt;&lt;record&gt;&lt;rec-number&gt;2604&lt;/rec-number&gt;&lt;foreign-keys&gt;&lt;key app="EN" db-id="xrzs0t9aq90fz3epr5zx0p99vxx0ftpxw0s0" timestamp="1778597333"&gt;2604&lt;/key&gt;&lt;/foreign-keys&gt;&lt;ref-type name="Conference Proceedings"&gt;10&lt;/ref-type&gt;&lt;contributors&gt;&lt;authors&gt;&lt;author&gt;Berzkalns, Anna&lt;/author&gt;&lt;author&gt;Ramchandani, Meena S&lt;/author&gt;&lt;author&gt;Cannon, Chase A&lt;/author&gt;&lt;author&gt;Kerani, Roxanne P&lt;/author&gt;&lt;author&gt;Dombrowski, Julie C&lt;/author&gt;&lt;author&gt;Golden, Matthew R&lt;/author&gt;&lt;/authors&gt;&lt;/contributors&gt;&lt;titles&gt;&lt;title&gt;The syphilis epidemic among heterosexuals is accelerating: evidence from King County, Washington&lt;/title&gt;&lt;secondary-title&gt;Open Forum Infectious Diseases&lt;/secondary-title&gt;&lt;/titles&gt;&lt;periodical&gt;&lt;full-title&gt;Open Forum Infectious Diseases&lt;/full-title&gt;&lt;/periodical&gt;&lt;pages&gt;ofad481&lt;/pages&gt;&lt;volume&gt;10&lt;/volume&gt;&lt;number&gt;10&lt;/number&gt;&lt;dates&gt;&lt;year&gt;2023&lt;/year&gt;&lt;/dates&gt;&lt;publisher&gt;Oxford University Press US&lt;/publisher&gt;&lt;isbn&gt;2328-8957&lt;/isbn&gt;&lt;urls&gt;&lt;/urls&gt;&lt;/record&gt;&lt;/Cite&gt;&lt;/EndNote&gt;</w:instrText>
      </w:r>
      <w:r w:rsidRPr="00041913">
        <w:rPr>
          <w:rFonts w:cs="Calibri"/>
          <w:szCs w:val="20"/>
        </w:rPr>
        <w:fldChar w:fldCharType="separate"/>
      </w:r>
      <w:r w:rsidR="00472A79">
        <w:rPr>
          <w:rFonts w:cs="Calibri"/>
          <w:noProof/>
          <w:szCs w:val="20"/>
        </w:rPr>
        <w:t>(14)</w:t>
      </w:r>
      <w:r w:rsidRPr="00041913">
        <w:rPr>
          <w:rFonts w:cs="Calibri"/>
          <w:szCs w:val="20"/>
        </w:rPr>
        <w:fldChar w:fldCharType="end"/>
      </w:r>
      <w:r w:rsidRPr="00041913">
        <w:rPr>
          <w:rFonts w:cstheme="minorBidi"/>
          <w:szCs w:val="20"/>
        </w:rPr>
        <w:t>. Most female cases were staged as late or unknown duration annually (58–96%), but early syphilis became predominant by 2020 and reached 52% of cases in 2022. The share of cisgender women with late/unknown stage and RPR ≥1:32</w:t>
      </w:r>
      <w:r w:rsidR="00243894">
        <w:rPr>
          <w:rFonts w:cstheme="minorBidi"/>
          <w:szCs w:val="20"/>
        </w:rPr>
        <w:t>–</w:t>
      </w:r>
      <w:r w:rsidRPr="00041913">
        <w:rPr>
          <w:rFonts w:cstheme="minorBidi"/>
          <w:szCs w:val="20"/>
        </w:rPr>
        <w:t>used as an indicator of recent infection</w:t>
      </w:r>
      <w:r w:rsidR="00243894">
        <w:rPr>
          <w:rFonts w:cstheme="minorBidi"/>
          <w:szCs w:val="20"/>
        </w:rPr>
        <w:t>–</w:t>
      </w:r>
      <w:r w:rsidRPr="00041913">
        <w:rPr>
          <w:rFonts w:cstheme="minorBidi"/>
          <w:szCs w:val="20"/>
        </w:rPr>
        <w:t>rose from 5% (2007–2010) to 26% (2011–2020) and 54% (2021–2022). Assuming that these recent infections were missed due to the lack of symptoms, we estimated the total number of early infections (including both early stage diagnoses and late/unknown stage cases with high RPR titers) and calculated the proportion that were symptomatic. We applied a similar method to estimate this proportion for women and MSM, and took their ratio. The relative ratio of symptomatic disease in women to MSM was estimated at 95% (2007–2010), 62% (2011–2020), and 42% (2021–2022). The weighted mean ratio over 2007–2022 is 66%</w:t>
      </w:r>
      <w:r>
        <w:rPr>
          <w:rFonts w:cstheme="minorBidi"/>
          <w:szCs w:val="20"/>
        </w:rPr>
        <w:t xml:space="preserve">. </w:t>
      </w:r>
      <w:r w:rsidRPr="00340A73">
        <w:rPr>
          <w:rFonts w:cstheme="minorBidi"/>
          <w:szCs w:val="20"/>
        </w:rPr>
        <w:t>Given that women have a lower probability of symptomatic disease in the primary stage compared to the secondary stage, we apply this ratio only to infections in the primary stage</w:t>
      </w:r>
      <w:r w:rsidRPr="00041913">
        <w:rPr>
          <w:rFonts w:cstheme="minorBidi"/>
          <w:szCs w:val="20"/>
        </w:rPr>
        <w:t>. For secondary-stage infections, we assume a symptomatic proportion similar to MSM.</w:t>
      </w:r>
    </w:p>
    <w:p w14:paraId="3F6069C9" w14:textId="77777777" w:rsidR="00B82CC6" w:rsidRPr="00B82CC6" w:rsidRDefault="00B82CC6" w:rsidP="00B82CC6">
      <w:r w:rsidRPr="00B82CC6">
        <w:t>Individuals with symptomatic infection are assumed to seek care with a probability determined by a logistic function. The care-seeking probability is modeled using a logistic-linear form with a prior intercept of 0.75 and a slope of 1. To capture differences in healthcare utilization across population groups, we include multipliers on the intercept that vary by sex and sexual behavior group (MSM, heterosexual men, and women) and by race/ethnicity (Black, Hispanic, and Other). We assume that all groups share the same slope parameter. All intercept multipliers are estimated during model calibration.</w:t>
      </w:r>
    </w:p>
    <w:p w14:paraId="7300D81A" w14:textId="16391F4F" w:rsidR="002F6145" w:rsidRDefault="001328D5" w:rsidP="001328D5">
      <w:pPr>
        <w:pStyle w:val="Heading3"/>
      </w:pPr>
      <w:r>
        <w:t>Syphilis Screening</w:t>
      </w:r>
    </w:p>
    <w:p w14:paraId="29A06B21" w14:textId="6176B9D2" w:rsidR="001328D5" w:rsidRPr="001328D5" w:rsidRDefault="001328D5" w:rsidP="001328D5">
      <w:r w:rsidRPr="001328D5">
        <w:t xml:space="preserve">Simulated individuals in the model experience a time-varying probability of syphilis screening </w:t>
      </w:r>
      <w:r>
        <w:t xml:space="preserve">irrespective after disease stage and symptoms status. </w:t>
      </w:r>
      <w:r w:rsidRPr="001328D5">
        <w:t xml:space="preserve">Because syphilis screening is not mandatorily reported at the national level, no centralized surveillance data exist to directly inform population-level screening rates. We therefore developed a </w:t>
      </w:r>
      <w:r w:rsidR="00003219">
        <w:t>3-step</w:t>
      </w:r>
      <w:r w:rsidRPr="001328D5">
        <w:t xml:space="preserve"> approach to estimate syphilis screening rates by leveraging available data on HIV testing as a proxy.</w:t>
      </w:r>
    </w:p>
    <w:p w14:paraId="72B33C76" w14:textId="33C7E75D" w:rsidR="00A910E0" w:rsidRPr="00A910E0" w:rsidRDefault="003E266F" w:rsidP="00A910E0">
      <w:r>
        <w:t>To this end, w</w:t>
      </w:r>
      <w:r w:rsidR="00A910E0" w:rsidRPr="00A910E0">
        <w:t>e used the Behavioral Risk Factor Surveillance System (BRFSS), which reports the annual proportion of individuals who received an HIV test in the past 12 months, as the primary data source to inform syphilis screening rates [</w:t>
      </w:r>
      <w:r w:rsidR="00A910E0" w:rsidRPr="00A910E0">
        <w:rPr>
          <w:highlight w:val="yellow"/>
        </w:rPr>
        <w:t>REF].</w:t>
      </w:r>
      <w:r w:rsidR="00A910E0" w:rsidRPr="00A910E0">
        <w:t xml:space="preserve"> We assumed that syphilis screening rates are correlated with HIV testing rates, given that both are predominantly delivered through the same clinical and public health infrastructure. We extracted BRFSS data from 2014 onward, stratified by age group, sex, race/ethnicity,</w:t>
      </w:r>
      <w:r w:rsidR="00A910E0">
        <w:t xml:space="preserve"> selected </w:t>
      </w:r>
      <w:r w:rsidR="00A910E0" w:rsidRPr="00A910E0">
        <w:t>MSA</w:t>
      </w:r>
      <w:r w:rsidR="00A910E0">
        <w:t xml:space="preserve"> and states</w:t>
      </w:r>
      <w:r w:rsidR="00A910E0" w:rsidRPr="00A910E0">
        <w:t>, using survey weights to estimate the annual proportion reporting an HIV test in the past year.</w:t>
      </w:r>
    </w:p>
    <w:p w14:paraId="61235DB2" w14:textId="2A8EC62B" w:rsidR="00A910E0" w:rsidRDefault="00A910E0" w:rsidP="00A910E0">
      <w:r w:rsidRPr="00A910E0">
        <w:t xml:space="preserve">To generate an informative prior for the syphilis screening rate, we </w:t>
      </w:r>
      <w:r>
        <w:t xml:space="preserve">first </w:t>
      </w:r>
      <w:r w:rsidRPr="00A910E0">
        <w:t>fit</w:t>
      </w:r>
      <w:r>
        <w:t>ted</w:t>
      </w:r>
      <w:r w:rsidRPr="00A910E0">
        <w:t xml:space="preserve"> a weighted logistic regression model to individual-level BRFSS data with the outcome of HIV testing in the past year, including age, sex, race/ethnicity, and year as predictors with all two- and three-way interactions. Data from 2020–2022 were excluded from the regression to remove distortions </w:t>
      </w:r>
      <w:r w:rsidR="00EA21A9">
        <w:t>due</w:t>
      </w:r>
      <w:r w:rsidRPr="00A910E0">
        <w:t xml:space="preserve"> to COVID-19. The baseline syphilis screening rate was initialized at 60% of the observed HIV testing rat</w:t>
      </w:r>
      <w:r w:rsidR="00EA21A9">
        <w:t>e</w:t>
      </w:r>
      <w:r w:rsidR="00F7626E">
        <w:t xml:space="preserve"> </w:t>
      </w:r>
      <w:r w:rsidR="00F7626E">
        <w:fldChar w:fldCharType="begin"/>
      </w:r>
      <w:r w:rsidR="00F7626E">
        <w:instrText xml:space="preserve"> ADDIN EN.CITE &lt;EndNote&gt;&lt;Cite&gt;&lt;Author&gt;An&lt;/Author&gt;&lt;Year&gt;2017&lt;/Year&gt;&lt;RecNum&gt;2216&lt;/RecNum&gt;&lt;DisplayText&gt;(15)&lt;/DisplayText&gt;&lt;record&gt;&lt;rec-number&gt;2216&lt;/rec-number&gt;&lt;foreign-keys&gt;&lt;key app="EN" db-id="xrzs0t9aq90fz3epr5zx0p99vxx0ftpxw0s0" timestamp="1778531034"&gt;2216&lt;/key&gt;&lt;/foreign-keys&gt;&lt;ref-type name="Journal Article"&gt;17&lt;/ref-type&gt;&lt;contributors&gt;&lt;authors&gt;&lt;author&gt;An, Qian&lt;/author&gt;&lt;author&gt;Wejnert, Cyprian&lt;/author&gt;&lt;author&gt;Bernstein, Kyle&lt;/author&gt;&lt;author&gt;Paz-Bailey, Gabriela&lt;/author&gt;&lt;author&gt;NHBS Study Group&lt;/author&gt;&lt;/authors&gt;&lt;/contributors&gt;&lt;titles&gt;&lt;title&gt;Syphilis screening and diagnosis among men who have sex with men, 2008–2014, 20 US cities&lt;/title&gt;&lt;secondary-title&gt;JAIDS Journal of Acquired Immune Deficiency Syndromes&lt;/secondary-title&gt;&lt;/titles&gt;&lt;periodical&gt;&lt;full-title&gt;JAIDS Journal of Acquired Immune Deficiency Syndromes&lt;/full-title&gt;&lt;/periodical&gt;&lt;pages&gt;S363-S369&lt;/pages&gt;&lt;volume&gt;75&lt;/volume&gt;&lt;dates&gt;&lt;year&gt;2017&lt;/year&gt;&lt;/dates&gt;&lt;isbn&gt;1525-4135&lt;/isbn&gt;&lt;urls&gt;&lt;/urls&gt;&lt;/record&gt;&lt;/Cite&gt;&lt;/EndNote&gt;</w:instrText>
      </w:r>
      <w:r w:rsidR="00F7626E">
        <w:fldChar w:fldCharType="separate"/>
      </w:r>
      <w:r w:rsidR="00F7626E">
        <w:rPr>
          <w:noProof/>
        </w:rPr>
        <w:t>(15)</w:t>
      </w:r>
      <w:r w:rsidR="00F7626E">
        <w:fldChar w:fldCharType="end"/>
      </w:r>
      <w:r w:rsidRPr="00A910E0">
        <w:t>, and this ratio was allowed to change over time (see below). The estimated intercept and slope from the logistic regression, scaled by this ratio, were used to initialize the prior for the syphilis screening rate spline</w:t>
      </w:r>
      <w:r w:rsidR="00EA21A9">
        <w:t xml:space="preserve">s </w:t>
      </w:r>
      <w:r w:rsidRPr="00A910E0">
        <w:t>by subgroup</w:t>
      </w:r>
      <w:r w:rsidR="00F7626E">
        <w:t xml:space="preserve"> (below)</w:t>
      </w:r>
      <w:r w:rsidRPr="00A910E0">
        <w:t>.</w:t>
      </w:r>
    </w:p>
    <w:p w14:paraId="011BCB9C" w14:textId="77777777" w:rsidR="00EC51DD" w:rsidRPr="00A910E0" w:rsidRDefault="00EC51DD" w:rsidP="00EC51DD">
      <w:r w:rsidRPr="00A910E0">
        <w:t>Separately, the observed MSA-level, subgroup-specific proportions reporting an HIV test in the past year from BRFSS were used as direct calibration targets</w:t>
      </w:r>
      <w:r>
        <w:t xml:space="preserve"> (Table X)</w:t>
      </w:r>
      <w:r w:rsidRPr="00A910E0">
        <w:t>. For each calibration iteration, the model computed the expected proportion receiving an HIV test from the modeled syphilis screening rate and the estimated syphilis-to-HIV-testing ratio, and compared this quantity to the corresponding BRFSS estimate.</w:t>
      </w:r>
    </w:p>
    <w:p w14:paraId="7007458D" w14:textId="1977AC12" w:rsidR="00F7626E" w:rsidRDefault="003E266F" w:rsidP="00F7626E">
      <w:pPr>
        <w:pStyle w:val="Heading4"/>
      </w:pPr>
      <w:r>
        <w:lastRenderedPageBreak/>
        <w:t xml:space="preserve">Step1- </w:t>
      </w:r>
      <w:r w:rsidR="000F3743">
        <w:t xml:space="preserve">Modeling </w:t>
      </w:r>
      <w:r w:rsidR="001328D5" w:rsidRPr="001328D5">
        <w:t>Syphilis Screening Rate</w:t>
      </w:r>
    </w:p>
    <w:p w14:paraId="38BE0452" w14:textId="0C7ABDAB" w:rsidR="001328D5" w:rsidRPr="001328D5" w:rsidRDefault="001328D5" w:rsidP="00F7626E">
      <w:r w:rsidRPr="001328D5">
        <w:t xml:space="preserve">We modeled the annual syphilis screening rate using a piecewise linear spline with knots at 2010 and 2020. Screening rates were held fixed prior to 2010, as no subgroup-level data were available to calibrate trends in that period. The knot values at 2010 and 2020 were treated as free parameters during calibration and initialized from BRFSS HIV testing data (applying the </w:t>
      </w:r>
      <w:r w:rsidR="00F7626E">
        <w:rPr>
          <w:highlight w:val="yellow"/>
        </w:rPr>
        <w:t>60% rate ratio</w:t>
      </w:r>
      <w:r w:rsidRPr="00F8449A">
        <w:rPr>
          <w:highlight w:val="yellow"/>
        </w:rPr>
        <w:t xml:space="preserve"> assumption</w:t>
      </w:r>
      <w:r w:rsidRPr="001328D5">
        <w:t xml:space="preserve"> described </w:t>
      </w:r>
      <w:r w:rsidR="00F7626E">
        <w:t>below</w:t>
      </w:r>
      <w:r w:rsidRPr="001328D5">
        <w:t xml:space="preserve">). Between knots, annual screening rates were interpolated linearly. After 2020, the screening rate was projected to 2030 by extrapolating the 2010–2020 slope, modified by a multiplicative deviation parameter δ sampled during calibration, such that the post-2020 </w:t>
      </w:r>
      <w:r w:rsidRPr="00F8449A">
        <w:rPr>
          <w:highlight w:val="yellow"/>
        </w:rPr>
        <w:t>slope = slope</w:t>
      </w:r>
      <w:r w:rsidRPr="00F8449A">
        <w:rPr>
          <w:rFonts w:ascii="Cambria Math" w:hAnsi="Cambria Math" w:cs="Cambria Math"/>
          <w:highlight w:val="yellow"/>
        </w:rPr>
        <w:t>₂₀₁₀₋₂₀₂₀</w:t>
      </w:r>
      <w:r w:rsidRPr="00F8449A">
        <w:rPr>
          <w:highlight w:val="yellow"/>
        </w:rPr>
        <w:t xml:space="preserve"> × δ.</w:t>
      </w:r>
      <w:r w:rsidRPr="001328D5">
        <w:t xml:space="preserve"> This parameter captures uncertainty in future screening trends</w:t>
      </w:r>
      <w:r w:rsidR="00F8449A">
        <w:t xml:space="preserve"> and </w:t>
      </w:r>
      <w:r w:rsidR="000E0038">
        <w:t>is</w:t>
      </w:r>
      <w:r w:rsidR="00F8449A" w:rsidRPr="001328D5">
        <w:t xml:space="preserve"> sampled during calibration</w:t>
      </w:r>
      <w:r w:rsidRPr="001328D5">
        <w:t>.</w:t>
      </w:r>
    </w:p>
    <w:p w14:paraId="6CB89F1E" w14:textId="5BEAC9B1" w:rsidR="001328D5" w:rsidRPr="001328D5" w:rsidRDefault="001328D5" w:rsidP="001328D5">
      <w:r w:rsidRPr="001328D5">
        <w:t xml:space="preserve">To allow screening rates to vary across demographic subgroups, we included multiplicative subgroup-specific modifiers applied to the base knot values at both 2010 and 2020. Subgroups were defined by sex and risk group (MSM, heterosexual men, women) and by race/ethnicity (Black, Hispanic, other), yielding six subgroup-specific multipliers at each knot year (12 multipliers total). All multipliers were initialized from a lognormal distribution (meanlog = 0, sdlog = 0.5 × log(2)) and sampled freely during calibration, allowing the model to fit subgroup-specific trends in </w:t>
      </w:r>
      <w:r w:rsidR="000E0038">
        <w:t>HIV testing</w:t>
      </w:r>
      <w:r w:rsidRPr="001328D5">
        <w:t xml:space="preserve"> over time</w:t>
      </w:r>
      <w:r w:rsidR="000E0038">
        <w:t xml:space="preserve"> (see below)</w:t>
      </w:r>
      <w:r w:rsidRPr="001328D5">
        <w:t>.</w:t>
      </w:r>
    </w:p>
    <w:p w14:paraId="01BD403B" w14:textId="189FFC8A" w:rsidR="001328D5" w:rsidRDefault="003E266F" w:rsidP="00F7626E">
      <w:pPr>
        <w:pStyle w:val="Heading4"/>
      </w:pPr>
      <w:r>
        <w:t xml:space="preserve">Step 2- Modeling </w:t>
      </w:r>
      <w:r w:rsidR="001328D5" w:rsidRPr="001328D5">
        <w:t>Ratio of Syphilis Screening to HIV Testing</w:t>
      </w:r>
    </w:p>
    <w:p w14:paraId="51526200" w14:textId="5C6B237F" w:rsidR="00EB6FAD" w:rsidRPr="00EB6FAD" w:rsidRDefault="00EB6FAD" w:rsidP="00BF1615">
      <w:r w:rsidRPr="00EB6FAD">
        <w:t>To translate BRFSS HIV testing data into expected syphilis screening proportions for calibration, we modeled the ratio of syphilis screening to HIV testing using a logistic-linear function, ensuring the ratio remains bounded between 0 and 1:</w:t>
      </w:r>
      <w:r w:rsidR="00BF1615">
        <w:t xml:space="preserve"> </w:t>
      </w:r>
      <w:r w:rsidRPr="00EB6FAD">
        <w:t>ratio(t) = 1 / (1 + exp(−(α + β · t)))</w:t>
      </w:r>
      <w:r w:rsidR="00BF1615">
        <w:t xml:space="preserve"> </w:t>
      </w:r>
      <w:r w:rsidRPr="00EB6FAD">
        <w:t>where α is the intercept and β is the slope over time.</w:t>
      </w:r>
    </w:p>
    <w:p w14:paraId="6086830C" w14:textId="15E2EA0B" w:rsidR="00EB6FAD" w:rsidRPr="00EB6FAD" w:rsidRDefault="00EB6FAD" w:rsidP="00EB6FAD">
      <w:r w:rsidRPr="00EB6FAD">
        <w:t xml:space="preserve">We informed the prior for this ratio using data from the National HIV Behavioral Surveillance (NHBS) system, which ascertains both syphilis testing and HIV testing in the past 12 months among MSM in 20 U.S. metropolitan areas. An et al. reported that the proportion of MSM screened for syphilis in the past 12 months increased from 38% in 2008 to 40% in 2011 and 49% in 2014, while HIV testing over the same period increased from 62% to 67% and approximately 71%, respectively </w:t>
      </w:r>
      <w:r w:rsidR="00BF1615">
        <w:fldChar w:fldCharType="begin"/>
      </w:r>
      <w:r w:rsidR="00BF1615">
        <w:instrText xml:space="preserve"> ADDIN EN.CITE &lt;EndNote&gt;&lt;Cite&gt;&lt;Author&gt;An&lt;/Author&gt;&lt;Year&gt;2017&lt;/Year&gt;&lt;RecNum&gt;2216&lt;/RecNum&gt;&lt;DisplayText&gt;(15)&lt;/DisplayText&gt;&lt;record&gt;&lt;rec-number&gt;2216&lt;/rec-number&gt;&lt;foreign-keys&gt;&lt;key app="EN" db-id="xrzs0t9aq90fz3epr5zx0p99vxx0ftpxw0s0" timestamp="1778531034"&gt;2216&lt;/key&gt;&lt;/foreign-keys&gt;&lt;ref-type name="Journal Article"&gt;17&lt;/ref-type&gt;&lt;contributors&gt;&lt;authors&gt;&lt;author&gt;An, Qian&lt;/author&gt;&lt;author&gt;Wejnert, Cyprian&lt;/author&gt;&lt;author&gt;Bernstein, Kyle&lt;/author&gt;&lt;author&gt;Paz-Bailey, Gabriela&lt;/author&gt;&lt;author&gt;NHBS Study Group&lt;/author&gt;&lt;/authors&gt;&lt;/contributors&gt;&lt;titles&gt;&lt;title&gt;Syphilis screening and diagnosis among men who have sex with men, 2008–2014, 20 US cities&lt;/title&gt;&lt;secondary-title&gt;JAIDS Journal of Acquired Immune Deficiency Syndromes&lt;/secondary-title&gt;&lt;/titles&gt;&lt;periodical&gt;&lt;full-title&gt;JAIDS Journal of Acquired Immune Deficiency Syndromes&lt;/full-title&gt;&lt;/periodical&gt;&lt;pages&gt;S363-S369&lt;/pages&gt;&lt;volume&gt;75&lt;/volume&gt;&lt;dates&gt;&lt;year&gt;2017&lt;/year&gt;&lt;/dates&gt;&lt;isbn&gt;1525-4135&lt;/isbn&gt;&lt;urls&gt;&lt;/urls&gt;&lt;/record&gt;&lt;/Cite&gt;&lt;/EndNote&gt;</w:instrText>
      </w:r>
      <w:r w:rsidR="00BF1615">
        <w:fldChar w:fldCharType="separate"/>
      </w:r>
      <w:r w:rsidR="00BF1615">
        <w:rPr>
          <w:noProof/>
        </w:rPr>
        <w:t>(15)</w:t>
      </w:r>
      <w:r w:rsidR="00BF1615">
        <w:fldChar w:fldCharType="end"/>
      </w:r>
      <w:r w:rsidRPr="00EB6FAD">
        <w:t>. The implied ratio of syphilis screening to HIV testing thus increased from approximately 0.61 in 2008 to 0.60 in 2011 and 0.69 in 2014, confirming that this ratio varies over time and is not static. While these estimates derive from a high-risk, urban, venue-sampled MSM population and may not be directly generalizable to the broader population</w:t>
      </w:r>
      <w:r w:rsidR="00AF3A72">
        <w:t>,</w:t>
      </w:r>
      <w:r w:rsidRPr="00EB6FAD">
        <w:t xml:space="preserve"> they represent the best available empirical basis for this parameter.</w:t>
      </w:r>
    </w:p>
    <w:p w14:paraId="235E5687" w14:textId="61DE28FF" w:rsidR="00EB6FAD" w:rsidRPr="00EB6FAD" w:rsidRDefault="00EB6FAD" w:rsidP="00EB6FAD">
      <w:r w:rsidRPr="00EB6FAD">
        <w:t xml:space="preserve">Based on these data, we set the prior for α such that the pre-2010 ratio is centered at 0.6 (logit(0.6) ≈ 0.41). Both the ratio and its underlying parameters were held fixed prior to 2010, consistent with the assumption applied to the screening rate spline. From 2010 onward, the slope β was sampled as a single shared parameter during calibration, applying uniformly across all subgroups. The prior for β was centered at 0.10 per year, reflecting the observed increase on the logit scale from approximately 0.60 to 0.69 over the 2010–2014 period. This parameterization allows the ratio to evolve over the projection horizon while remaining parsimonious </w:t>
      </w:r>
      <w:r w:rsidR="00243894">
        <w:t>–</w:t>
      </w:r>
      <w:r w:rsidRPr="00EB6FAD">
        <w:t xml:space="preserve"> no subgroup-specific multipliers were applied to the ratio, as no data exist to separately identify them and the subgroup heterogeneity in screening intensity is already captured by the demographic multipliers on the syphilis screening rate spline.</w:t>
      </w:r>
    </w:p>
    <w:p w14:paraId="382D1CAC" w14:textId="77777777" w:rsidR="007A7243" w:rsidRDefault="003E266F" w:rsidP="00003219">
      <w:pPr>
        <w:pStyle w:val="Heading4"/>
      </w:pPr>
      <w:r>
        <w:t>Step3 -</w:t>
      </w:r>
      <w:r w:rsidR="00F7626E">
        <w:t xml:space="preserve">Computing and </w:t>
      </w:r>
      <w:r>
        <w:t>C</w:t>
      </w:r>
      <w:r w:rsidR="00F7626E">
        <w:t xml:space="preserve">alibrating </w:t>
      </w:r>
      <w:r>
        <w:t>Population P</w:t>
      </w:r>
      <w:r w:rsidR="00F7626E">
        <w:t>roportion with</w:t>
      </w:r>
      <w:r>
        <w:t xml:space="preserve"> an</w:t>
      </w:r>
      <w:r w:rsidR="00F7626E">
        <w:t xml:space="preserve"> HIV test</w:t>
      </w:r>
    </w:p>
    <w:p w14:paraId="493CB252" w14:textId="5DDCCA3B" w:rsidR="00EC51DD" w:rsidRDefault="007A7243" w:rsidP="007A7243">
      <w:r>
        <w:t xml:space="preserve">In the final step, the rate of HIV testing was estimated the rate of HIV testing was estimated from projected rate of syphilis screening and the ratio of syphilis screening to HIV testing. </w:t>
      </w:r>
      <w:r w:rsidR="00003219">
        <w:t xml:space="preserve">This was translated into </w:t>
      </w:r>
      <w:r>
        <w:t>t</w:t>
      </w:r>
      <w:r w:rsidR="00EC51DD" w:rsidRPr="00EB6FAD">
        <w:t>he expected proportion of each subgroup receiving an HIV test in a given year</w:t>
      </w:r>
      <w:r w:rsidR="00003219">
        <w:t xml:space="preserve">. This ratio is </w:t>
      </w:r>
      <w:r w:rsidR="00EC51DD" w:rsidRPr="00EB6FAD">
        <w:t>compared to the corresponding BRFSS-reported proportion as a calibration targe</w:t>
      </w:r>
      <w:r w:rsidR="00003219">
        <w:t>t.</w:t>
      </w:r>
    </w:p>
    <w:p w14:paraId="6A1B9ED0" w14:textId="77777777" w:rsidR="00920D35" w:rsidRPr="00920D35" w:rsidRDefault="00920D35" w:rsidP="00920D35">
      <w:pPr>
        <w:pStyle w:val="Heading3"/>
      </w:pPr>
      <w:r w:rsidRPr="00920D35">
        <w:t>Diagnostic Misclassification of Syphilis Stage</w:t>
      </w:r>
    </w:p>
    <w:p w14:paraId="31654AAD" w14:textId="441B30D4" w:rsidR="00920D35" w:rsidRPr="00920D35" w:rsidRDefault="00920D35" w:rsidP="00920D35">
      <w:r w:rsidRPr="00920D35">
        <w:t xml:space="preserve">We assumed 100% sensitivity and 100% specificity for syphilis testing </w:t>
      </w:r>
      <w:r w:rsidR="00243894">
        <w:t>–</w:t>
      </w:r>
      <w:r w:rsidRPr="00920D35">
        <w:t xml:space="preserve"> that is, all individuals with syphilis who are tested receive a true positive result, and no false positives occur. However, once a case is diagnosed, accurate staging requires the application of clinical and epidemiological criteria to differentiate primary and secondary syphilis from early latent syphilis, and to distinguish early latent from late latent or unknown duration infection. In practice, this staging process is imperfect and subject to systematic misclassification.</w:t>
      </w:r>
    </w:p>
    <w:p w14:paraId="2A5AF282" w14:textId="77777777" w:rsidR="00920D35" w:rsidRDefault="00920D35" w:rsidP="00920D35">
      <w:r w:rsidRPr="00920D35">
        <w:t>We modeled two forms of diagnostic misclassification</w:t>
      </w:r>
      <w:r>
        <w:t>:</w:t>
      </w:r>
    </w:p>
    <w:p w14:paraId="2DF7B5B7" w14:textId="1B72101C" w:rsidR="007033C2" w:rsidRDefault="007033C2" w:rsidP="006466B1">
      <w:pPr>
        <w:pStyle w:val="ListParagraph"/>
        <w:numPr>
          <w:ilvl w:val="0"/>
          <w:numId w:val="41"/>
        </w:numPr>
      </w:pPr>
      <w:r w:rsidRPr="007033C2">
        <w:lastRenderedPageBreak/>
        <w:t xml:space="preserve">First, all primary and secondary cases who are asymptomatic at the time of diagnosis and identified through routine syphilis screening </w:t>
      </w:r>
      <w:r w:rsidR="00243894">
        <w:t>–</w:t>
      </w:r>
      <w:r w:rsidRPr="007033C2">
        <w:t xml:space="preserve"> rather than through symptom-driven care-seeking </w:t>
      </w:r>
      <w:r w:rsidR="00243894">
        <w:t>–</w:t>
      </w:r>
      <w:r w:rsidRPr="007033C2">
        <w:t xml:space="preserve"> are by definition misclassified as early latent, as the absence of symptoms precludes clinical confirmation of stage.</w:t>
      </w:r>
      <w:r>
        <w:t xml:space="preserve"> </w:t>
      </w:r>
      <w:r w:rsidR="006466B1" w:rsidRPr="006466B1">
        <w:t>This misclassification is treated as a fixed assumption in the model</w:t>
      </w:r>
      <w:r w:rsidR="006466B1">
        <w:t>.</w:t>
      </w:r>
    </w:p>
    <w:p w14:paraId="15EE9B0D" w14:textId="4762A243" w:rsidR="00920D35" w:rsidRPr="00920D35" w:rsidRDefault="00920D35" w:rsidP="007033C2">
      <w:pPr>
        <w:pStyle w:val="ListParagraph"/>
        <w:numPr>
          <w:ilvl w:val="0"/>
          <w:numId w:val="41"/>
        </w:numPr>
      </w:pPr>
      <w:r w:rsidRPr="00920D35">
        <w:t>Second, individuals in early latent or late latent stages may be misclassified in either direction: early latent cases may be assigned to late latent or unknown duration when temporal evidence of recent infection cannot be established, and conversely, late latent or unknown duration cases may be misclassified as early latent when staging criteria are applied inconsistently.</w:t>
      </w:r>
    </w:p>
    <w:p w14:paraId="286F0236" w14:textId="450D5FEB" w:rsidR="00920D35" w:rsidRPr="00920D35" w:rsidRDefault="00920D35" w:rsidP="00EF140C">
      <w:r w:rsidRPr="00920D35">
        <w:t xml:space="preserve">We estimated misclassification probabilities from Peterman et al. (2005), who reviewed 973 syphilis case records from </w:t>
      </w:r>
      <w:r w:rsidR="0040313B">
        <w:t xml:space="preserve">6 US </w:t>
      </w:r>
      <w:r w:rsidRPr="00920D35">
        <w:t xml:space="preserve">jurisdictions in 2002 and reclassified them according to CDC case definitions </w:t>
      </w:r>
      <w:r w:rsidR="0040313B">
        <w:fldChar w:fldCharType="begin"/>
      </w:r>
      <w:r w:rsidR="0040313B">
        <w:instrText xml:space="preserve"> ADDIN EN.CITE &lt;EndNote&gt;&lt;Cite&gt;&lt;Author&gt;Peterman&lt;/Author&gt;&lt;Year&gt;2005&lt;/Year&gt;&lt;RecNum&gt;2616&lt;/RecNum&gt;&lt;DisplayText&gt;(16)&lt;/DisplayText&gt;&lt;record&gt;&lt;rec-number&gt;2616&lt;/rec-number&gt;&lt;foreign-keys&gt;&lt;key app="EN" db-id="xrzs0t9aq90fz3epr5zx0p99vxx0ftpxw0s0" timestamp="1782748135"&gt;2616&lt;/key&gt;&lt;/foreign-keys&gt;&lt;ref-type name="Journal Article"&gt;17&lt;/ref-type&gt;&lt;contributors&gt;&lt;authors&gt;&lt;author&gt;Peterman, Thomas A&lt;/author&gt;&lt;author&gt;Kahn, Richard H&lt;/author&gt;&lt;author&gt;Ciesielski, Carol A&lt;/author&gt;&lt;author&gt;Ortiz-Rios, Elizabeth&lt;/author&gt;&lt;author&gt;Furness, Bruce W&lt;/author&gt;&lt;author&gt;Blank, Susan&lt;/author&gt;&lt;author&gt;Schillinger, Julia A&lt;/author&gt;&lt;author&gt;Gunn, Robert A&lt;/author&gt;&lt;author&gt;Taylor, Melanie&lt;/author&gt;&lt;author&gt;Berman, Stuart M&lt;/author&gt;&lt;/authors&gt;&lt;/contributors&gt;&lt;titles&gt;&lt;title&gt;Misclassification of the stages of syphilis: implications for surveillance&lt;/title&gt;&lt;secondary-title&gt;Sexually transmitted diseases&lt;/secondary-title&gt;&lt;/titles&gt;&lt;periodical&gt;&lt;full-title&gt;Sexually transmitted diseases&lt;/full-title&gt;&lt;/periodical&gt;&lt;pages&gt;144-149&lt;/pages&gt;&lt;volume&gt;32&lt;/volume&gt;&lt;number&gt;3&lt;/number&gt;&lt;dates&gt;&lt;year&gt;2005&lt;/year&gt;&lt;/dates&gt;&lt;isbn&gt;0148-5717&lt;/isbn&gt;&lt;urls&gt;&lt;/urls&gt;&lt;/record&gt;&lt;/Cite&gt;&lt;/EndNote&gt;</w:instrText>
      </w:r>
      <w:r w:rsidR="0040313B">
        <w:fldChar w:fldCharType="separate"/>
      </w:r>
      <w:r w:rsidR="0040313B">
        <w:rPr>
          <w:noProof/>
        </w:rPr>
        <w:t>(16)</w:t>
      </w:r>
      <w:r w:rsidR="0040313B">
        <w:fldChar w:fldCharType="end"/>
      </w:r>
      <w:r w:rsidR="0040313B">
        <w:t xml:space="preserve">. </w:t>
      </w:r>
      <w:r w:rsidRPr="00920D35">
        <w:t xml:space="preserve">Using </w:t>
      </w:r>
      <w:r w:rsidR="00EF140C">
        <w:t>F</w:t>
      </w:r>
      <w:r w:rsidRPr="00920D35">
        <w:t xml:space="preserve">rom </w:t>
      </w:r>
      <w:r w:rsidR="00EF140C">
        <w:t xml:space="preserve">Table 1 in </w:t>
      </w:r>
      <w:r w:rsidRPr="00920D35">
        <w:t>that study, which cross-tabulates site-reported stage against author-reclassified stage, we computed the</w:t>
      </w:r>
      <w:r w:rsidR="00EF140C">
        <w:t xml:space="preserve"> p</w:t>
      </w:r>
      <w:r w:rsidR="00EF140C" w:rsidRPr="00EF140C">
        <w:t>roportion of</w:t>
      </w:r>
      <w:r w:rsidRPr="00EF140C">
        <w:t xml:space="preserve"> all true early latent cases</w:t>
      </w:r>
      <w:r w:rsidR="00EF140C" w:rsidRPr="00EF140C">
        <w:t xml:space="preserve"> who </w:t>
      </w:r>
      <w:r w:rsidRPr="00EF140C">
        <w:t>were misclassified as late latent or unknown duration</w:t>
      </w:r>
      <w:r w:rsidR="00EF140C" w:rsidRPr="00EF140C">
        <w:t xml:space="preserve"> at 9.6%, and the proportion of </w:t>
      </w:r>
      <w:r w:rsidRPr="00EF140C">
        <w:t>all true late latent or unknown duration cases</w:t>
      </w:r>
      <w:r w:rsidR="00EF140C" w:rsidRPr="00EF140C">
        <w:t xml:space="preserve"> who </w:t>
      </w:r>
      <w:r w:rsidRPr="00EF140C">
        <w:t>were misclassified as early latent</w:t>
      </w:r>
      <w:r w:rsidR="00EF140C" w:rsidRPr="00EF140C">
        <w:t xml:space="preserve"> at 27.2% </w:t>
      </w:r>
      <w:r w:rsidR="00EF140C">
        <w:t>(</w:t>
      </w:r>
      <w:r w:rsidR="00EF140C" w:rsidRPr="00EF140C">
        <w:rPr>
          <w:b/>
          <w:bCs/>
        </w:rPr>
        <w:t>Table1</w:t>
      </w:r>
      <w:r w:rsidR="00EF140C">
        <w:t>).</w:t>
      </w:r>
    </w:p>
    <w:p w14:paraId="45B49919" w14:textId="1781004E" w:rsidR="00920D35" w:rsidRDefault="006466B1" w:rsidP="006466B1">
      <w:r w:rsidRPr="006466B1">
        <w:t>Both parameters were treated as calibrated quantities, with informative priors centered at these empirical estimates and variation sampled during calibration.</w:t>
      </w:r>
      <w:r>
        <w:t xml:space="preserve"> </w:t>
      </w:r>
      <w:r w:rsidR="00920D35" w:rsidRPr="00920D35">
        <w:t>These values were used as fixed parameters in the model. Peterman et al. also found that classification accuracy was high for primary (94.0%) and secondary (95.4%) syphilis but poor for early latent (48.4%) and unknown duration (49.7%), consistent with the biological and operational challenges of staging latent infection in the absence of clear temporal evidence of recent acquisition</w:t>
      </w:r>
      <w:r w:rsidR="001F57A9">
        <w:t xml:space="preserve"> </w:t>
      </w:r>
      <w:commentRangeStart w:id="0"/>
      <w:r w:rsidR="001F57A9">
        <w:fldChar w:fldCharType="begin"/>
      </w:r>
      <w:r w:rsidR="001F57A9">
        <w:instrText xml:space="preserve"> ADDIN EN.CITE &lt;EndNote&gt;&lt;Cite&gt;&lt;Author&gt;Peterman&lt;/Author&gt;&lt;Year&gt;2005&lt;/Year&gt;&lt;RecNum&gt;2616&lt;/RecNum&gt;&lt;DisplayText&gt;(16)&lt;/DisplayText&gt;&lt;record&gt;&lt;rec-number&gt;2616&lt;/rec-number&gt;&lt;foreign-keys&gt;&lt;key app="EN" db-id="xrzs0t9aq90fz3epr5zx0p99vxx0ftpxw0s0" timestamp="1782748135"&gt;2616&lt;/key&gt;&lt;/foreign-keys&gt;&lt;ref-type name="Journal Article"&gt;17&lt;/ref-type&gt;&lt;contributors&gt;&lt;authors&gt;&lt;author&gt;Peterman, Thomas A&lt;/author&gt;&lt;author&gt;Kahn, Richard H&lt;/author&gt;&lt;author&gt;Ciesielski, Carol A&lt;/author&gt;&lt;author&gt;Ortiz-Rios, Elizabeth&lt;/author&gt;&lt;author&gt;Furness, Bruce W&lt;/author&gt;&lt;author&gt;Blank, Susan&lt;/author&gt;&lt;author&gt;Schillinger, Julia A&lt;/author&gt;&lt;author&gt;Gunn, Robert A&lt;/author&gt;&lt;author&gt;Taylor, Melanie&lt;/author&gt;&lt;author&gt;Berman, Stuart M&lt;/author&gt;&lt;/authors&gt;&lt;/contributors&gt;&lt;titles&gt;&lt;title&gt;Misclassification of the stages of syphilis: implications for surveillance&lt;/title&gt;&lt;secondary-title&gt;Sexually transmitted diseases&lt;/secondary-title&gt;&lt;/titles&gt;&lt;periodical&gt;&lt;full-title&gt;Sexually transmitted diseases&lt;/full-title&gt;&lt;/periodical&gt;&lt;pages&gt;144-149&lt;/pages&gt;&lt;volume&gt;32&lt;/volume&gt;&lt;number&gt;3&lt;/number&gt;&lt;dates&gt;&lt;year&gt;2005&lt;/year&gt;&lt;/dates&gt;&lt;isbn&gt;0148-5717&lt;/isbn&gt;&lt;urls&gt;&lt;/urls&gt;&lt;/record&gt;&lt;/Cite&gt;&lt;/EndNote&gt;</w:instrText>
      </w:r>
      <w:r w:rsidR="001F57A9">
        <w:fldChar w:fldCharType="separate"/>
      </w:r>
      <w:r w:rsidR="001F57A9">
        <w:rPr>
          <w:noProof/>
        </w:rPr>
        <w:t>(16)</w:t>
      </w:r>
      <w:r w:rsidR="001F57A9">
        <w:fldChar w:fldCharType="end"/>
      </w:r>
      <w:commentRangeEnd w:id="0"/>
      <w:r w:rsidR="00E47E23" w:rsidRPr="00920D35">
        <w:rPr>
          <w:rStyle w:val="CommentReference"/>
          <w:sz w:val="22"/>
          <w:szCs w:val="24"/>
        </w:rPr>
        <w:commentReference w:id="0"/>
      </w:r>
      <w:r w:rsidR="00920D35" w:rsidRPr="00920D35">
        <w:t>.</w:t>
      </w:r>
      <w:r w:rsidR="00556E6F">
        <w:t xml:space="preserve"> </w:t>
      </w:r>
      <w:r w:rsidR="00570F59">
        <w:t xml:space="preserve"> </w:t>
      </w:r>
      <w:r w:rsidR="00556E6F">
        <w:t xml:space="preserve"> </w:t>
      </w:r>
    </w:p>
    <w:p w14:paraId="489166B0" w14:textId="70962094" w:rsidR="00EB6FAD" w:rsidRDefault="00DA6AB9" w:rsidP="00625032">
      <w:pPr>
        <w:pStyle w:val="Heading2"/>
      </w:pPr>
      <w:commentRangeStart w:id="1"/>
      <w:r>
        <w:t>Treatment</w:t>
      </w:r>
      <w:commentRangeEnd w:id="1"/>
      <w:r w:rsidR="00266A95">
        <w:rPr>
          <w:rStyle w:val="CommentReference"/>
          <w:sz w:val="24"/>
          <w:szCs w:val="32"/>
        </w:rPr>
        <w:commentReference w:id="1"/>
      </w:r>
      <w:r>
        <w:t xml:space="preserve"> cascade </w:t>
      </w:r>
    </w:p>
    <w:p w14:paraId="1F6BDF30" w14:textId="77777777" w:rsidR="00EA45B2" w:rsidRPr="00EA45B2" w:rsidRDefault="00EA45B2" w:rsidP="00EA45B2">
      <w:r w:rsidRPr="00EA45B2">
        <w:t>Following a syphilis diagnosis, individuals may initiate treatment immediately or experience a delay before receiving treatment. We modeled treatment initiation as a two-component process: a fixed proportion treated immediately (within 30 days of diagnosis) and an exponential rate of delayed treatment initiation among those not immediately treated.</w:t>
      </w:r>
    </w:p>
    <w:p w14:paraId="25E54F77" w14:textId="2B2D370B" w:rsidR="00EA45B2" w:rsidRPr="00EA45B2" w:rsidRDefault="00EA45B2" w:rsidP="00120DEA">
      <w:r w:rsidRPr="00EA45B2">
        <w:t>We parameterized both components using data from Robinson et al. (2016), who reported time to treatment among 882 syphilis cases reported in Maricopa and Pima Counties, Arizona, from 2009–2012</w:t>
      </w:r>
      <w:r w:rsidR="00120DEA">
        <w:rPr>
          <w:rFonts w:cs="Calibri"/>
          <w:szCs w:val="20"/>
        </w:rPr>
        <w:fldChar w:fldCharType="begin"/>
      </w:r>
      <w:r w:rsidR="00120DEA">
        <w:rPr>
          <w:rFonts w:cs="Calibri"/>
          <w:szCs w:val="20"/>
        </w:rPr>
        <w:instrText xml:space="preserve"> ADDIN EN.CITE &lt;EndNote&gt;&lt;Cite&gt;&lt;Author&gt;Robinson&lt;/Author&gt;&lt;Year&gt;2016&lt;/Year&gt;&lt;RecNum&gt;1263&lt;/RecNum&gt;&lt;DisplayText&gt;(17)&lt;/DisplayText&gt;&lt;record&gt;&lt;rec-number&gt;1263&lt;/rec-number&gt;&lt;foreign-keys&gt;&lt;key app="EN" db-id="xrzs0t9aq90fz3epr5zx0p99vxx0ftpxw0s0" timestamp="1740689098"&gt;1263&lt;/key&gt;&lt;/foreign-keys&gt;&lt;ref-type name="Journal Article"&gt;17&lt;/ref-type&gt;&lt;contributors&gt;&lt;authors&gt;&lt;author&gt;Robinson, Candice L&lt;/author&gt;&lt;author&gt;Young, Lauren&lt;/author&gt;&lt;author&gt;Bisgard, Kristine&lt;/author&gt;&lt;author&gt;Mickey, Tom&lt;/author&gt;&lt;author&gt;Taylor, Melanie M&lt;/author&gt;&lt;/authors&gt;&lt;/contributors&gt;&lt;titles&gt;&lt;title&gt;Syphilis time to treatment at publicly funded sexually transmitted disease clinics versus non–sexually transmitted disease clinics—Maricopa and Pima Counties, Arizona, 2009–2012&lt;/title&gt;&lt;secondary-title&gt;Sexually transmitted diseases&lt;/secondary-title&gt;&lt;/titles&gt;&lt;periodical&gt;&lt;full-title&gt;Sexually transmitted diseases&lt;/full-title&gt;&lt;/periodical&gt;&lt;pages&gt;30-33&lt;/pages&gt;&lt;volume&gt;43&lt;/volume&gt;&lt;number&gt;1&lt;/number&gt;&lt;dates&gt;&lt;year&gt;2016&lt;/year&gt;&lt;/dates&gt;&lt;isbn&gt;0148-5717&lt;/isbn&gt;&lt;urls&gt;&lt;/urls&gt;&lt;/record&gt;&lt;/Cite&gt;&lt;/EndNote&gt;</w:instrText>
      </w:r>
      <w:r w:rsidR="00120DEA">
        <w:rPr>
          <w:rFonts w:cs="Calibri"/>
          <w:szCs w:val="20"/>
        </w:rPr>
        <w:fldChar w:fldCharType="separate"/>
      </w:r>
      <w:r w:rsidR="00120DEA">
        <w:rPr>
          <w:rFonts w:cs="Calibri"/>
          <w:noProof/>
          <w:szCs w:val="20"/>
        </w:rPr>
        <w:t>(17)</w:t>
      </w:r>
      <w:r w:rsidR="00120DEA">
        <w:rPr>
          <w:rFonts w:cs="Calibri"/>
          <w:szCs w:val="20"/>
        </w:rPr>
        <w:fldChar w:fldCharType="end"/>
      </w:r>
      <w:r w:rsidRPr="00EA45B2">
        <w:t>. Among all cases, 89% received treatment within 30 days of evaluation and 92% within 90 days</w:t>
      </w:r>
      <w:r w:rsidR="00120DEA">
        <w:t xml:space="preserve"> (</w:t>
      </w:r>
      <w:r w:rsidR="00120DEA" w:rsidRPr="00120DEA">
        <w:rPr>
          <w:b/>
          <w:bCs/>
        </w:rPr>
        <w:t>Table1</w:t>
      </w:r>
      <w:r w:rsidR="00120DEA">
        <w:t>)</w:t>
      </w:r>
      <w:r w:rsidRPr="00EA45B2">
        <w:t xml:space="preserve">. </w:t>
      </w:r>
    </w:p>
    <w:p w14:paraId="1945F35B" w14:textId="242968AC" w:rsidR="00EA45B2" w:rsidRPr="00EA45B2" w:rsidRDefault="00EA45B2" w:rsidP="00720FBE">
      <w:r w:rsidRPr="00EA45B2">
        <w:t>Among those not immediately treated (11%), we modeled the rate of delayed treatment initiation using an exponential waiting time distribution</w:t>
      </w:r>
      <w:r w:rsidR="00720FBE">
        <w:t>. Assuming</w:t>
      </w:r>
      <w:r w:rsidRPr="00EA45B2">
        <w:t xml:space="preserve"> 27% </w:t>
      </w:r>
      <w:r w:rsidR="00720FBE">
        <w:t xml:space="preserve">of this group </w:t>
      </w:r>
      <w:r w:rsidRPr="00EA45B2">
        <w:t>received treatment by 60 days</w:t>
      </w:r>
      <w:r w:rsidR="00720FBE">
        <w:t xml:space="preserve"> results in an </w:t>
      </w:r>
      <w:r w:rsidR="00720FBE" w:rsidRPr="00720FBE">
        <w:t xml:space="preserve">estimated rate of </w:t>
      </w:r>
      <w:r w:rsidRPr="00720FBE">
        <w:t>1.91</w:t>
      </w:r>
      <w:r w:rsidR="00720FBE" w:rsidRPr="00720FBE">
        <w:t xml:space="preserve"> delayed treatment initiation</w:t>
      </w:r>
      <w:r w:rsidRPr="00720FBE">
        <w:t xml:space="preserve"> per year</w:t>
      </w:r>
      <w:r w:rsidR="00720FBE" w:rsidRPr="00720FBE">
        <w:t xml:space="preserve"> (</w:t>
      </w:r>
      <w:r w:rsidR="00720FBE" w:rsidRPr="00720FBE">
        <w:rPr>
          <w:b/>
          <w:bCs/>
        </w:rPr>
        <w:t>Table1</w:t>
      </w:r>
      <w:r w:rsidR="00720FBE" w:rsidRPr="00720FBE">
        <w:t>)</w:t>
      </w:r>
      <w:r w:rsidR="00720FBE">
        <w:t xml:space="preserve">. </w:t>
      </w:r>
      <w:r w:rsidRPr="00EA45B2">
        <w:t xml:space="preserve">Both </w:t>
      </w:r>
      <w:r w:rsidR="00AD552E">
        <w:t>probability of immediate treatment, initiation, and rate of delayed treatment initiation are</w:t>
      </w:r>
      <w:r w:rsidRPr="00EA45B2">
        <w:t xml:space="preserve"> treated as fixed parameters.</w:t>
      </w:r>
    </w:p>
    <w:p w14:paraId="2B95B30A" w14:textId="283A69B9" w:rsidR="00EA45B2" w:rsidRPr="00EA45B2" w:rsidRDefault="00EA45B2" w:rsidP="00243894">
      <w:r w:rsidRPr="00EA45B2">
        <w:t xml:space="preserve">We </w:t>
      </w:r>
      <w:r w:rsidR="00AD552E">
        <w:t xml:space="preserve">also </w:t>
      </w:r>
      <w:r w:rsidRPr="00EA45B2">
        <w:t xml:space="preserve">examined whether treatment timing differed meaningfully by syphilis stage using data from Chen et al. (2009), who reported time to treatment stratified by stage among syphilis cases in Maricopa County, Arizona, 2006–2007 </w:t>
      </w:r>
      <w:r w:rsidR="00A00577">
        <w:fldChar w:fldCharType="begin"/>
      </w:r>
      <w:r w:rsidR="00A00577">
        <w:instrText xml:space="preserve"> ADDIN EN.CITE &lt;EndNote&gt;&lt;Cite&gt;&lt;Author&gt;Chen&lt;/Author&gt;&lt;Year&gt;2009&lt;/Year&gt;&lt;RecNum&gt;2617&lt;/RecNum&gt;&lt;DisplayText&gt;(18)&lt;/DisplayText&gt;&lt;record&gt;&lt;rec-number&gt;2617&lt;/rec-number&gt;&lt;foreign-keys&gt;&lt;key app="EN" db-id="xrzs0t9aq90fz3epr5zx0p99vxx0ftpxw0s0" timestamp="1782750437"&gt;2617&lt;/key&gt;&lt;/foreign-keys&gt;&lt;ref-type name="Journal Article"&gt;17&lt;/ref-type&gt;&lt;contributors&gt;&lt;authors&gt;&lt;author&gt;Chen, Sanny Y&lt;/author&gt;&lt;author&gt;Johnson, Michelle&lt;/author&gt;&lt;author&gt;Sunenshine, Rebecca&lt;/author&gt;&lt;author&gt;England, Bob&lt;/author&gt;&lt;author&gt;Komatsu, Ken&lt;/author&gt;&lt;author&gt;Taylor, Melanie&lt;/author&gt;&lt;/authors&gt;&lt;/contributors&gt;&lt;titles&gt;&lt;title&gt;Missed and delayed syphilis treatment and partner elicitation: a comparison between STD clinic and non-STD clinic patients&lt;/title&gt;&lt;secondary-title&gt;Sexually transmitted diseases&lt;/secondary-title&gt;&lt;/titles&gt;&lt;periodical&gt;&lt;full-title&gt;Sexually transmitted diseases&lt;/full-title&gt;&lt;/periodical&gt;&lt;pages&gt;445-451&lt;/pages&gt;&lt;volume&gt;36&lt;/volume&gt;&lt;number&gt;7&lt;/number&gt;&lt;dates&gt;&lt;year&gt;2009&lt;/year&gt;&lt;/dates&gt;&lt;isbn&gt;0148-5717&lt;/isbn&gt;&lt;urls&gt;&lt;/urls&gt;&lt;/record&gt;&lt;/Cite&gt;&lt;/EndNote&gt;</w:instrText>
      </w:r>
      <w:r w:rsidR="00A00577">
        <w:fldChar w:fldCharType="separate"/>
      </w:r>
      <w:r w:rsidR="00A00577">
        <w:rPr>
          <w:noProof/>
        </w:rPr>
        <w:t>(18)</w:t>
      </w:r>
      <w:r w:rsidR="00A00577">
        <w:fldChar w:fldCharType="end"/>
      </w:r>
      <w:r w:rsidRPr="00EA45B2">
        <w:t xml:space="preserve">. The proportion receiving treatment more than 30 days after diagnosis was 3.5% for primary, 2.2% for secondary, 8.0% for early latent, 1.8% for unknown duration, and 14.5% for late latent syphilis. Given the small absolute differences across stages </w:t>
      </w:r>
      <w:r w:rsidR="00243894">
        <w:t xml:space="preserve">– </w:t>
      </w:r>
      <w:r w:rsidR="00A00577">
        <w:t xml:space="preserve">and </w:t>
      </w:r>
      <w:r w:rsidRPr="00EA45B2">
        <w:t xml:space="preserve">the similarity between early-stage (primary, secondary, early latent combined: ~4%) and late or unknown duration stages once late latent is excluded </w:t>
      </w:r>
      <w:r w:rsidR="00243894">
        <w:t>–</w:t>
      </w:r>
      <w:r w:rsidRPr="00EA45B2">
        <w:t xml:space="preserve"> we concluded that stage-specific treatment timing parameters were not warranted</w:t>
      </w:r>
      <w:r w:rsidR="00243894">
        <w:t>.</w:t>
      </w:r>
    </w:p>
    <w:p w14:paraId="767007C3" w14:textId="1FB315EE" w:rsidR="00DA6AB9" w:rsidRPr="00DA6AB9" w:rsidRDefault="00243894" w:rsidP="00DA6AB9">
      <w:r>
        <w:t xml:space="preserve">Diagnosed cases not receiving </w:t>
      </w:r>
      <w:r w:rsidR="009A3381">
        <w:t xml:space="preserve">immediate </w:t>
      </w:r>
      <w:r>
        <w:t xml:space="preserve">treatment </w:t>
      </w:r>
      <w:r w:rsidR="009A3381">
        <w:t>can</w:t>
      </w:r>
      <w:r w:rsidR="00AD552E" w:rsidRPr="00EA45B2">
        <w:t xml:space="preserve"> remain untreated indefinitely in the model</w:t>
      </w:r>
      <w:r w:rsidR="009A3381">
        <w:t xml:space="preserve"> until death, </w:t>
      </w:r>
      <w:r w:rsidR="00AD552E" w:rsidRPr="00EA45B2">
        <w:t>progress</w:t>
      </w:r>
      <w:r w:rsidR="009A3381">
        <w:t>ion</w:t>
      </w:r>
      <w:r w:rsidR="00AD552E" w:rsidRPr="00EA45B2">
        <w:t xml:space="preserve"> to tertiary syphilis </w:t>
      </w:r>
      <w:r w:rsidR="009A3381">
        <w:t xml:space="preserve">(triggering symptomatic care seeking) </w:t>
      </w:r>
      <w:r w:rsidR="00AD552E" w:rsidRPr="00EA45B2">
        <w:t>or re-enter the transmission pool through reinfection.</w:t>
      </w:r>
    </w:p>
    <w:p w14:paraId="32F9593E" w14:textId="1CABF1B1" w:rsidR="00007464" w:rsidRDefault="00AA44F0" w:rsidP="00007464">
      <w:pPr>
        <w:pStyle w:val="Heading1"/>
      </w:pPr>
      <w:r>
        <w:t>Population demographics</w:t>
      </w:r>
    </w:p>
    <w:p w14:paraId="73EF1BAC" w14:textId="77777777" w:rsidR="000F27CD" w:rsidRPr="000F27CD" w:rsidRDefault="000F27CD" w:rsidP="000F27CD">
      <w:pPr>
        <w:pStyle w:val="ListParagraph"/>
        <w:numPr>
          <w:ilvl w:val="0"/>
          <w:numId w:val="43"/>
        </w:numPr>
        <w:spacing w:before="240" w:after="240"/>
        <w:rPr>
          <w:b/>
          <w:bCs/>
          <w:i/>
          <w:iCs/>
        </w:rPr>
      </w:pPr>
      <w:r w:rsidRPr="000F27CD">
        <w:rPr>
          <w:b/>
          <w:bCs/>
          <w:i/>
          <w:iCs/>
        </w:rPr>
        <w:t xml:space="preserve">Initial Population Composition: </w:t>
      </w:r>
      <w:r w:rsidRPr="000F27CD">
        <w:rPr>
          <w:i/>
          <w:iCs/>
        </w:rPr>
        <w:t>The initial population composition is defined based on demographic characteristics such as age, sex, race/ethnicity, and sexual behavior. This underlying population is informed by U.S. census data, with full demographic composition only available from 2010 onward. As such, we assume a fixed population size and composition up to the year 2010. Capturing earlier periods prior to 2010 helps us reflect the syphilis epidemiology more closely, while after 2010, we allow for the natural evolution of population size and composition.</w:t>
      </w:r>
    </w:p>
    <w:p w14:paraId="37058E7F" w14:textId="77777777" w:rsidR="000F27CD" w:rsidRPr="000F27CD" w:rsidRDefault="000F27CD" w:rsidP="000F27CD">
      <w:pPr>
        <w:pStyle w:val="ListParagraph"/>
        <w:numPr>
          <w:ilvl w:val="0"/>
          <w:numId w:val="43"/>
        </w:numPr>
        <w:spacing w:before="240" w:after="240"/>
        <w:rPr>
          <w:i/>
          <w:iCs/>
        </w:rPr>
      </w:pPr>
      <w:r w:rsidRPr="000F27CD">
        <w:rPr>
          <w:b/>
          <w:bCs/>
          <w:i/>
          <w:iCs/>
        </w:rPr>
        <w:t xml:space="preserve">Births and Deaths: </w:t>
      </w:r>
      <w:r w:rsidRPr="000F27CD">
        <w:rPr>
          <w:i/>
          <w:iCs/>
        </w:rPr>
        <w:t xml:space="preserve">The model captures demographic transitions related to births and deaths, which are key factors in shaping the population's size and structure over time. Births are modeled based on </w:t>
      </w:r>
      <w:r w:rsidRPr="000F27CD">
        <w:rPr>
          <w:i/>
          <w:iCs/>
        </w:rPr>
        <w:lastRenderedPageBreak/>
        <w:t>fertility rates, while deaths occur due to a combination of natural causes and disease progression. Deaths in the infected population, particularly those in the late latent and terminal stages of syphilis, are critical for modeling disease outcomes. These transitions ensure that the model reflects the reality of population turnover, with individuals entering and exiting the population through both natural processes and disease-related mortality.</w:t>
      </w:r>
    </w:p>
    <w:p w14:paraId="6B385F19" w14:textId="77777777" w:rsidR="000F27CD" w:rsidRPr="000F27CD" w:rsidRDefault="000F27CD" w:rsidP="000F27CD">
      <w:pPr>
        <w:pStyle w:val="ListParagraph"/>
        <w:numPr>
          <w:ilvl w:val="0"/>
          <w:numId w:val="43"/>
        </w:numPr>
        <w:spacing w:before="240" w:after="240"/>
        <w:rPr>
          <w:i/>
          <w:iCs/>
        </w:rPr>
      </w:pPr>
      <w:r w:rsidRPr="000F27CD">
        <w:rPr>
          <w:b/>
          <w:bCs/>
          <w:i/>
          <w:iCs/>
        </w:rPr>
        <w:t xml:space="preserve">Differential Aging Rates: </w:t>
      </w:r>
      <w:r w:rsidRPr="000F27CD">
        <w:rPr>
          <w:i/>
          <w:iCs/>
        </w:rPr>
        <w:t>These rates are included in the model to reflect how the population ages at different rates across various demographic groups. Aging is modeled as a gradual process, where individuals transition between age categories over time. The rate of aging may vary by race or health status. This factor is crucial for capturing the evolution of the population's composition over time</w:t>
      </w:r>
    </w:p>
    <w:p w14:paraId="6CA52E6D" w14:textId="77777777" w:rsidR="000F27CD" w:rsidRPr="000F27CD" w:rsidRDefault="000F27CD" w:rsidP="000F27CD">
      <w:pPr>
        <w:pStyle w:val="ListParagraph"/>
        <w:numPr>
          <w:ilvl w:val="0"/>
          <w:numId w:val="43"/>
        </w:numPr>
        <w:spacing w:before="240" w:after="240"/>
        <w:rPr>
          <w:i/>
          <w:iCs/>
        </w:rPr>
      </w:pPr>
      <w:r w:rsidRPr="000F27CD">
        <w:rPr>
          <w:b/>
          <w:bCs/>
          <w:i/>
          <w:iCs/>
        </w:rPr>
        <w:t xml:space="preserve">Sexual Transmission: </w:t>
      </w:r>
      <w:r w:rsidRPr="000F27CD">
        <w:rPr>
          <w:i/>
          <w:iCs/>
        </w:rPr>
        <w:t>One of the primary transitions modeled is sexual transmission, which describes how syphilis and other STIs are transmitted between individuals. This includes transitions between the uninfected and infected states (e.g. from susceptible to undiagnosed or diagnosed.untreated, and vice versa). Sexual transmission is influenced by behavior (e.g., whether individuals engage in heterosexual or MSM sexual activities) and demographic factors, including age and race/ethnicity. This dynamic allows the model to capture how infection spreads through the population over time, particularly within different sexual networks and risk groups.</w:t>
      </w:r>
    </w:p>
    <w:p w14:paraId="6B95FBF0" w14:textId="77777777" w:rsidR="000F27CD" w:rsidRPr="000F27CD" w:rsidRDefault="000F27CD" w:rsidP="000F27CD"/>
    <w:p w14:paraId="0D9F940A" w14:textId="2201DFC9" w:rsidR="00AA44F0" w:rsidRDefault="006337E6" w:rsidP="00625032">
      <w:pPr>
        <w:pStyle w:val="Heading2"/>
      </w:pPr>
      <w:r>
        <w:t>Aging</w:t>
      </w:r>
    </w:p>
    <w:p w14:paraId="48CAD884" w14:textId="77777777" w:rsidR="009D6B98" w:rsidRPr="009D6B98" w:rsidRDefault="009D6B98" w:rsidP="009D6B98"/>
    <w:p w14:paraId="3084C562" w14:textId="7E26F600" w:rsidR="006337E6" w:rsidRDefault="006337E6" w:rsidP="00625032">
      <w:pPr>
        <w:pStyle w:val="Heading2"/>
      </w:pPr>
      <w:r>
        <w:t>Deaths</w:t>
      </w:r>
    </w:p>
    <w:p w14:paraId="1B7FDDE6" w14:textId="77777777" w:rsidR="009D6B98" w:rsidRPr="009D6B98" w:rsidRDefault="009D6B98" w:rsidP="009D6B98"/>
    <w:p w14:paraId="7B2AF729" w14:textId="47370A47" w:rsidR="006337E6" w:rsidRDefault="009D6B98" w:rsidP="00625032">
      <w:pPr>
        <w:pStyle w:val="Heading2"/>
      </w:pPr>
      <w:r>
        <w:t>M</w:t>
      </w:r>
      <w:r w:rsidR="006337E6">
        <w:t>igration</w:t>
      </w:r>
    </w:p>
    <w:p w14:paraId="79107C61" w14:textId="77777777" w:rsidR="009D6B98" w:rsidRPr="009D6B98" w:rsidRDefault="009D6B98" w:rsidP="009D6B98"/>
    <w:p w14:paraId="36234128" w14:textId="2147A8AA" w:rsidR="00D1437B" w:rsidRDefault="0026118A" w:rsidP="00625032">
      <w:pPr>
        <w:pStyle w:val="Heading2"/>
      </w:pPr>
      <w:r>
        <w:t xml:space="preserve">Modeling fertility rates </w:t>
      </w:r>
    </w:p>
    <w:p w14:paraId="1E5BABED" w14:textId="280224A7" w:rsidR="00ED07C2" w:rsidRPr="00ED07C2" w:rsidRDefault="00ED07C2" w:rsidP="00ED07C2">
      <w:r w:rsidRPr="00ED07C2">
        <w:t>Women aged 15</w:t>
      </w:r>
      <w:r>
        <w:t xml:space="preserve"> to </w:t>
      </w:r>
      <w:r w:rsidRPr="00ED07C2">
        <w:t>44 were assumed to be of childbearing age in the model. We modeled the fertility rate</w:t>
      </w:r>
      <w:r>
        <w:t>,</w:t>
      </w:r>
      <w:r w:rsidRPr="00ED07C2">
        <w:t xml:space="preserve"> defined as the number of live births per woman of childbearing age</w:t>
      </w:r>
      <w:r>
        <w:t>,</w:t>
      </w:r>
      <w:r w:rsidRPr="00ED07C2">
        <w:t xml:space="preserve"> using a </w:t>
      </w:r>
      <w:r w:rsidRPr="00ED07C2">
        <w:rPr>
          <w:highlight w:val="yellow"/>
        </w:rPr>
        <w:t>natural cubic spline</w:t>
      </w:r>
      <w:r w:rsidRPr="00ED07C2">
        <w:t xml:space="preserve"> on the log scale with knots at 2010 and 2020. Fertility rates were held fixed prior to 2005, and the spline was projected forward to the model time horizon of 2030. The log link ensures that fertility rates remain non-negative throughout the modeled period.</w:t>
      </w:r>
    </w:p>
    <w:p w14:paraId="39A90770" w14:textId="3134B21B" w:rsidR="00ED07C2" w:rsidRPr="00ED07C2" w:rsidRDefault="00ED07C2" w:rsidP="003A4FA9">
      <w:r w:rsidRPr="00ED07C2">
        <w:t>To initialize the knot values, we obtained MSA-level fertility rate data from the U</w:t>
      </w:r>
      <w:r>
        <w:t>S</w:t>
      </w:r>
      <w:r w:rsidRPr="00ED07C2">
        <w:t xml:space="preserve"> Census, computed as the number of births divided by the number of women of childbearing age </w:t>
      </w:r>
      <w:r w:rsidR="003A4FA9">
        <w:t xml:space="preserve">by age and </w:t>
      </w:r>
      <w:r w:rsidR="003A4FA9" w:rsidRPr="00ED07C2">
        <w:t>race/ethnicity</w:t>
      </w:r>
      <w:r w:rsidR="00D06A56">
        <w:t xml:space="preserve"> </w:t>
      </w:r>
      <w:r w:rsidRPr="00ED07C2">
        <w:t>in each location</w:t>
      </w:r>
      <w:r w:rsidR="00D06A56">
        <w:t xml:space="preserve"> for each year between 2007 and 2023</w:t>
      </w:r>
      <w:r w:rsidRPr="00ED07C2">
        <w:t>. We then fit a Gaussian linear model with fertility rate as the outcome and age group, race/ethnicity, and year as predictors, including all two- and three-way interactions</w:t>
      </w:r>
      <w:r w:rsidR="003A4FA9">
        <w:t xml:space="preserve">: </w:t>
      </w:r>
      <w:r w:rsidRPr="00ED07C2">
        <w:t>fertility rate ~ age × race × year</w:t>
      </w:r>
      <w:r w:rsidR="003A4FA9">
        <w:t xml:space="preserve">. </w:t>
      </w:r>
      <w:r w:rsidRPr="00ED07C2">
        <w:t>Predicted values from this model at 2010 and 2020 were used as the initial knot values for the natural spline.</w:t>
      </w:r>
    </w:p>
    <w:p w14:paraId="248F31E0" w14:textId="77777777" w:rsidR="00ED07C2" w:rsidRPr="00ED07C2" w:rsidRDefault="00ED07C2" w:rsidP="00ED07C2">
      <w:r w:rsidRPr="00ED07C2">
        <w:t>For projection beyond 2020, we applied an after modifier with a prior centered at 0.5, which scales the projected change from 2020 to 2030 as a fraction of the observed change between 2010 and 2020 (i.e., knot</w:t>
      </w:r>
      <w:r w:rsidRPr="00ED07C2">
        <w:rPr>
          <w:rFonts w:ascii="Cambria Math" w:hAnsi="Cambria Math" w:cs="Cambria Math"/>
        </w:rPr>
        <w:t>₂₀₃₀</w:t>
      </w:r>
      <w:r w:rsidRPr="00ED07C2">
        <w:t xml:space="preserve"> = knot</w:t>
      </w:r>
      <w:r w:rsidRPr="00ED07C2">
        <w:rPr>
          <w:rFonts w:ascii="Cambria Math" w:hAnsi="Cambria Math" w:cs="Cambria Math"/>
        </w:rPr>
        <w:t>₂₀₂₀</w:t>
      </w:r>
      <w:r w:rsidRPr="00ED07C2">
        <w:t xml:space="preserve"> + δ × (knot</w:t>
      </w:r>
      <w:r w:rsidRPr="00ED07C2">
        <w:rPr>
          <w:rFonts w:ascii="Cambria Math" w:hAnsi="Cambria Math" w:cs="Cambria Math"/>
        </w:rPr>
        <w:t>₂₀₂₀</w:t>
      </w:r>
      <w:r w:rsidRPr="00ED07C2">
        <w:t xml:space="preserve"> − knot</w:t>
      </w:r>
      <w:r w:rsidRPr="00ED07C2">
        <w:rPr>
          <w:rFonts w:ascii="Cambria Math" w:hAnsi="Cambria Math" w:cs="Cambria Math"/>
        </w:rPr>
        <w:t>₂₀₁₀</w:t>
      </w:r>
      <w:r w:rsidRPr="00ED07C2">
        <w:t>), where δ is the after modifier). This dampens the projected trend to reflect uncertainty in future fertility trajectories. The after modifier was shared across all subgroups and sampled during calibration.</w:t>
      </w:r>
    </w:p>
    <w:p w14:paraId="24791E37" w14:textId="77777777" w:rsidR="00ED07C2" w:rsidRPr="00ED07C2" w:rsidRDefault="00ED07C2" w:rsidP="00ED07C2">
      <w:r w:rsidRPr="00ED07C2">
        <w:t>To capture subgroup-specific departures from the spline, we included multiplicative modifiers by race/ethnicity (Black, Hispanic, other) and by age group (15–19, 20–24, 25–29, 30–34, 35–39, 40–44), yielding 9 parameters applied uniformly to both knot values, shifting the entire fertility trajectory up or down for a given subgroup. These modifiers were sampled during calibration.</w:t>
      </w:r>
    </w:p>
    <w:p w14:paraId="5588F487" w14:textId="25922C72" w:rsidR="00ED07C2" w:rsidRPr="00ED07C2" w:rsidRDefault="00ED07C2" w:rsidP="00ED07C2">
      <w:r w:rsidRPr="00ED07C2">
        <w:t>Th</w:t>
      </w:r>
      <w:r w:rsidR="003A4FA9">
        <w:t>is</w:t>
      </w:r>
      <w:r w:rsidRPr="00ED07C2">
        <w:t xml:space="preserve"> model was calibrated to MSA-level fertility rates from </w:t>
      </w:r>
      <w:r w:rsidRPr="003A4FA9">
        <w:rPr>
          <w:highlight w:val="yellow"/>
        </w:rPr>
        <w:t>vital statistics data</w:t>
      </w:r>
      <w:r w:rsidR="003A4FA9">
        <w:t xml:space="preserve"> </w:t>
      </w:r>
      <w:r w:rsidR="00615269">
        <w:t xml:space="preserve">available between </w:t>
      </w:r>
      <w:r w:rsidR="00D06A56">
        <w:t xml:space="preserve">xx to xx </w:t>
      </w:r>
      <w:r w:rsidR="003A4FA9">
        <w:t>(</w:t>
      </w:r>
      <w:r w:rsidR="003A4FA9" w:rsidRPr="003A4FA9">
        <w:rPr>
          <w:b/>
          <w:bCs/>
        </w:rPr>
        <w:t>Table X</w:t>
      </w:r>
      <w:r w:rsidR="003A4FA9">
        <w:t>)</w:t>
      </w:r>
      <w:r w:rsidRPr="00ED07C2">
        <w:t>.</w:t>
      </w:r>
    </w:p>
    <w:p w14:paraId="4047A422" w14:textId="77777777" w:rsidR="000319FB" w:rsidRDefault="000319FB" w:rsidP="00625032">
      <w:pPr>
        <w:pStyle w:val="Heading2"/>
      </w:pPr>
      <w:r>
        <w:lastRenderedPageBreak/>
        <w:t>Simulating New Births</w:t>
      </w:r>
    </w:p>
    <w:p w14:paraId="28CE8C22" w14:textId="4F92E3C7" w:rsidR="00007464" w:rsidRDefault="000319FB" w:rsidP="00C76616">
      <w:pPr>
        <w:rPr>
          <w:rFonts w:eastAsiaTheme="majorEastAsia" w:cstheme="majorBidi"/>
          <w:b/>
          <w:color w:val="000000" w:themeColor="text1"/>
          <w:sz w:val="24"/>
          <w:szCs w:val="32"/>
        </w:rPr>
      </w:pPr>
      <w:r w:rsidRPr="000319FB">
        <w:t xml:space="preserve">Using the projected fertility rates and the number of women of childbearing age (15–44) in the model at each time step, the model simulates the annual number of new births entering the population. We assumed that 96.9% of all live births are singleton births and 3.1% are multiple births, consistent with US vital statistics for 2023 </w:t>
      </w:r>
      <w:r w:rsidRPr="000319FB">
        <w:fldChar w:fldCharType="begin"/>
      </w:r>
      <w:r w:rsidR="00A00577">
        <w:instrText xml:space="preserve"> ADDIN EN.CITE &lt;EndNote&gt;&lt;Cite&gt;&lt;Author&gt;March of Dimes&lt;/Author&gt;&lt;Year&gt;2023&lt;/Year&gt;&lt;RecNum&gt;1256&lt;/RecNum&gt;&lt;DisplayText&gt;(19)&lt;/DisplayText&gt;&lt;record&gt;&lt;rec-number&gt;1256&lt;/rec-number&gt;&lt;foreign-keys&gt;&lt;key app="EN" db-id="xrzs0t9aq90fz3epr5zx0p99vxx0ftpxw0s0" timestamp="1740684163"&gt;1256&lt;/key&gt;&lt;/foreign-keys&gt;&lt;ref-type name="Web Page"&gt;12&lt;/ref-type&gt;&lt;contributors&gt;&lt;authors&gt;&lt;author&gt;March of Dimes, &lt;/author&gt;&lt;/authors&gt;&lt;/contributors&gt;&lt;titles&gt;&lt;title&gt;SINGLETONS &amp;amp; MULTIPLES&lt;/title&gt;&lt;/titles&gt;&lt;number&gt;02/01/2025&lt;/number&gt;&lt;dates&gt;&lt;year&gt;2023&lt;/year&gt;&lt;/dates&gt;&lt;urls&gt;&lt;related-urls&gt;&lt;url&gt;https://www.marchofdimes.org/peristats/data?reg=99&amp;amp;top=7&amp;amp;stop=72&amp;amp;lev=1&amp;amp;slev=1&amp;amp;obj=1&lt;/url&gt;&lt;/related-urls&gt;&lt;/urls&gt;&lt;/record&gt;&lt;/Cite&gt;&lt;/EndNote&gt;</w:instrText>
      </w:r>
      <w:r w:rsidRPr="000319FB">
        <w:fldChar w:fldCharType="separate"/>
      </w:r>
      <w:r w:rsidR="00A00577">
        <w:rPr>
          <w:noProof/>
        </w:rPr>
        <w:t>(19)</w:t>
      </w:r>
      <w:r w:rsidRPr="000319FB">
        <w:fldChar w:fldCharType="end"/>
      </w:r>
      <w:r w:rsidRPr="000319FB">
        <w:t xml:space="preserve">. Newborns were assigned male or female sex based on a male-to-female sex ratio of 1.048 </w:t>
      </w:r>
      <w:r w:rsidRPr="000319FB">
        <w:rPr>
          <w:rFonts w:cstheme="minorBidi"/>
          <w:color w:val="000000" w:themeColor="text1"/>
          <w:sz w:val="18"/>
          <w:szCs w:val="18"/>
        </w:rPr>
        <w:fldChar w:fldCharType="begin"/>
      </w:r>
      <w:r w:rsidR="00A00577">
        <w:rPr>
          <w:rFonts w:cstheme="minorBidi"/>
          <w:color w:val="000000" w:themeColor="text1"/>
          <w:sz w:val="18"/>
          <w:szCs w:val="18"/>
        </w:rPr>
        <w:instrText xml:space="preserve"> ADDIN EN.CITE &lt;EndNote&gt;&lt;Cite&gt;&lt;Author&gt;Mathews&lt;/Author&gt;&lt;Year&gt;2005&lt;/Year&gt;&lt;RecNum&gt;1277&lt;/RecNum&gt;&lt;DisplayText&gt;(20)&lt;/DisplayText&gt;&lt;record&gt;&lt;rec-number&gt;1277&lt;/rec-number&gt;&lt;foreign-keys&gt;&lt;key app="EN" db-id="xrzs0t9aq90fz3epr5zx0p99vxx0ftpxw0s0" timestamp="1741359863"&gt;1277&lt;/key&gt;&lt;/foreign-keys&gt;&lt;ref-type name="Journal Article"&gt;17&lt;/ref-type&gt;&lt;contributors&gt;&lt;authors&gt;&lt;author&gt;Mathews, TJ&lt;/author&gt;&lt;author&gt;Hamilton, Brady E&lt;/author&gt;&lt;/authors&gt;&lt;/contributors&gt;&lt;titles&gt;&lt;title&gt;Trend analysis of the sex ratio at birth in the United States&lt;/title&gt;&lt;secondary-title&gt;National vital statistics reports&lt;/secondary-title&gt;&lt;/titles&gt;&lt;periodical&gt;&lt;full-title&gt;National vital statistics reports&lt;/full-title&gt;&lt;/periodical&gt;&lt;pages&gt;1-17&lt;/pages&gt;&lt;volume&gt;53&lt;/volume&gt;&lt;number&gt;20&lt;/number&gt;&lt;dates&gt;&lt;year&gt;2005&lt;/year&gt;&lt;/dates&gt;&lt;urls&gt;&lt;/urls&gt;&lt;/record&gt;&lt;/Cite&gt;&lt;/EndNote&gt;</w:instrText>
      </w:r>
      <w:r w:rsidRPr="000319FB">
        <w:rPr>
          <w:rFonts w:cstheme="minorBidi"/>
          <w:color w:val="000000" w:themeColor="text1"/>
          <w:sz w:val="18"/>
          <w:szCs w:val="18"/>
        </w:rPr>
        <w:fldChar w:fldCharType="separate"/>
      </w:r>
      <w:r w:rsidR="00A00577">
        <w:rPr>
          <w:rFonts w:cstheme="minorBidi"/>
          <w:noProof/>
          <w:color w:val="000000" w:themeColor="text1"/>
          <w:sz w:val="18"/>
          <w:szCs w:val="18"/>
        </w:rPr>
        <w:t>(20)</w:t>
      </w:r>
      <w:r w:rsidRPr="000319FB">
        <w:rPr>
          <w:rFonts w:cstheme="minorBidi"/>
          <w:color w:val="000000" w:themeColor="text1"/>
          <w:sz w:val="18"/>
          <w:szCs w:val="18"/>
        </w:rPr>
        <w:fldChar w:fldCharType="end"/>
      </w:r>
      <w:r w:rsidRPr="000319FB">
        <w:rPr>
          <w:rFonts w:cstheme="minorBidi"/>
          <w:color w:val="000000" w:themeColor="text1"/>
          <w:sz w:val="18"/>
          <w:szCs w:val="18"/>
        </w:rPr>
        <w:t xml:space="preserve">. </w:t>
      </w:r>
      <w:r>
        <w:t>N</w:t>
      </w:r>
      <w:r w:rsidRPr="000319FB">
        <w:t>ewborns were assigned the race/ethnicity of their mother, and male newborns were allocated to MSM or heterosexual sexual risk groups in the same proportions as the existing male population in the model.</w:t>
      </w:r>
      <w:r w:rsidR="00C76616">
        <w:rPr>
          <w:rFonts w:eastAsiaTheme="majorEastAsia" w:cstheme="majorBidi"/>
          <w:b/>
          <w:color w:val="000000" w:themeColor="text1"/>
          <w:sz w:val="24"/>
          <w:szCs w:val="32"/>
        </w:rPr>
        <w:t xml:space="preserve"> </w:t>
      </w:r>
    </w:p>
    <w:p w14:paraId="0BDE440C" w14:textId="77777777" w:rsidR="004769F4" w:rsidRDefault="004769F4" w:rsidP="004769F4">
      <w:pPr>
        <w:rPr>
          <w:rFonts w:eastAsiaTheme="majorEastAsia"/>
        </w:rPr>
      </w:pPr>
    </w:p>
    <w:p w14:paraId="5229601A" w14:textId="77777777" w:rsidR="00D34DB3" w:rsidRPr="004769F4" w:rsidRDefault="00D34DB3" w:rsidP="004769F4">
      <w:pPr>
        <w:rPr>
          <w:rFonts w:eastAsiaTheme="majorEastAsia"/>
        </w:rPr>
      </w:pPr>
    </w:p>
    <w:p w14:paraId="24A04164" w14:textId="6450997E" w:rsidR="00007464" w:rsidRDefault="00B379CA" w:rsidP="00625032">
      <w:pPr>
        <w:pStyle w:val="Heading2"/>
      </w:pPr>
      <w:r>
        <w:t xml:space="preserve">Transmission dynamics </w:t>
      </w:r>
    </w:p>
    <w:p w14:paraId="5C1F5202" w14:textId="7440A14A" w:rsidR="009D6B98" w:rsidRDefault="009D6B98" w:rsidP="009D6B98">
      <w:r>
        <w:t>4 Transmission components</w:t>
      </w:r>
    </w:p>
    <w:p w14:paraId="2054DE82" w14:textId="3F5BC139" w:rsidR="009D6B98" w:rsidRPr="009D6B98" w:rsidRDefault="009D6B98" w:rsidP="009D6B98">
      <w:r>
        <w:t>Oe.female.msm.partnerships</w:t>
      </w:r>
    </w:p>
    <w:p w14:paraId="127698E9" w14:textId="77777777" w:rsidR="00B379CA" w:rsidRDefault="00B379CA" w:rsidP="00B379CA"/>
    <w:p w14:paraId="3BB35318" w14:textId="3C86339B" w:rsidR="009D6B98" w:rsidRDefault="00B379CA" w:rsidP="009D6B98">
      <w:pPr>
        <w:pStyle w:val="Heading1"/>
      </w:pPr>
      <w:r>
        <w:t>Calibration targets</w:t>
      </w:r>
    </w:p>
    <w:tbl>
      <w:tblPr>
        <w:tblStyle w:val="TableGrid"/>
        <w:tblW w:w="0" w:type="auto"/>
        <w:tblLook w:val="04A0" w:firstRow="1" w:lastRow="0" w:firstColumn="1" w:lastColumn="0" w:noHBand="0" w:noVBand="1"/>
      </w:tblPr>
      <w:tblGrid>
        <w:gridCol w:w="2768"/>
        <w:gridCol w:w="2409"/>
        <w:gridCol w:w="2841"/>
        <w:gridCol w:w="2772"/>
      </w:tblGrid>
      <w:tr w:rsidR="00BD39CA" w14:paraId="3832930B" w14:textId="77777777" w:rsidTr="00815A8F">
        <w:tc>
          <w:tcPr>
            <w:tcW w:w="2768" w:type="dxa"/>
          </w:tcPr>
          <w:p w14:paraId="63DEB4C2" w14:textId="77777777" w:rsidR="00BD39CA" w:rsidRDefault="00BD39CA" w:rsidP="00DC7CEE">
            <w:r>
              <w:t>Target</w:t>
            </w:r>
          </w:p>
        </w:tc>
        <w:tc>
          <w:tcPr>
            <w:tcW w:w="2409" w:type="dxa"/>
          </w:tcPr>
          <w:p w14:paraId="71C9557C" w14:textId="77777777" w:rsidR="00BD39CA" w:rsidRDefault="00BD39CA" w:rsidP="00DC7CEE">
            <w:r>
              <w:t xml:space="preserve">Years </w:t>
            </w:r>
          </w:p>
        </w:tc>
        <w:tc>
          <w:tcPr>
            <w:tcW w:w="2841" w:type="dxa"/>
          </w:tcPr>
          <w:p w14:paraId="53E15C2C" w14:textId="77777777" w:rsidR="00BD39CA" w:rsidRDefault="00BD39CA" w:rsidP="00DC7CEE">
            <w:r>
              <w:t>Stratifications/Stage</w:t>
            </w:r>
          </w:p>
        </w:tc>
        <w:tc>
          <w:tcPr>
            <w:tcW w:w="2772" w:type="dxa"/>
          </w:tcPr>
          <w:p w14:paraId="0799F402" w14:textId="77777777" w:rsidR="00BD39CA" w:rsidRDefault="00BD39CA" w:rsidP="00DC7CEE">
            <w:r>
              <w:t>Data Sources</w:t>
            </w:r>
          </w:p>
        </w:tc>
      </w:tr>
      <w:tr w:rsidR="00BD39CA" w14:paraId="54DFF9B5" w14:textId="77777777" w:rsidTr="00815A8F">
        <w:tc>
          <w:tcPr>
            <w:tcW w:w="2768" w:type="dxa"/>
          </w:tcPr>
          <w:p w14:paraId="5FC0E226" w14:textId="77777777" w:rsidR="00BD39CA" w:rsidRDefault="00BD39CA" w:rsidP="00DC7CEE">
            <w:r>
              <w:t>Primary &amp; Secondary syphilis diagnosis count</w:t>
            </w:r>
          </w:p>
        </w:tc>
        <w:tc>
          <w:tcPr>
            <w:tcW w:w="2409" w:type="dxa"/>
          </w:tcPr>
          <w:p w14:paraId="05B0C352" w14:textId="77777777" w:rsidR="00BD39CA" w:rsidRDefault="00BD39CA" w:rsidP="00DC7CEE">
            <w:r>
              <w:t>2010 to 2022</w:t>
            </w:r>
          </w:p>
        </w:tc>
        <w:tc>
          <w:tcPr>
            <w:tcW w:w="2841" w:type="dxa"/>
          </w:tcPr>
          <w:p w14:paraId="6941C966" w14:textId="77777777" w:rsidR="00BD39CA" w:rsidRDefault="00BD39CA" w:rsidP="00DC7CEE">
            <w:r>
              <w:t>Total (stage1)</w:t>
            </w:r>
          </w:p>
          <w:p w14:paraId="1BD83921" w14:textId="77777777" w:rsidR="00BD39CA" w:rsidRDefault="00BD39CA" w:rsidP="00DC7CEE">
            <w:r>
              <w:t>Total and one-way by sex, race, and age (stage2)</w:t>
            </w:r>
          </w:p>
          <w:p w14:paraId="5114701E" w14:textId="77777777" w:rsidR="00BD39CA" w:rsidRDefault="00BD39CA" w:rsidP="00DC7CEE">
            <w:r>
              <w:t xml:space="preserve">Total, one-way and two-way by sex, race, and age (stage3) </w:t>
            </w:r>
          </w:p>
        </w:tc>
        <w:tc>
          <w:tcPr>
            <w:tcW w:w="2772" w:type="dxa"/>
          </w:tcPr>
          <w:p w14:paraId="181E1388" w14:textId="77777777" w:rsidR="00BD39CA" w:rsidRDefault="00BD39CA" w:rsidP="00DC7CEE"/>
        </w:tc>
      </w:tr>
      <w:tr w:rsidR="00BD39CA" w14:paraId="4FB888F2" w14:textId="77777777" w:rsidTr="00815A8F">
        <w:tc>
          <w:tcPr>
            <w:tcW w:w="2768" w:type="dxa"/>
          </w:tcPr>
          <w:p w14:paraId="2F7B8286" w14:textId="77777777" w:rsidR="00BD39CA" w:rsidRDefault="00BD39CA" w:rsidP="00DC7CEE">
            <w:r>
              <w:t>Population</w:t>
            </w:r>
          </w:p>
        </w:tc>
        <w:tc>
          <w:tcPr>
            <w:tcW w:w="2409" w:type="dxa"/>
          </w:tcPr>
          <w:p w14:paraId="304B2C7E" w14:textId="77777777" w:rsidR="00BD39CA" w:rsidRDefault="00BD39CA" w:rsidP="00DC7CEE">
            <w:r>
              <w:t>2010 to 2023</w:t>
            </w:r>
          </w:p>
        </w:tc>
        <w:tc>
          <w:tcPr>
            <w:tcW w:w="2841" w:type="dxa"/>
          </w:tcPr>
          <w:p w14:paraId="4EF6A122" w14:textId="77777777" w:rsidR="00BD39CA" w:rsidRDefault="00BD39CA" w:rsidP="00DC7CEE">
            <w:r>
              <w:t>Total, one-way and two-way by age, race, and sex (stages 1, 3, and 4)</w:t>
            </w:r>
          </w:p>
        </w:tc>
        <w:tc>
          <w:tcPr>
            <w:tcW w:w="2772" w:type="dxa"/>
          </w:tcPr>
          <w:p w14:paraId="66907A81" w14:textId="77777777" w:rsidR="00BD39CA" w:rsidRDefault="00BD39CA" w:rsidP="00DC7CEE">
            <w:r>
              <w:t>Census</w:t>
            </w:r>
          </w:p>
        </w:tc>
      </w:tr>
      <w:tr w:rsidR="00BD39CA" w14:paraId="623E7564" w14:textId="77777777" w:rsidTr="00815A8F">
        <w:tc>
          <w:tcPr>
            <w:tcW w:w="2768" w:type="dxa"/>
          </w:tcPr>
          <w:p w14:paraId="756A7CD5" w14:textId="77777777" w:rsidR="00BD39CA" w:rsidRDefault="00BD39CA" w:rsidP="00DC7CEE">
            <w:r>
              <w:t>Deaths</w:t>
            </w:r>
          </w:p>
        </w:tc>
        <w:tc>
          <w:tcPr>
            <w:tcW w:w="2409" w:type="dxa"/>
          </w:tcPr>
          <w:p w14:paraId="1143FE2E" w14:textId="77777777" w:rsidR="00BD39CA" w:rsidRDefault="00BD39CA" w:rsidP="00DC7CEE">
            <w:r>
              <w:t>2010 to 2023</w:t>
            </w:r>
          </w:p>
        </w:tc>
        <w:tc>
          <w:tcPr>
            <w:tcW w:w="2841" w:type="dxa"/>
          </w:tcPr>
          <w:p w14:paraId="787AD57E" w14:textId="77777777" w:rsidR="00BD39CA" w:rsidRDefault="00BD39CA" w:rsidP="00DC7CEE">
            <w:r>
              <w:t>Total, one-way and two-way by age, race, and sex (stages 1, 3, and 4)</w:t>
            </w:r>
          </w:p>
        </w:tc>
        <w:tc>
          <w:tcPr>
            <w:tcW w:w="2772" w:type="dxa"/>
          </w:tcPr>
          <w:p w14:paraId="1B5D381D" w14:textId="77777777" w:rsidR="00BD39CA" w:rsidRDefault="00BD39CA" w:rsidP="00DC7CEE">
            <w:r>
              <w:t>Census and CDC Wonder</w:t>
            </w:r>
          </w:p>
        </w:tc>
      </w:tr>
      <w:tr w:rsidR="00BD39CA" w14:paraId="7C476213" w14:textId="77777777" w:rsidTr="00815A8F">
        <w:tc>
          <w:tcPr>
            <w:tcW w:w="2768" w:type="dxa"/>
          </w:tcPr>
          <w:p w14:paraId="112A7AC3" w14:textId="77777777" w:rsidR="00BD39CA" w:rsidRDefault="00BD39CA" w:rsidP="00DC7CEE">
            <w:r>
              <w:t>Fertility Rate</w:t>
            </w:r>
          </w:p>
        </w:tc>
        <w:tc>
          <w:tcPr>
            <w:tcW w:w="2409" w:type="dxa"/>
          </w:tcPr>
          <w:p w14:paraId="25B440DD" w14:textId="77777777" w:rsidR="00BD39CA" w:rsidRDefault="00BD39CA" w:rsidP="00DC7CEE">
            <w:r>
              <w:t>2007 to 2023</w:t>
            </w:r>
          </w:p>
        </w:tc>
        <w:tc>
          <w:tcPr>
            <w:tcW w:w="2841" w:type="dxa"/>
          </w:tcPr>
          <w:p w14:paraId="0F2936B4" w14:textId="77777777" w:rsidR="00BD39CA" w:rsidRDefault="00BD39CA" w:rsidP="00DC7CEE">
            <w:r>
              <w:t>Two-way by age and race (stages 1, 3, and 4)</w:t>
            </w:r>
          </w:p>
        </w:tc>
        <w:tc>
          <w:tcPr>
            <w:tcW w:w="2772" w:type="dxa"/>
          </w:tcPr>
          <w:p w14:paraId="3B2457C1" w14:textId="77777777" w:rsidR="00BD39CA" w:rsidRDefault="00BD39CA" w:rsidP="00DC7CEE">
            <w:r>
              <w:t>CDC Wonder</w:t>
            </w:r>
          </w:p>
        </w:tc>
      </w:tr>
      <w:tr w:rsidR="00BD39CA" w14:paraId="592DD9C2" w14:textId="77777777" w:rsidTr="00815A8F">
        <w:tc>
          <w:tcPr>
            <w:tcW w:w="2768" w:type="dxa"/>
          </w:tcPr>
          <w:p w14:paraId="598A605F" w14:textId="77777777" w:rsidR="00BD39CA" w:rsidRDefault="00BD39CA" w:rsidP="00DC7CEE">
            <w:r>
              <w:t>Immigration and Emigration</w:t>
            </w:r>
          </w:p>
        </w:tc>
        <w:tc>
          <w:tcPr>
            <w:tcW w:w="2409" w:type="dxa"/>
          </w:tcPr>
          <w:p w14:paraId="2CA004E3" w14:textId="77777777" w:rsidR="00BD39CA" w:rsidRDefault="00BD39CA" w:rsidP="00DC7CEE">
            <w:r>
              <w:t>2011 to 2020 (total)</w:t>
            </w:r>
          </w:p>
          <w:p w14:paraId="11E85348" w14:textId="77777777" w:rsidR="00BD39CA" w:rsidRDefault="00BD39CA" w:rsidP="00DC7CEE">
            <w:r>
              <w:t>2011 to 2015 (one-way)</w:t>
            </w:r>
          </w:p>
        </w:tc>
        <w:tc>
          <w:tcPr>
            <w:tcW w:w="2841" w:type="dxa"/>
          </w:tcPr>
          <w:p w14:paraId="18CFAA54" w14:textId="77777777" w:rsidR="00BD39CA" w:rsidRDefault="00BD39CA" w:rsidP="00DC7CEE">
            <w:r>
              <w:t>Total and one-way by age, race, and sex (stages 1, 3, and 4)</w:t>
            </w:r>
          </w:p>
        </w:tc>
        <w:tc>
          <w:tcPr>
            <w:tcW w:w="2772" w:type="dxa"/>
          </w:tcPr>
          <w:p w14:paraId="71C622B1" w14:textId="77777777" w:rsidR="00BD39CA" w:rsidRDefault="00BD39CA" w:rsidP="00DC7CEE">
            <w:r>
              <w:t>Census</w:t>
            </w:r>
          </w:p>
        </w:tc>
      </w:tr>
      <w:tr w:rsidR="00BD39CA" w14:paraId="575F6C02" w14:textId="77777777" w:rsidTr="00815A8F">
        <w:tc>
          <w:tcPr>
            <w:tcW w:w="2768" w:type="dxa"/>
          </w:tcPr>
          <w:p w14:paraId="4F07D240" w14:textId="77777777" w:rsidR="00BD39CA" w:rsidRDefault="00BD39CA" w:rsidP="00DC7CEE">
            <w:r>
              <w:t>Total syphilis diagnosis count</w:t>
            </w:r>
          </w:p>
        </w:tc>
        <w:tc>
          <w:tcPr>
            <w:tcW w:w="2409" w:type="dxa"/>
          </w:tcPr>
          <w:p w14:paraId="7A19B4DE" w14:textId="77777777" w:rsidR="00BD39CA" w:rsidRDefault="00BD39CA" w:rsidP="00DC7CEE">
            <w:r>
              <w:t>1993 to 2021 (total)</w:t>
            </w:r>
          </w:p>
          <w:p w14:paraId="473C9DC3" w14:textId="77777777" w:rsidR="00BD39CA" w:rsidRDefault="00BD39CA" w:rsidP="00DC7CEE">
            <w:r>
              <w:t>2019 to 2021 (one-way and two-way)</w:t>
            </w:r>
          </w:p>
        </w:tc>
        <w:tc>
          <w:tcPr>
            <w:tcW w:w="2841" w:type="dxa"/>
          </w:tcPr>
          <w:p w14:paraId="7B7D1814" w14:textId="77777777" w:rsidR="00BD39CA" w:rsidRDefault="00BD39CA" w:rsidP="00DC7CEE">
            <w:r>
              <w:t>Total and one-way (stage 2) by age, race, and sex</w:t>
            </w:r>
          </w:p>
          <w:p w14:paraId="0911BA18" w14:textId="77777777" w:rsidR="00BD39CA" w:rsidRPr="00A25696" w:rsidRDefault="00BD39CA" w:rsidP="00DC7CEE">
            <w:r>
              <w:t>Total, one-way, and two-way by age, race, and sex (stages 3 and 4)</w:t>
            </w:r>
          </w:p>
        </w:tc>
        <w:tc>
          <w:tcPr>
            <w:tcW w:w="2772" w:type="dxa"/>
          </w:tcPr>
          <w:p w14:paraId="081CE3E5" w14:textId="77777777" w:rsidR="00BD39CA" w:rsidRDefault="00BD39CA" w:rsidP="00DC7CEE">
            <w:r>
              <w:t>CDC (cdc.aggregated.county?), CDC STI Surveillance Reports, local health department data</w:t>
            </w:r>
          </w:p>
        </w:tc>
      </w:tr>
      <w:tr w:rsidR="00BD39CA" w14:paraId="40C2B129" w14:textId="77777777" w:rsidTr="00815A8F">
        <w:tc>
          <w:tcPr>
            <w:tcW w:w="2768" w:type="dxa"/>
          </w:tcPr>
          <w:p w14:paraId="02BF5BD3" w14:textId="77777777" w:rsidR="00BD39CA" w:rsidRDefault="00BD39CA" w:rsidP="00DC7CEE">
            <w:r>
              <w:t>Historical total syphilis diagnosis count</w:t>
            </w:r>
          </w:p>
        </w:tc>
        <w:tc>
          <w:tcPr>
            <w:tcW w:w="2409" w:type="dxa"/>
          </w:tcPr>
          <w:p w14:paraId="023271FE" w14:textId="77777777" w:rsidR="00BD39CA" w:rsidRDefault="00BD39CA" w:rsidP="00DC7CEE">
            <w:r>
              <w:t>1970 to 1989</w:t>
            </w:r>
          </w:p>
        </w:tc>
        <w:tc>
          <w:tcPr>
            <w:tcW w:w="2841" w:type="dxa"/>
          </w:tcPr>
          <w:p w14:paraId="644BC390" w14:textId="77777777" w:rsidR="00BD39CA" w:rsidRDefault="00BD39CA" w:rsidP="00DC7CEE">
            <w:r>
              <w:t>Total (stages 2, 3, and 4)</w:t>
            </w:r>
          </w:p>
        </w:tc>
        <w:tc>
          <w:tcPr>
            <w:tcW w:w="2772" w:type="dxa"/>
          </w:tcPr>
          <w:p w14:paraId="499A552E" w14:textId="77777777" w:rsidR="00BD39CA" w:rsidRDefault="00BD39CA" w:rsidP="00DC7CEE">
            <w:r>
              <w:t>CDC?</w:t>
            </w:r>
          </w:p>
        </w:tc>
      </w:tr>
      <w:tr w:rsidR="00BD39CA" w14:paraId="475C0697" w14:textId="77777777" w:rsidTr="00815A8F">
        <w:tc>
          <w:tcPr>
            <w:tcW w:w="2768" w:type="dxa"/>
          </w:tcPr>
          <w:p w14:paraId="08133782" w14:textId="77777777" w:rsidR="00BD39CA" w:rsidRDefault="00BD39CA" w:rsidP="00DC7CEE">
            <w:r>
              <w:t>Primary &amp; Secondary syphilis diagnosis count</w:t>
            </w:r>
          </w:p>
        </w:tc>
        <w:tc>
          <w:tcPr>
            <w:tcW w:w="2409" w:type="dxa"/>
          </w:tcPr>
          <w:p w14:paraId="64451FE3" w14:textId="77777777" w:rsidR="00BD39CA" w:rsidRDefault="00BD39CA" w:rsidP="00DC7CEE">
            <w:r>
              <w:t>1993 to 2021 (total)</w:t>
            </w:r>
          </w:p>
          <w:p w14:paraId="4AE52101" w14:textId="77777777" w:rsidR="00BD39CA" w:rsidRDefault="00BD39CA" w:rsidP="00DC7CEE">
            <w:r>
              <w:lastRenderedPageBreak/>
              <w:t>2019 to 2021 (one-way and two-way)</w:t>
            </w:r>
          </w:p>
        </w:tc>
        <w:tc>
          <w:tcPr>
            <w:tcW w:w="2841" w:type="dxa"/>
          </w:tcPr>
          <w:p w14:paraId="532FFF86" w14:textId="77777777" w:rsidR="00BD39CA" w:rsidRDefault="00BD39CA" w:rsidP="00DC7CEE">
            <w:r>
              <w:lastRenderedPageBreak/>
              <w:t>Total (stage 1)</w:t>
            </w:r>
          </w:p>
          <w:p w14:paraId="736AA18D" w14:textId="77777777" w:rsidR="00BD39CA" w:rsidRDefault="00BD39CA" w:rsidP="00DC7CEE">
            <w:r>
              <w:lastRenderedPageBreak/>
              <w:t>Total and one-way (stage 2) by age, race, and sex</w:t>
            </w:r>
          </w:p>
          <w:p w14:paraId="5CC49150" w14:textId="77777777" w:rsidR="00BD39CA" w:rsidRDefault="00BD39CA" w:rsidP="00DC7CEE">
            <w:r>
              <w:t>Total, one-way, and two-way by age, race, and sex (stages 3 and 4)</w:t>
            </w:r>
          </w:p>
        </w:tc>
        <w:tc>
          <w:tcPr>
            <w:tcW w:w="2772" w:type="dxa"/>
          </w:tcPr>
          <w:p w14:paraId="7C0783E6" w14:textId="77777777" w:rsidR="00BD39CA" w:rsidRDefault="00BD39CA" w:rsidP="00DC7CEE">
            <w:r>
              <w:lastRenderedPageBreak/>
              <w:t xml:space="preserve">CDC (cdc.aggregated.county?), </w:t>
            </w:r>
            <w:r>
              <w:lastRenderedPageBreak/>
              <w:t>CDC STI Surveillance Reports, local health department data</w:t>
            </w:r>
          </w:p>
        </w:tc>
      </w:tr>
      <w:tr w:rsidR="00BD39CA" w14:paraId="0BFF488C" w14:textId="77777777" w:rsidTr="00815A8F">
        <w:tc>
          <w:tcPr>
            <w:tcW w:w="2768" w:type="dxa"/>
          </w:tcPr>
          <w:p w14:paraId="3075A865" w14:textId="77777777" w:rsidR="00BD39CA" w:rsidRDefault="00BD39CA" w:rsidP="00DC7CEE">
            <w:r>
              <w:lastRenderedPageBreak/>
              <w:t>Proportion of male primary &amp; secondary syphilis diagnoses that are among MSM</w:t>
            </w:r>
          </w:p>
        </w:tc>
        <w:tc>
          <w:tcPr>
            <w:tcW w:w="2409" w:type="dxa"/>
          </w:tcPr>
          <w:p w14:paraId="2CCA06DB" w14:textId="77777777" w:rsidR="00BD39CA" w:rsidRDefault="00BD39CA" w:rsidP="00DC7CEE">
            <w:r>
              <w:t>2016 to 2023 for most cities, with additional earlier years of data for Atlanta and New York City</w:t>
            </w:r>
          </w:p>
        </w:tc>
        <w:tc>
          <w:tcPr>
            <w:tcW w:w="2841" w:type="dxa"/>
          </w:tcPr>
          <w:p w14:paraId="5D75C311" w14:textId="77777777" w:rsidR="00BD39CA" w:rsidRDefault="00BD39CA" w:rsidP="00DC7CEE">
            <w:r>
              <w:t>Stages 2, 3, and 4</w:t>
            </w:r>
          </w:p>
        </w:tc>
        <w:tc>
          <w:tcPr>
            <w:tcW w:w="2772" w:type="dxa"/>
          </w:tcPr>
          <w:p w14:paraId="09C95645" w14:textId="77777777" w:rsidR="00BD39CA" w:rsidRDefault="00BD39CA" w:rsidP="00DC7CEE">
            <w:r>
              <w:t>CDC surveillance reports (all cities) and the Morbidity and Mortality Weekly Report (Atlanta and New York City)</w:t>
            </w:r>
          </w:p>
        </w:tc>
      </w:tr>
      <w:tr w:rsidR="00BD39CA" w14:paraId="25C41150" w14:textId="77777777" w:rsidTr="00815A8F">
        <w:tc>
          <w:tcPr>
            <w:tcW w:w="2768" w:type="dxa"/>
          </w:tcPr>
          <w:p w14:paraId="5B8ECE2B" w14:textId="77777777" w:rsidR="00BD39CA" w:rsidRDefault="00BD39CA" w:rsidP="00DC7CEE">
            <w:r>
              <w:t>Early Latent syphilis diagnosis count</w:t>
            </w:r>
          </w:p>
        </w:tc>
        <w:tc>
          <w:tcPr>
            <w:tcW w:w="2409" w:type="dxa"/>
          </w:tcPr>
          <w:p w14:paraId="10882104" w14:textId="77777777" w:rsidR="00BD39CA" w:rsidRDefault="00BD39CA" w:rsidP="00DC7CEE">
            <w:r>
              <w:t>1993 to 2021 (total)</w:t>
            </w:r>
          </w:p>
          <w:p w14:paraId="51673E50" w14:textId="77777777" w:rsidR="00BD39CA" w:rsidRDefault="00BD39CA" w:rsidP="00DC7CEE">
            <w:r>
              <w:t>2019 to 2021 (one-way and two-way)</w:t>
            </w:r>
          </w:p>
        </w:tc>
        <w:tc>
          <w:tcPr>
            <w:tcW w:w="2841" w:type="dxa"/>
          </w:tcPr>
          <w:p w14:paraId="00CE752F" w14:textId="77777777" w:rsidR="00BD39CA" w:rsidRDefault="00BD39CA" w:rsidP="00DC7CEE">
            <w:r>
              <w:t>Total and one-way (stage 2) by age, race, and sex</w:t>
            </w:r>
          </w:p>
          <w:p w14:paraId="0B7231B1" w14:textId="77777777" w:rsidR="00BD39CA" w:rsidRDefault="00BD39CA" w:rsidP="00DC7CEE">
            <w:r>
              <w:t>Total, one-way, and two-way by age, race, and sex (stages 3 and 4)</w:t>
            </w:r>
          </w:p>
        </w:tc>
        <w:tc>
          <w:tcPr>
            <w:tcW w:w="2772" w:type="dxa"/>
          </w:tcPr>
          <w:p w14:paraId="36E90DD2" w14:textId="77777777" w:rsidR="00BD39CA" w:rsidRDefault="00BD39CA" w:rsidP="00DC7CEE"/>
        </w:tc>
      </w:tr>
      <w:tr w:rsidR="00BD39CA" w14:paraId="0597F7B7" w14:textId="77777777" w:rsidTr="00815A8F">
        <w:tc>
          <w:tcPr>
            <w:tcW w:w="2768" w:type="dxa"/>
          </w:tcPr>
          <w:p w14:paraId="6DD8E7F3" w14:textId="77777777" w:rsidR="00BD39CA" w:rsidRDefault="00BD39CA" w:rsidP="00DC7CEE">
            <w:r>
              <w:t>Late/Unknown Duration syphilis diagnosis count</w:t>
            </w:r>
          </w:p>
        </w:tc>
        <w:tc>
          <w:tcPr>
            <w:tcW w:w="2409" w:type="dxa"/>
          </w:tcPr>
          <w:p w14:paraId="354756D4" w14:textId="77777777" w:rsidR="00BD39CA" w:rsidRDefault="00BD39CA" w:rsidP="00DC7CEE">
            <w:r>
              <w:t>1993 to 2021 (total)</w:t>
            </w:r>
          </w:p>
          <w:p w14:paraId="0CDADF1B" w14:textId="77777777" w:rsidR="00BD39CA" w:rsidRDefault="00BD39CA" w:rsidP="00DC7CEE">
            <w:r>
              <w:t>2019 to 2021 (one-way and two-way)</w:t>
            </w:r>
          </w:p>
        </w:tc>
        <w:tc>
          <w:tcPr>
            <w:tcW w:w="2841" w:type="dxa"/>
          </w:tcPr>
          <w:p w14:paraId="43ADCB5A" w14:textId="77777777" w:rsidR="00BD39CA" w:rsidRDefault="00BD39CA" w:rsidP="00DC7CEE">
            <w:r>
              <w:t>Total and one-way (stage 2) by age, race, and sex</w:t>
            </w:r>
          </w:p>
          <w:p w14:paraId="7D5F0C8A" w14:textId="77777777" w:rsidR="00BD39CA" w:rsidRDefault="00BD39CA" w:rsidP="00DC7CEE">
            <w:r>
              <w:t>Total, one-way, and two-way by age, race, and sex (stages 3 and 4)</w:t>
            </w:r>
          </w:p>
        </w:tc>
        <w:tc>
          <w:tcPr>
            <w:tcW w:w="2772" w:type="dxa"/>
          </w:tcPr>
          <w:p w14:paraId="427109F6" w14:textId="77777777" w:rsidR="00BD39CA" w:rsidRDefault="00BD39CA" w:rsidP="00DC7CEE"/>
        </w:tc>
      </w:tr>
      <w:tr w:rsidR="00BD39CA" w14:paraId="1155AFB0" w14:textId="77777777" w:rsidTr="00815A8F">
        <w:tc>
          <w:tcPr>
            <w:tcW w:w="2768" w:type="dxa"/>
          </w:tcPr>
          <w:p w14:paraId="3206D6B0" w14:textId="77777777" w:rsidR="00BD39CA" w:rsidRDefault="00BD39CA" w:rsidP="00DC7CEE">
            <w:r>
              <w:t>Proportion of adults tested for HIV each year?</w:t>
            </w:r>
          </w:p>
        </w:tc>
        <w:tc>
          <w:tcPr>
            <w:tcW w:w="2409" w:type="dxa"/>
          </w:tcPr>
          <w:p w14:paraId="4B66E20C" w14:textId="77777777" w:rsidR="00BD39CA" w:rsidRDefault="00BD39CA" w:rsidP="00DC7CEE">
            <w:r>
              <w:t>2013 to 2024</w:t>
            </w:r>
          </w:p>
        </w:tc>
        <w:tc>
          <w:tcPr>
            <w:tcW w:w="2841" w:type="dxa"/>
          </w:tcPr>
          <w:p w14:paraId="44FAC478" w14:textId="77777777" w:rsidR="00BD39CA" w:rsidRDefault="00BD39CA" w:rsidP="00DC7CEE">
            <w:r>
              <w:t>Total and one-way by age, race, and sex (stages 2, 3, and 4)</w:t>
            </w:r>
          </w:p>
        </w:tc>
        <w:tc>
          <w:tcPr>
            <w:tcW w:w="2772" w:type="dxa"/>
          </w:tcPr>
          <w:p w14:paraId="63500ED3" w14:textId="77777777" w:rsidR="00BD39CA" w:rsidRDefault="00BD39CA" w:rsidP="00DC7CEE">
            <w:r>
              <w:t>BRFSS</w:t>
            </w:r>
          </w:p>
        </w:tc>
      </w:tr>
      <w:tr w:rsidR="00BD39CA" w14:paraId="5ECF2F34" w14:textId="77777777" w:rsidTr="00815A8F">
        <w:tc>
          <w:tcPr>
            <w:tcW w:w="2768" w:type="dxa"/>
          </w:tcPr>
          <w:p w14:paraId="1F41B028" w14:textId="77777777" w:rsidR="00BD39CA" w:rsidRDefault="00BD39CA" w:rsidP="00DC7CEE">
            <w:r>
              <w:t>Future growth in Primary &amp; Secondary syphilis count</w:t>
            </w:r>
          </w:p>
        </w:tc>
        <w:tc>
          <w:tcPr>
            <w:tcW w:w="2409" w:type="dxa"/>
          </w:tcPr>
          <w:p w14:paraId="360FB15E" w14:textId="77777777" w:rsidR="00BD39CA" w:rsidRDefault="00BD39CA" w:rsidP="00DC7CEE">
            <w:r>
              <w:t>2020 to 2030</w:t>
            </w:r>
          </w:p>
        </w:tc>
        <w:tc>
          <w:tcPr>
            <w:tcW w:w="2841" w:type="dxa"/>
          </w:tcPr>
          <w:p w14:paraId="13143DE4" w14:textId="77777777" w:rsidR="00BD39CA" w:rsidRDefault="00BD39CA" w:rsidP="00DC7CEE">
            <w:r>
              <w:t>Total (stages 2, 3, and 4)</w:t>
            </w:r>
          </w:p>
        </w:tc>
        <w:tc>
          <w:tcPr>
            <w:tcW w:w="2772" w:type="dxa"/>
          </w:tcPr>
          <w:p w14:paraId="0A970609" w14:textId="77777777" w:rsidR="00BD39CA" w:rsidRDefault="00BD39CA" w:rsidP="00DC7CEE"/>
        </w:tc>
      </w:tr>
    </w:tbl>
    <w:p w14:paraId="4D52D6F9" w14:textId="77777777" w:rsidR="00BD39CA" w:rsidRPr="009D6B98" w:rsidRDefault="00BD39CA" w:rsidP="00BD39CA"/>
    <w:p w14:paraId="0AC48EF6" w14:textId="77777777" w:rsidR="00BD39CA" w:rsidRDefault="00BD39CA" w:rsidP="00BD39CA">
      <w:pPr>
        <w:spacing w:before="0" w:after="0"/>
      </w:pPr>
      <w:r>
        <w:rPr>
          <w:i/>
          <w:iCs/>
        </w:rPr>
        <w:t>Proportion of adults tested for HIV</w:t>
      </w:r>
      <w:r>
        <w:t>: Since there is not consistently available data on the proportion of adults tested for STIs, the model calibrates instead to the proportion of adults tested for HIV, which is published at state- and city-levels through the Behavioral Risk Factor Surveillance System (BRFSS). The modeled STI screening rates are converted to corresponding HIV screening rates through multiplication by a set of calibrated parameters; the HIV screening rates are then compared to BRFSS data in the likelihood.</w:t>
      </w:r>
    </w:p>
    <w:p w14:paraId="31AD1C0E" w14:textId="77777777" w:rsidR="00BD39CA" w:rsidRDefault="00BD39CA" w:rsidP="00BD39CA">
      <w:pPr>
        <w:spacing w:before="0" w:after="0"/>
      </w:pPr>
    </w:p>
    <w:p w14:paraId="591A10C3" w14:textId="77777777" w:rsidR="00BD39CA" w:rsidRDefault="00BD39CA" w:rsidP="00BD39CA">
      <w:pPr>
        <w:spacing w:before="0" w:after="0"/>
      </w:pPr>
      <w:r>
        <w:rPr>
          <w:i/>
          <w:iCs/>
        </w:rPr>
        <w:t>Future growth in primary &amp; secondary syphilis count</w:t>
      </w:r>
      <w:r>
        <w:t>: This likelihood is included to penalize simulations that project a 10-year growth in primary &amp; secondary syphilis diagnoses that far exceeds the fastest growth seen in any US location in the past thirty years. This threshold was set at a ten-fold increase in diagnoses between 2020 and 2030, and simulations were only penalized if they grew by more between those two years. The growth in total primary &amp; secondary diagnoses, as well as growth in diagnoses stratified one-way by age, race, and sex, were included.</w:t>
      </w:r>
    </w:p>
    <w:p w14:paraId="5801F436" w14:textId="77777777" w:rsidR="00BD39CA" w:rsidRDefault="00BD39CA" w:rsidP="00BD39CA">
      <w:pPr>
        <w:spacing w:before="0" w:after="0"/>
      </w:pPr>
    </w:p>
    <w:p w14:paraId="5E02A09E" w14:textId="77777777" w:rsidR="00BD39CA" w:rsidRDefault="00BD39CA" w:rsidP="00BD39CA">
      <w:pPr>
        <w:spacing w:before="0" w:after="0"/>
      </w:pPr>
      <w:r>
        <w:rPr>
          <w:i/>
          <w:iCs/>
        </w:rPr>
        <w:t>Proportion of male primary &amp; secondary syphilis diagnoses that are among MSM</w:t>
      </w:r>
      <w:r>
        <w:t>: Since most syphilis diagnosis data does not stratify male into separate heterosexual and MSM values, the model can meet diagnosis targets by projecting the correct number of total male diagnoses without properly distributing them between heterosexual men and MSM. However, some state-level data do disaggregate male into these two groups, so we calibrate projected proportion of male primary &amp; secondary syphilis diagnoses that are among MSM to the available state-level proportions.</w:t>
      </w:r>
    </w:p>
    <w:p w14:paraId="25D8C7E8" w14:textId="77777777" w:rsidR="00BD39CA" w:rsidRDefault="00BD39CA" w:rsidP="00BD39CA">
      <w:pPr>
        <w:spacing w:before="0" w:after="0"/>
      </w:pPr>
    </w:p>
    <w:p w14:paraId="0879E873" w14:textId="77777777" w:rsidR="00BD39CA" w:rsidRPr="00134C6F" w:rsidRDefault="00BD39CA" w:rsidP="00BD39CA">
      <w:pPr>
        <w:spacing w:before="0" w:after="0"/>
      </w:pPr>
      <w:r>
        <w:rPr>
          <w:i/>
          <w:iCs/>
        </w:rPr>
        <w:t>Historical total syphilis diagnosis count:</w:t>
      </w:r>
      <w:r>
        <w:t xml:space="preserve"> The model begins in 1970, but local-level data is often not available until after 1990. To avoid simulations projecting overly large or small numbers of cases in these early years, we </w:t>
      </w:r>
      <w:r>
        <w:lastRenderedPageBreak/>
        <w:t>calibrate each city’s projected total diagnoses in each year between 1970 to 1990 by constraining them to fall within a certain fraction of that city’s projected total diagnoses in 1990. 1990 was a peak of the syphilis epidemic in the United States, and national-level data is available that shows us the ratio of the number of cases in each preceding year versus that 1990 peak. Simulations for which projected values in the preceding years is too large or too small relative to that simulation’s 1990 projected value, using a window of acceptable ratios based on the national-level data, are penalized.</w:t>
      </w:r>
    </w:p>
    <w:p w14:paraId="187D9E19" w14:textId="77777777" w:rsidR="009D6B98" w:rsidRDefault="009D6B98" w:rsidP="009D6B98">
      <w:pPr>
        <w:pStyle w:val="Heading2"/>
      </w:pPr>
      <w:r>
        <w:t xml:space="preserve">Data sources </w:t>
      </w:r>
    </w:p>
    <w:p w14:paraId="471814A4" w14:textId="01DCA50F" w:rsidR="00BA02CC" w:rsidRDefault="00BA02CC">
      <w:pPr>
        <w:spacing w:before="0" w:after="0"/>
      </w:pPr>
      <w:r>
        <w:br w:type="page"/>
      </w:r>
    </w:p>
    <w:p w14:paraId="3305731F" w14:textId="7F7A524B" w:rsidR="009D6B98" w:rsidRDefault="009D6B98" w:rsidP="009D6B98">
      <w:pPr>
        <w:pStyle w:val="Heading2"/>
      </w:pPr>
      <w:r>
        <w:lastRenderedPageBreak/>
        <w:t xml:space="preserve">Calibration parameters </w:t>
      </w:r>
    </w:p>
    <w:p w14:paraId="08B4DCE3" w14:textId="77777777" w:rsidR="00C61F32" w:rsidRDefault="00C61F32" w:rsidP="001328D5"/>
    <w:tbl>
      <w:tblPr>
        <w:tblStyle w:val="TableGrid"/>
        <w:tblW w:w="0" w:type="auto"/>
        <w:tblLook w:val="04A0" w:firstRow="1" w:lastRow="0" w:firstColumn="1" w:lastColumn="0" w:noHBand="0" w:noVBand="1"/>
      </w:tblPr>
      <w:tblGrid>
        <w:gridCol w:w="3955"/>
        <w:gridCol w:w="3238"/>
        <w:gridCol w:w="3597"/>
      </w:tblGrid>
      <w:tr w:rsidR="00C61F32" w14:paraId="0817F6D0" w14:textId="77777777" w:rsidTr="009D6B98">
        <w:tc>
          <w:tcPr>
            <w:tcW w:w="3955" w:type="dxa"/>
          </w:tcPr>
          <w:p w14:paraId="48AADA9B" w14:textId="585EAB29" w:rsidR="00C61F32" w:rsidRDefault="00C61F32" w:rsidP="001328D5">
            <w:r>
              <w:t xml:space="preserve">Parameter </w:t>
            </w:r>
          </w:p>
        </w:tc>
        <w:tc>
          <w:tcPr>
            <w:tcW w:w="3238" w:type="dxa"/>
          </w:tcPr>
          <w:p w14:paraId="5D9153C8" w14:textId="24A08AB7" w:rsidR="00C61F32" w:rsidRDefault="00C61F32" w:rsidP="001328D5">
            <w:r>
              <w:t>Prior Distribution</w:t>
            </w:r>
          </w:p>
        </w:tc>
        <w:tc>
          <w:tcPr>
            <w:tcW w:w="3597" w:type="dxa"/>
          </w:tcPr>
          <w:p w14:paraId="2B4819F1" w14:textId="3528B596" w:rsidR="00C61F32" w:rsidRDefault="00C61F32" w:rsidP="001328D5">
            <w:r>
              <w:t>Ref/Description</w:t>
            </w:r>
          </w:p>
        </w:tc>
      </w:tr>
      <w:tr w:rsidR="00C61F32" w14:paraId="12805E12" w14:textId="77777777" w:rsidTr="009D6B98">
        <w:tc>
          <w:tcPr>
            <w:tcW w:w="3955" w:type="dxa"/>
          </w:tcPr>
          <w:p w14:paraId="1A644F40" w14:textId="77777777" w:rsidR="00C61F32" w:rsidRDefault="00C61F32" w:rsidP="001328D5"/>
        </w:tc>
        <w:tc>
          <w:tcPr>
            <w:tcW w:w="3238" w:type="dxa"/>
          </w:tcPr>
          <w:p w14:paraId="1540FAE2" w14:textId="77777777" w:rsidR="00C61F32" w:rsidRDefault="00C61F32" w:rsidP="001328D5"/>
        </w:tc>
        <w:tc>
          <w:tcPr>
            <w:tcW w:w="3597" w:type="dxa"/>
          </w:tcPr>
          <w:p w14:paraId="78E55F27" w14:textId="77777777" w:rsidR="00C61F32" w:rsidRDefault="00C61F32" w:rsidP="001328D5"/>
        </w:tc>
      </w:tr>
      <w:tr w:rsidR="00C61F32" w14:paraId="552CB9BE" w14:textId="77777777" w:rsidTr="009D6B98">
        <w:tc>
          <w:tcPr>
            <w:tcW w:w="3955" w:type="dxa"/>
          </w:tcPr>
          <w:p w14:paraId="61A5989A" w14:textId="77777777" w:rsidR="00C61F32" w:rsidRDefault="00C61F32" w:rsidP="001328D5"/>
        </w:tc>
        <w:tc>
          <w:tcPr>
            <w:tcW w:w="3238" w:type="dxa"/>
          </w:tcPr>
          <w:p w14:paraId="28DC3166" w14:textId="77777777" w:rsidR="00C61F32" w:rsidRDefault="00C61F32" w:rsidP="001328D5"/>
        </w:tc>
        <w:tc>
          <w:tcPr>
            <w:tcW w:w="3597" w:type="dxa"/>
          </w:tcPr>
          <w:p w14:paraId="225FEDA6" w14:textId="77777777" w:rsidR="00C61F32" w:rsidRDefault="00C61F32" w:rsidP="001328D5"/>
        </w:tc>
      </w:tr>
      <w:tr w:rsidR="00C61F32" w14:paraId="5B0360D0" w14:textId="77777777" w:rsidTr="009D6B98">
        <w:tc>
          <w:tcPr>
            <w:tcW w:w="3955" w:type="dxa"/>
          </w:tcPr>
          <w:p w14:paraId="2FDE8FF5" w14:textId="77777777" w:rsidR="00C61F32" w:rsidRDefault="00C61F32" w:rsidP="001328D5"/>
        </w:tc>
        <w:tc>
          <w:tcPr>
            <w:tcW w:w="3238" w:type="dxa"/>
          </w:tcPr>
          <w:p w14:paraId="08456CFE" w14:textId="77777777" w:rsidR="00C61F32" w:rsidRDefault="00C61F32" w:rsidP="001328D5"/>
        </w:tc>
        <w:tc>
          <w:tcPr>
            <w:tcW w:w="3597" w:type="dxa"/>
          </w:tcPr>
          <w:p w14:paraId="6A730E95" w14:textId="77777777" w:rsidR="00C61F32" w:rsidRDefault="00C61F32" w:rsidP="001328D5"/>
        </w:tc>
      </w:tr>
      <w:tr w:rsidR="00C61F32" w14:paraId="713B793A" w14:textId="77777777" w:rsidTr="009D6B98">
        <w:tc>
          <w:tcPr>
            <w:tcW w:w="3955" w:type="dxa"/>
          </w:tcPr>
          <w:p w14:paraId="2BA600FA" w14:textId="77777777" w:rsidR="00C61F32" w:rsidRDefault="00C61F32" w:rsidP="001328D5"/>
        </w:tc>
        <w:tc>
          <w:tcPr>
            <w:tcW w:w="3238" w:type="dxa"/>
          </w:tcPr>
          <w:p w14:paraId="1A804280" w14:textId="77777777" w:rsidR="00C61F32" w:rsidRDefault="00C61F32" w:rsidP="001328D5"/>
        </w:tc>
        <w:tc>
          <w:tcPr>
            <w:tcW w:w="3597" w:type="dxa"/>
          </w:tcPr>
          <w:p w14:paraId="4583ED82" w14:textId="77777777" w:rsidR="00C61F32" w:rsidRDefault="00C61F32" w:rsidP="001328D5"/>
        </w:tc>
      </w:tr>
      <w:tr w:rsidR="00C61F32" w14:paraId="27A5C573" w14:textId="77777777" w:rsidTr="009D6B98">
        <w:tc>
          <w:tcPr>
            <w:tcW w:w="3955" w:type="dxa"/>
          </w:tcPr>
          <w:p w14:paraId="11A6A095" w14:textId="77777777" w:rsidR="00C61F32" w:rsidRDefault="00C61F32" w:rsidP="001328D5"/>
        </w:tc>
        <w:tc>
          <w:tcPr>
            <w:tcW w:w="3238" w:type="dxa"/>
          </w:tcPr>
          <w:p w14:paraId="406B2701" w14:textId="77777777" w:rsidR="00C61F32" w:rsidRDefault="00C61F32" w:rsidP="001328D5"/>
        </w:tc>
        <w:tc>
          <w:tcPr>
            <w:tcW w:w="3597" w:type="dxa"/>
          </w:tcPr>
          <w:p w14:paraId="69C43803" w14:textId="77777777" w:rsidR="00C61F32" w:rsidRDefault="00C61F32" w:rsidP="001328D5"/>
        </w:tc>
      </w:tr>
      <w:tr w:rsidR="00C61F32" w14:paraId="4558D526" w14:textId="77777777" w:rsidTr="009D6B98">
        <w:tc>
          <w:tcPr>
            <w:tcW w:w="3955" w:type="dxa"/>
          </w:tcPr>
          <w:p w14:paraId="1D949802" w14:textId="77777777" w:rsidR="00C61F32" w:rsidRDefault="00C61F32" w:rsidP="001328D5"/>
        </w:tc>
        <w:tc>
          <w:tcPr>
            <w:tcW w:w="3238" w:type="dxa"/>
          </w:tcPr>
          <w:p w14:paraId="68984649" w14:textId="77777777" w:rsidR="00C61F32" w:rsidRDefault="00C61F32" w:rsidP="001328D5"/>
        </w:tc>
        <w:tc>
          <w:tcPr>
            <w:tcW w:w="3597" w:type="dxa"/>
          </w:tcPr>
          <w:p w14:paraId="34CD5C40" w14:textId="77777777" w:rsidR="00C61F32" w:rsidRDefault="00C61F32" w:rsidP="001328D5"/>
        </w:tc>
      </w:tr>
      <w:tr w:rsidR="00C61F32" w14:paraId="169EC23C" w14:textId="77777777" w:rsidTr="009D6B98">
        <w:tc>
          <w:tcPr>
            <w:tcW w:w="3955" w:type="dxa"/>
          </w:tcPr>
          <w:p w14:paraId="7BF5DABC" w14:textId="77777777" w:rsidR="00C61F32" w:rsidRDefault="00C61F32" w:rsidP="001328D5"/>
        </w:tc>
        <w:tc>
          <w:tcPr>
            <w:tcW w:w="3238" w:type="dxa"/>
          </w:tcPr>
          <w:p w14:paraId="21D54686" w14:textId="77777777" w:rsidR="00C61F32" w:rsidRDefault="00C61F32" w:rsidP="001328D5"/>
        </w:tc>
        <w:tc>
          <w:tcPr>
            <w:tcW w:w="3597" w:type="dxa"/>
          </w:tcPr>
          <w:p w14:paraId="0DFF4FA2" w14:textId="77777777" w:rsidR="00C61F32" w:rsidRDefault="00C61F32" w:rsidP="001328D5"/>
        </w:tc>
      </w:tr>
    </w:tbl>
    <w:p w14:paraId="02FCC7A3" w14:textId="77777777" w:rsidR="00230170" w:rsidRPr="001328D5" w:rsidRDefault="00230170" w:rsidP="001328D5"/>
    <w:p w14:paraId="017DB9E3" w14:textId="04DEE59F" w:rsidR="003A1C2A" w:rsidRDefault="00A02831" w:rsidP="00625032">
      <w:pPr>
        <w:pStyle w:val="Heading2"/>
      </w:pPr>
      <w:r>
        <w:t xml:space="preserve">Staged MCMC calibration design </w:t>
      </w:r>
    </w:p>
    <w:p w14:paraId="59822133" w14:textId="77777777" w:rsidR="005E47B7" w:rsidRPr="005E47B7" w:rsidRDefault="005E47B7" w:rsidP="005E47B7">
      <w:pPr>
        <w:spacing w:before="0" w:after="0"/>
      </w:pPr>
      <w:r w:rsidRPr="005E47B7">
        <w:t>Calibration proceeded through four sequential stages, each initializing from the final simulation of the preceding stage. Stages 0–2 used a single chain to progressively build model complexity; Stage 3 generated the final posterior sample using parallel chains.</w:t>
      </w:r>
    </w:p>
    <w:p w14:paraId="704094D7" w14:textId="70C4B043" w:rsidR="005E47B7" w:rsidRPr="005E47B7" w:rsidRDefault="005E47B7" w:rsidP="005E47B7">
      <w:pPr>
        <w:pStyle w:val="ListParagraph"/>
        <w:numPr>
          <w:ilvl w:val="0"/>
          <w:numId w:val="16"/>
        </w:numPr>
      </w:pPr>
      <w:r w:rsidRPr="005E47B7">
        <w:rPr>
          <w:b/>
          <w:bCs/>
        </w:rPr>
        <w:t>Stage 0</w:t>
      </w:r>
      <w:r w:rsidRPr="005E47B7">
        <w:t xml:space="preserve"> established demographic coherence and a plausible baseline for </w:t>
      </w:r>
      <w:r>
        <w:t>PS</w:t>
      </w:r>
      <w:r w:rsidRPr="005E47B7">
        <w:t xml:space="preserve"> syphilis burden prior to introducing stratified surveillance targets. Calibration targets </w:t>
      </w:r>
      <w:r>
        <w:t>included</w:t>
      </w:r>
      <w:r w:rsidRPr="005E47B7">
        <w:t xml:space="preserve"> the demographic backbone </w:t>
      </w:r>
      <w:r>
        <w:t>-</w:t>
      </w:r>
      <w:r w:rsidRPr="005E47B7">
        <w:t xml:space="preserve"> population size, deaths, fertility, immigration, and emigration </w:t>
      </w:r>
      <w:r>
        <w:t>-</w:t>
      </w:r>
      <w:r w:rsidRPr="005E47B7">
        <w:t xml:space="preserve"> in aggregate and stratified by available age, sex, and race categories. Total PS diagnoses were included as an additional target to ensure overall burden was plausible before stratified diagnosis and testing constraints were imposed in Stage 1. A light global likelihood weight (1/32) was applied to facilitate parameter mixing during early calibration</w:t>
      </w:r>
      <w:r>
        <w:t>.</w:t>
      </w:r>
    </w:p>
    <w:p w14:paraId="789AEAD9" w14:textId="26703ED7" w:rsidR="005E47B7" w:rsidRPr="005E47B7" w:rsidRDefault="005E47B7" w:rsidP="005E47B7">
      <w:pPr>
        <w:pStyle w:val="ListParagraph"/>
        <w:numPr>
          <w:ilvl w:val="0"/>
          <w:numId w:val="16"/>
        </w:numPr>
      </w:pPr>
      <w:r w:rsidRPr="005E47B7">
        <w:rPr>
          <w:b/>
          <w:bCs/>
        </w:rPr>
        <w:t>Stage 1</w:t>
      </w:r>
      <w:r w:rsidRPr="005E47B7">
        <w:t xml:space="preserve"> served as the primary surveillance calibration, fitting the full complement of diagnosis and HIV testing targets while enforcing historical and future plausibility. Diagnosis targets included total and stratified counts for overall syphilis, PS, early syphilis, and late/unknown syphilis</w:t>
      </w:r>
      <w:r>
        <w:t xml:space="preserve"> from 1993-2022</w:t>
      </w:r>
      <w:r w:rsidRPr="005E47B7">
        <w:t xml:space="preserve">, with 2019–2022 data stratified by sex, race, and age. HIV testing targets included overall testing proportions and stratifications by sex, age, and race. Three custom penalty </w:t>
      </w:r>
      <w:r>
        <w:t>likelihoods</w:t>
      </w:r>
      <w:r w:rsidRPr="005E47B7">
        <w:t xml:space="preserve"> were incorporated: (1) bounding pre-1990 diagnosis totals based on national epidemiologic patterns, (2) constraining the male-among-MSM diagnosis share during 2018–2022, and (3) limiting the 2030-to-2020 PS growth ratio to plausible projections. A moderate global weight (1/8) was applied to ensure adequate parameter mixing across the expanded target set.</w:t>
      </w:r>
    </w:p>
    <w:p w14:paraId="6A3072A7" w14:textId="77777777" w:rsidR="005E47B7" w:rsidRPr="005E47B7" w:rsidRDefault="005E47B7" w:rsidP="005E47B7">
      <w:pPr>
        <w:pStyle w:val="ListParagraph"/>
        <w:numPr>
          <w:ilvl w:val="0"/>
          <w:numId w:val="16"/>
        </w:numPr>
      </w:pPr>
      <w:r w:rsidRPr="005E47B7">
        <w:rPr>
          <w:b/>
          <w:bCs/>
        </w:rPr>
        <w:t>Stage 2</w:t>
      </w:r>
      <w:r w:rsidRPr="005E47B7">
        <w:t xml:space="preserve"> jointly refined all model parameters by combining the full target sets from Stages 0 and 1. A moderate global weight (1/2) was applied to all targets. To prevent demographic targets from dominating the fit while maintaining trajectory coherence, population-size targets were additionally down-weighted by a factor of 1/32 relative to all other targets.</w:t>
      </w:r>
    </w:p>
    <w:p w14:paraId="5FAB5931" w14:textId="77777777" w:rsidR="005E47B7" w:rsidRDefault="005E47B7" w:rsidP="005E47B7">
      <w:pPr>
        <w:pStyle w:val="ListParagraph"/>
        <w:numPr>
          <w:ilvl w:val="0"/>
          <w:numId w:val="16"/>
        </w:numPr>
      </w:pPr>
      <w:r w:rsidRPr="005E47B7">
        <w:rPr>
          <w:b/>
          <w:bCs/>
        </w:rPr>
        <w:t>Stage 3</w:t>
      </w:r>
      <w:r w:rsidRPr="005E47B7">
        <w:t xml:space="preserve"> mirrored Stage 2 in target composition but was designed to generate the final posterior sample. Four parallel chains were initialized from Stage 2 using distinct random seeds and starting states, each run for 250,000 iterations with a 50% burn-in and thinning every 500 iterations, yielding 250 retained simulations per chain (1,000 total posterior simulations).</w:t>
      </w:r>
    </w:p>
    <w:p w14:paraId="38540CAA" w14:textId="77777777" w:rsidR="005E47B7" w:rsidRDefault="005E47B7" w:rsidP="005E47B7">
      <w:pPr>
        <w:pStyle w:val="ListParagraph"/>
      </w:pPr>
    </w:p>
    <w:p w14:paraId="62359BC1" w14:textId="77777777" w:rsidR="005E47B7" w:rsidRPr="005E47B7" w:rsidRDefault="005E47B7" w:rsidP="005E47B7">
      <w:pPr>
        <w:pStyle w:val="ListParagraph"/>
      </w:pPr>
    </w:p>
    <w:p w14:paraId="75E3F2DD" w14:textId="7AEC6AF6" w:rsidR="005E47B7" w:rsidRDefault="005E47B7" w:rsidP="005E47B7">
      <w:pPr>
        <w:pStyle w:val="Caption"/>
        <w:keepNext/>
      </w:pPr>
    </w:p>
    <w:p w14:paraId="49B4417D" w14:textId="4C3DEFA7" w:rsidR="005E47B7" w:rsidRPr="005E47B7" w:rsidRDefault="005E47B7" w:rsidP="005E47B7">
      <w:pPr>
        <w:pStyle w:val="Caption"/>
        <w:keepNext/>
        <w:rPr>
          <w:b/>
          <w:bCs/>
        </w:rPr>
      </w:pPr>
      <w:r w:rsidRPr="005E47B7">
        <w:rPr>
          <w:b/>
          <w:bCs/>
        </w:rPr>
        <w:t xml:space="preserve">Table </w:t>
      </w:r>
      <w:r w:rsidRPr="005E47B7">
        <w:rPr>
          <w:b/>
          <w:bCs/>
        </w:rPr>
        <w:fldChar w:fldCharType="begin"/>
      </w:r>
      <w:r w:rsidRPr="005E47B7">
        <w:rPr>
          <w:b/>
          <w:bCs/>
        </w:rPr>
        <w:instrText xml:space="preserve"> SEQ Table \* ARABIC </w:instrText>
      </w:r>
      <w:r w:rsidRPr="005E47B7">
        <w:rPr>
          <w:b/>
          <w:bCs/>
        </w:rPr>
        <w:fldChar w:fldCharType="separate"/>
      </w:r>
      <w:r w:rsidRPr="005E47B7">
        <w:rPr>
          <w:b/>
          <w:bCs/>
          <w:noProof/>
        </w:rPr>
        <w:t>1</w:t>
      </w:r>
      <w:r w:rsidRPr="005E47B7">
        <w:rPr>
          <w:b/>
          <w:bCs/>
        </w:rPr>
        <w:fldChar w:fldCharType="end"/>
      </w:r>
      <w:r w:rsidRPr="005E47B7">
        <w:rPr>
          <w:b/>
          <w:bCs/>
        </w:rPr>
        <w:t>: MCMC settings</w:t>
      </w:r>
    </w:p>
    <w:tbl>
      <w:tblPr>
        <w:tblStyle w:val="GridTable1Light"/>
        <w:tblW w:w="9792" w:type="dxa"/>
        <w:tblLayout w:type="fixed"/>
        <w:tblLook w:val="04A0" w:firstRow="1" w:lastRow="0" w:firstColumn="1" w:lastColumn="0" w:noHBand="0" w:noVBand="1"/>
      </w:tblPr>
      <w:tblGrid>
        <w:gridCol w:w="3024"/>
        <w:gridCol w:w="2016"/>
        <w:gridCol w:w="1584"/>
        <w:gridCol w:w="1584"/>
        <w:gridCol w:w="1584"/>
      </w:tblGrid>
      <w:tr w:rsidR="005E47B7" w:rsidRPr="005E47B7" w14:paraId="31594A8B" w14:textId="77777777" w:rsidTr="005E47B7">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024" w:type="dxa"/>
            <w:noWrap/>
            <w:hideMark/>
          </w:tcPr>
          <w:p w14:paraId="4BD4AED2" w14:textId="77777777" w:rsidR="005E47B7" w:rsidRPr="005E47B7" w:rsidRDefault="005E47B7" w:rsidP="005E47B7">
            <w:pPr>
              <w:pStyle w:val="NoSpacing"/>
              <w:rPr>
                <w:rFonts w:cstheme="minorBidi"/>
                <w:sz w:val="18"/>
                <w:szCs w:val="18"/>
              </w:rPr>
            </w:pPr>
          </w:p>
        </w:tc>
        <w:tc>
          <w:tcPr>
            <w:tcW w:w="2016" w:type="dxa"/>
            <w:noWrap/>
            <w:hideMark/>
          </w:tcPr>
          <w:p w14:paraId="39437F5D" w14:textId="77777777" w:rsidR="005E47B7" w:rsidRPr="005E47B7" w:rsidRDefault="005E47B7" w:rsidP="005E47B7">
            <w:pPr>
              <w:pStyle w:val="NoSpacing"/>
              <w:cnfStyle w:val="100000000000" w:firstRow="1" w:lastRow="0" w:firstColumn="0" w:lastColumn="0" w:oddVBand="0" w:evenVBand="0" w:oddHBand="0" w:evenHBand="0" w:firstRowFirstColumn="0" w:firstRowLastColumn="0" w:lastRowFirstColumn="0" w:lastRowLastColumn="0"/>
              <w:rPr>
                <w:rFonts w:cstheme="minorBidi"/>
                <w:color w:val="000000"/>
                <w:sz w:val="18"/>
                <w:szCs w:val="18"/>
              </w:rPr>
            </w:pPr>
            <w:r w:rsidRPr="005E47B7">
              <w:rPr>
                <w:rFonts w:cstheme="minorBidi"/>
                <w:color w:val="000000"/>
                <w:sz w:val="18"/>
                <w:szCs w:val="18"/>
              </w:rPr>
              <w:t>Stage 0</w:t>
            </w:r>
          </w:p>
        </w:tc>
        <w:tc>
          <w:tcPr>
            <w:tcW w:w="1584" w:type="dxa"/>
            <w:noWrap/>
            <w:hideMark/>
          </w:tcPr>
          <w:p w14:paraId="6D79DACA" w14:textId="77777777" w:rsidR="005E47B7" w:rsidRPr="005E47B7" w:rsidRDefault="005E47B7" w:rsidP="005E47B7">
            <w:pPr>
              <w:pStyle w:val="NoSpacing"/>
              <w:cnfStyle w:val="100000000000" w:firstRow="1" w:lastRow="0" w:firstColumn="0" w:lastColumn="0" w:oddVBand="0" w:evenVBand="0" w:oddHBand="0" w:evenHBand="0" w:firstRowFirstColumn="0" w:firstRowLastColumn="0" w:lastRowFirstColumn="0" w:lastRowLastColumn="0"/>
              <w:rPr>
                <w:rFonts w:cstheme="minorBidi"/>
                <w:color w:val="000000"/>
                <w:sz w:val="18"/>
                <w:szCs w:val="18"/>
              </w:rPr>
            </w:pPr>
            <w:r w:rsidRPr="005E47B7">
              <w:rPr>
                <w:rFonts w:cstheme="minorBidi"/>
                <w:color w:val="000000"/>
                <w:sz w:val="18"/>
                <w:szCs w:val="18"/>
              </w:rPr>
              <w:t>Stage 1</w:t>
            </w:r>
          </w:p>
        </w:tc>
        <w:tc>
          <w:tcPr>
            <w:tcW w:w="1584" w:type="dxa"/>
            <w:noWrap/>
            <w:hideMark/>
          </w:tcPr>
          <w:p w14:paraId="76CB6693" w14:textId="77777777" w:rsidR="005E47B7" w:rsidRPr="005E47B7" w:rsidRDefault="005E47B7" w:rsidP="005E47B7">
            <w:pPr>
              <w:pStyle w:val="NoSpacing"/>
              <w:cnfStyle w:val="100000000000" w:firstRow="1" w:lastRow="0" w:firstColumn="0" w:lastColumn="0" w:oddVBand="0" w:evenVBand="0" w:oddHBand="0" w:evenHBand="0" w:firstRowFirstColumn="0" w:firstRowLastColumn="0" w:lastRowFirstColumn="0" w:lastRowLastColumn="0"/>
              <w:rPr>
                <w:rFonts w:cstheme="minorBidi"/>
                <w:color w:val="000000"/>
                <w:sz w:val="18"/>
                <w:szCs w:val="18"/>
              </w:rPr>
            </w:pPr>
            <w:r w:rsidRPr="005E47B7">
              <w:rPr>
                <w:rFonts w:cstheme="minorBidi"/>
                <w:color w:val="000000"/>
                <w:sz w:val="18"/>
                <w:szCs w:val="18"/>
              </w:rPr>
              <w:t>Stage 2</w:t>
            </w:r>
          </w:p>
        </w:tc>
        <w:tc>
          <w:tcPr>
            <w:tcW w:w="1584" w:type="dxa"/>
            <w:noWrap/>
            <w:hideMark/>
          </w:tcPr>
          <w:p w14:paraId="742B0485" w14:textId="77777777" w:rsidR="005E47B7" w:rsidRPr="005E47B7" w:rsidRDefault="005E47B7" w:rsidP="005E47B7">
            <w:pPr>
              <w:pStyle w:val="NoSpacing"/>
              <w:cnfStyle w:val="100000000000" w:firstRow="1" w:lastRow="0" w:firstColumn="0" w:lastColumn="0" w:oddVBand="0" w:evenVBand="0" w:oddHBand="0" w:evenHBand="0" w:firstRowFirstColumn="0" w:firstRowLastColumn="0" w:lastRowFirstColumn="0" w:lastRowLastColumn="0"/>
              <w:rPr>
                <w:rFonts w:cstheme="minorBidi"/>
                <w:color w:val="000000"/>
                <w:sz w:val="18"/>
                <w:szCs w:val="18"/>
              </w:rPr>
            </w:pPr>
            <w:r w:rsidRPr="005E47B7">
              <w:rPr>
                <w:rFonts w:cstheme="minorBidi"/>
                <w:color w:val="000000"/>
                <w:sz w:val="18"/>
                <w:szCs w:val="18"/>
              </w:rPr>
              <w:t>Stage 3</w:t>
            </w:r>
          </w:p>
        </w:tc>
      </w:tr>
      <w:tr w:rsidR="005E47B7" w:rsidRPr="005E47B7" w14:paraId="3728C8B7" w14:textId="77777777" w:rsidTr="005E47B7">
        <w:trPr>
          <w:trHeight w:val="320"/>
        </w:trPr>
        <w:tc>
          <w:tcPr>
            <w:cnfStyle w:val="001000000000" w:firstRow="0" w:lastRow="0" w:firstColumn="1" w:lastColumn="0" w:oddVBand="0" w:evenVBand="0" w:oddHBand="0" w:evenHBand="0" w:firstRowFirstColumn="0" w:firstRowLastColumn="0" w:lastRowFirstColumn="0" w:lastRowLastColumn="0"/>
            <w:tcW w:w="3024" w:type="dxa"/>
            <w:noWrap/>
            <w:hideMark/>
          </w:tcPr>
          <w:p w14:paraId="498D8372" w14:textId="77777777" w:rsidR="005E47B7" w:rsidRPr="005E47B7" w:rsidRDefault="005E47B7" w:rsidP="005E47B7">
            <w:pPr>
              <w:pStyle w:val="NoSpacing"/>
              <w:rPr>
                <w:rFonts w:cstheme="minorBidi"/>
                <w:color w:val="000000"/>
                <w:sz w:val="18"/>
                <w:szCs w:val="18"/>
              </w:rPr>
            </w:pPr>
            <w:r w:rsidRPr="005E47B7">
              <w:rPr>
                <w:rFonts w:cstheme="minorBidi"/>
                <w:color w:val="000000"/>
                <w:sz w:val="18"/>
                <w:szCs w:val="18"/>
              </w:rPr>
              <w:t>Primary purpose</w:t>
            </w:r>
          </w:p>
        </w:tc>
        <w:tc>
          <w:tcPr>
            <w:tcW w:w="2016" w:type="dxa"/>
            <w:noWrap/>
            <w:hideMark/>
          </w:tcPr>
          <w:p w14:paraId="54F89B28" w14:textId="5C291969" w:rsidR="005E47B7" w:rsidRPr="005E47B7" w:rsidRDefault="005E47B7" w:rsidP="005E47B7">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sz w:val="18"/>
                <w:szCs w:val="18"/>
              </w:rPr>
            </w:pPr>
            <w:r>
              <w:rPr>
                <w:rFonts w:cstheme="minorBidi"/>
                <w:color w:val="000000"/>
                <w:sz w:val="18"/>
                <w:szCs w:val="18"/>
              </w:rPr>
              <w:t>Full d</w:t>
            </w:r>
            <w:r w:rsidRPr="005E47B7">
              <w:rPr>
                <w:rFonts w:cstheme="minorBidi"/>
                <w:color w:val="000000"/>
                <w:sz w:val="18"/>
                <w:szCs w:val="18"/>
              </w:rPr>
              <w:t>emographic + PS</w:t>
            </w:r>
            <w:r>
              <w:rPr>
                <w:rFonts w:cstheme="minorBidi"/>
                <w:color w:val="000000"/>
                <w:sz w:val="18"/>
                <w:szCs w:val="18"/>
              </w:rPr>
              <w:t xml:space="preserve"> diagnosis</w:t>
            </w:r>
          </w:p>
        </w:tc>
        <w:tc>
          <w:tcPr>
            <w:tcW w:w="1584" w:type="dxa"/>
            <w:noWrap/>
            <w:hideMark/>
          </w:tcPr>
          <w:p w14:paraId="60653934" w14:textId="77777777" w:rsidR="005E47B7" w:rsidRPr="005E47B7" w:rsidRDefault="005E47B7" w:rsidP="005E47B7">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sz w:val="18"/>
                <w:szCs w:val="18"/>
              </w:rPr>
            </w:pPr>
            <w:r w:rsidRPr="005E47B7">
              <w:rPr>
                <w:rFonts w:cstheme="minorBidi"/>
                <w:color w:val="000000"/>
                <w:sz w:val="18"/>
                <w:szCs w:val="18"/>
              </w:rPr>
              <w:t>Full surveillance calibration</w:t>
            </w:r>
          </w:p>
        </w:tc>
        <w:tc>
          <w:tcPr>
            <w:tcW w:w="1584" w:type="dxa"/>
            <w:noWrap/>
            <w:hideMark/>
          </w:tcPr>
          <w:p w14:paraId="26505A68" w14:textId="77777777" w:rsidR="005E47B7" w:rsidRPr="005E47B7" w:rsidRDefault="005E47B7" w:rsidP="005E47B7">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sz w:val="18"/>
                <w:szCs w:val="18"/>
              </w:rPr>
            </w:pPr>
            <w:r w:rsidRPr="005E47B7">
              <w:rPr>
                <w:rFonts w:cstheme="minorBidi"/>
                <w:color w:val="000000"/>
                <w:sz w:val="18"/>
                <w:szCs w:val="18"/>
              </w:rPr>
              <w:t>Joint refinement</w:t>
            </w:r>
          </w:p>
        </w:tc>
        <w:tc>
          <w:tcPr>
            <w:tcW w:w="1584" w:type="dxa"/>
            <w:noWrap/>
            <w:hideMark/>
          </w:tcPr>
          <w:p w14:paraId="73A90B70" w14:textId="77777777" w:rsidR="005E47B7" w:rsidRPr="005E47B7" w:rsidRDefault="005E47B7" w:rsidP="005E47B7">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sz w:val="18"/>
                <w:szCs w:val="18"/>
              </w:rPr>
            </w:pPr>
            <w:r w:rsidRPr="005E47B7">
              <w:rPr>
                <w:rFonts w:cstheme="minorBidi"/>
                <w:color w:val="000000"/>
                <w:sz w:val="18"/>
                <w:szCs w:val="18"/>
              </w:rPr>
              <w:t>Final posterior</w:t>
            </w:r>
          </w:p>
        </w:tc>
      </w:tr>
      <w:tr w:rsidR="005E47B7" w:rsidRPr="005E47B7" w14:paraId="155C9507" w14:textId="77777777" w:rsidTr="005E47B7">
        <w:trPr>
          <w:trHeight w:val="320"/>
        </w:trPr>
        <w:tc>
          <w:tcPr>
            <w:cnfStyle w:val="001000000000" w:firstRow="0" w:lastRow="0" w:firstColumn="1" w:lastColumn="0" w:oddVBand="0" w:evenVBand="0" w:oddHBand="0" w:evenHBand="0" w:firstRowFirstColumn="0" w:firstRowLastColumn="0" w:lastRowFirstColumn="0" w:lastRowLastColumn="0"/>
            <w:tcW w:w="3024" w:type="dxa"/>
            <w:noWrap/>
            <w:hideMark/>
          </w:tcPr>
          <w:p w14:paraId="32A8E63A" w14:textId="77777777" w:rsidR="005E47B7" w:rsidRPr="005E47B7" w:rsidRDefault="005E47B7" w:rsidP="005E47B7">
            <w:pPr>
              <w:pStyle w:val="NoSpacing"/>
              <w:rPr>
                <w:rFonts w:cstheme="minorBidi"/>
                <w:color w:val="000000"/>
                <w:sz w:val="18"/>
                <w:szCs w:val="18"/>
              </w:rPr>
            </w:pPr>
            <w:r w:rsidRPr="005E47B7">
              <w:rPr>
                <w:rFonts w:cstheme="minorBidi"/>
                <w:color w:val="000000"/>
                <w:sz w:val="18"/>
                <w:szCs w:val="18"/>
              </w:rPr>
              <w:t>Global likelihood weight</w:t>
            </w:r>
          </w:p>
        </w:tc>
        <w:tc>
          <w:tcPr>
            <w:tcW w:w="2016" w:type="dxa"/>
            <w:noWrap/>
            <w:hideMark/>
          </w:tcPr>
          <w:p w14:paraId="14951F6E" w14:textId="74ADF4C9" w:rsidR="005E47B7" w:rsidRPr="005E47B7" w:rsidRDefault="005E47B7" w:rsidP="005E47B7">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sz w:val="18"/>
                <w:szCs w:val="18"/>
              </w:rPr>
            </w:pPr>
            <w:r>
              <w:rPr>
                <w:rFonts w:cstheme="minorBidi"/>
                <w:color w:val="000000"/>
                <w:sz w:val="18"/>
                <w:szCs w:val="18"/>
              </w:rPr>
              <w:t>1/32</w:t>
            </w:r>
          </w:p>
        </w:tc>
        <w:tc>
          <w:tcPr>
            <w:tcW w:w="1584" w:type="dxa"/>
            <w:noWrap/>
            <w:hideMark/>
          </w:tcPr>
          <w:p w14:paraId="37E38911" w14:textId="16B0EA34" w:rsidR="005E47B7" w:rsidRPr="005E47B7" w:rsidRDefault="005E47B7" w:rsidP="005E47B7">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sz w:val="18"/>
                <w:szCs w:val="18"/>
              </w:rPr>
            </w:pPr>
            <w:r>
              <w:rPr>
                <w:rFonts w:cstheme="minorBidi"/>
                <w:color w:val="000000"/>
                <w:sz w:val="18"/>
                <w:szCs w:val="18"/>
              </w:rPr>
              <w:t>1/8</w:t>
            </w:r>
          </w:p>
        </w:tc>
        <w:tc>
          <w:tcPr>
            <w:tcW w:w="1584" w:type="dxa"/>
            <w:noWrap/>
            <w:hideMark/>
          </w:tcPr>
          <w:p w14:paraId="2F0E1D4E" w14:textId="716CF399" w:rsidR="005E47B7" w:rsidRPr="005E47B7" w:rsidRDefault="005E47B7" w:rsidP="005E47B7">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sz w:val="18"/>
                <w:szCs w:val="18"/>
              </w:rPr>
            </w:pPr>
            <w:r>
              <w:rPr>
                <w:rFonts w:cstheme="minorBidi"/>
                <w:color w:val="000000"/>
                <w:sz w:val="18"/>
                <w:szCs w:val="18"/>
              </w:rPr>
              <w:t>1/2</w:t>
            </w:r>
          </w:p>
        </w:tc>
        <w:tc>
          <w:tcPr>
            <w:tcW w:w="1584" w:type="dxa"/>
            <w:noWrap/>
            <w:hideMark/>
          </w:tcPr>
          <w:p w14:paraId="4B8701CB" w14:textId="69DD4360" w:rsidR="005E47B7" w:rsidRPr="005E47B7" w:rsidRDefault="005E47B7" w:rsidP="005E47B7">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sz w:val="18"/>
                <w:szCs w:val="18"/>
              </w:rPr>
            </w:pPr>
            <w:r>
              <w:rPr>
                <w:rFonts w:cstheme="minorBidi"/>
                <w:color w:val="000000"/>
                <w:sz w:val="18"/>
                <w:szCs w:val="18"/>
              </w:rPr>
              <w:t>1/2</w:t>
            </w:r>
          </w:p>
        </w:tc>
      </w:tr>
      <w:tr w:rsidR="005E47B7" w:rsidRPr="005E47B7" w14:paraId="003AECF1" w14:textId="77777777" w:rsidTr="005E47B7">
        <w:trPr>
          <w:trHeight w:val="320"/>
        </w:trPr>
        <w:tc>
          <w:tcPr>
            <w:cnfStyle w:val="001000000000" w:firstRow="0" w:lastRow="0" w:firstColumn="1" w:lastColumn="0" w:oddVBand="0" w:evenVBand="0" w:oddHBand="0" w:evenHBand="0" w:firstRowFirstColumn="0" w:firstRowLastColumn="0" w:lastRowFirstColumn="0" w:lastRowLastColumn="0"/>
            <w:tcW w:w="3024" w:type="dxa"/>
            <w:noWrap/>
            <w:hideMark/>
          </w:tcPr>
          <w:p w14:paraId="1BCDDD93" w14:textId="77777777" w:rsidR="005E47B7" w:rsidRPr="005E47B7" w:rsidRDefault="005E47B7" w:rsidP="005E47B7">
            <w:pPr>
              <w:pStyle w:val="NoSpacing"/>
              <w:rPr>
                <w:rFonts w:cstheme="minorBidi"/>
                <w:color w:val="000000"/>
                <w:sz w:val="18"/>
                <w:szCs w:val="18"/>
              </w:rPr>
            </w:pPr>
            <w:r w:rsidRPr="005E47B7">
              <w:rPr>
                <w:rFonts w:cstheme="minorBidi"/>
                <w:color w:val="000000"/>
                <w:sz w:val="18"/>
                <w:szCs w:val="18"/>
              </w:rPr>
              <w:t>Population target down-weight</w:t>
            </w:r>
          </w:p>
        </w:tc>
        <w:tc>
          <w:tcPr>
            <w:tcW w:w="2016" w:type="dxa"/>
            <w:noWrap/>
            <w:hideMark/>
          </w:tcPr>
          <w:p w14:paraId="43BA1470" w14:textId="57E729CF" w:rsidR="005E47B7" w:rsidRPr="005E47B7" w:rsidRDefault="00243894" w:rsidP="005E47B7">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sz w:val="18"/>
                <w:szCs w:val="18"/>
              </w:rPr>
            </w:pPr>
            <w:r>
              <w:rPr>
                <w:rFonts w:cstheme="minorBidi"/>
                <w:color w:val="000000"/>
                <w:sz w:val="18"/>
                <w:szCs w:val="18"/>
              </w:rPr>
              <w:t>–</w:t>
            </w:r>
          </w:p>
        </w:tc>
        <w:tc>
          <w:tcPr>
            <w:tcW w:w="1584" w:type="dxa"/>
            <w:noWrap/>
            <w:hideMark/>
          </w:tcPr>
          <w:p w14:paraId="54AEE3D4" w14:textId="45465DFD" w:rsidR="005E47B7" w:rsidRPr="005E47B7" w:rsidRDefault="00243894" w:rsidP="005E47B7">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sz w:val="18"/>
                <w:szCs w:val="18"/>
              </w:rPr>
            </w:pPr>
            <w:r>
              <w:rPr>
                <w:rFonts w:cstheme="minorBidi"/>
                <w:color w:val="000000"/>
                <w:sz w:val="18"/>
                <w:szCs w:val="18"/>
              </w:rPr>
              <w:t>–</w:t>
            </w:r>
          </w:p>
        </w:tc>
        <w:tc>
          <w:tcPr>
            <w:tcW w:w="1584" w:type="dxa"/>
            <w:noWrap/>
            <w:hideMark/>
          </w:tcPr>
          <w:p w14:paraId="54671F5F" w14:textId="6D90F991" w:rsidR="005E47B7" w:rsidRPr="005E47B7" w:rsidRDefault="005E47B7" w:rsidP="005E47B7">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sz w:val="18"/>
                <w:szCs w:val="18"/>
              </w:rPr>
            </w:pPr>
            <w:r>
              <w:rPr>
                <w:rFonts w:cstheme="minorBidi"/>
                <w:color w:val="000000"/>
                <w:sz w:val="18"/>
                <w:szCs w:val="18"/>
              </w:rPr>
              <w:t>1/32</w:t>
            </w:r>
          </w:p>
        </w:tc>
        <w:tc>
          <w:tcPr>
            <w:tcW w:w="1584" w:type="dxa"/>
            <w:noWrap/>
            <w:hideMark/>
          </w:tcPr>
          <w:p w14:paraId="132B53CF" w14:textId="3E19F428" w:rsidR="005E47B7" w:rsidRPr="005E47B7" w:rsidRDefault="005E47B7" w:rsidP="005E47B7">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sz w:val="18"/>
                <w:szCs w:val="18"/>
              </w:rPr>
            </w:pPr>
            <w:r>
              <w:rPr>
                <w:rFonts w:cstheme="minorBidi"/>
                <w:color w:val="000000"/>
                <w:sz w:val="18"/>
                <w:szCs w:val="18"/>
              </w:rPr>
              <w:t>1/32</w:t>
            </w:r>
          </w:p>
        </w:tc>
      </w:tr>
      <w:tr w:rsidR="005E47B7" w:rsidRPr="005E47B7" w14:paraId="190BDC4E" w14:textId="77777777" w:rsidTr="005E47B7">
        <w:trPr>
          <w:trHeight w:val="320"/>
        </w:trPr>
        <w:tc>
          <w:tcPr>
            <w:cnfStyle w:val="001000000000" w:firstRow="0" w:lastRow="0" w:firstColumn="1" w:lastColumn="0" w:oddVBand="0" w:evenVBand="0" w:oddHBand="0" w:evenHBand="0" w:firstRowFirstColumn="0" w:firstRowLastColumn="0" w:lastRowFirstColumn="0" w:lastRowLastColumn="0"/>
            <w:tcW w:w="3024" w:type="dxa"/>
            <w:noWrap/>
            <w:hideMark/>
          </w:tcPr>
          <w:p w14:paraId="6FA08AA0" w14:textId="77777777" w:rsidR="005E47B7" w:rsidRPr="005E47B7" w:rsidRDefault="005E47B7" w:rsidP="005E47B7">
            <w:pPr>
              <w:pStyle w:val="NoSpacing"/>
              <w:rPr>
                <w:rFonts w:cstheme="minorBidi"/>
                <w:color w:val="000000"/>
                <w:sz w:val="18"/>
                <w:szCs w:val="18"/>
              </w:rPr>
            </w:pPr>
            <w:r w:rsidRPr="005E47B7">
              <w:rPr>
                <w:rFonts w:cstheme="minorBidi"/>
                <w:color w:val="000000"/>
                <w:sz w:val="18"/>
                <w:szCs w:val="18"/>
              </w:rPr>
              <w:t>Chains</w:t>
            </w:r>
          </w:p>
        </w:tc>
        <w:tc>
          <w:tcPr>
            <w:tcW w:w="2016" w:type="dxa"/>
            <w:noWrap/>
            <w:hideMark/>
          </w:tcPr>
          <w:p w14:paraId="7CF31B5A" w14:textId="77777777" w:rsidR="005E47B7" w:rsidRPr="005E47B7" w:rsidRDefault="005E47B7" w:rsidP="005E47B7">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sz w:val="18"/>
                <w:szCs w:val="18"/>
              </w:rPr>
            </w:pPr>
            <w:r w:rsidRPr="005E47B7">
              <w:rPr>
                <w:rFonts w:cstheme="minorBidi"/>
                <w:color w:val="000000"/>
                <w:sz w:val="18"/>
                <w:szCs w:val="18"/>
              </w:rPr>
              <w:t>1</w:t>
            </w:r>
          </w:p>
        </w:tc>
        <w:tc>
          <w:tcPr>
            <w:tcW w:w="1584" w:type="dxa"/>
            <w:noWrap/>
            <w:hideMark/>
          </w:tcPr>
          <w:p w14:paraId="156D4442" w14:textId="77777777" w:rsidR="005E47B7" w:rsidRPr="005E47B7" w:rsidRDefault="005E47B7" w:rsidP="005E47B7">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sz w:val="18"/>
                <w:szCs w:val="18"/>
              </w:rPr>
            </w:pPr>
            <w:r w:rsidRPr="005E47B7">
              <w:rPr>
                <w:rFonts w:cstheme="minorBidi"/>
                <w:color w:val="000000"/>
                <w:sz w:val="18"/>
                <w:szCs w:val="18"/>
              </w:rPr>
              <w:t>1</w:t>
            </w:r>
          </w:p>
        </w:tc>
        <w:tc>
          <w:tcPr>
            <w:tcW w:w="1584" w:type="dxa"/>
            <w:noWrap/>
            <w:hideMark/>
          </w:tcPr>
          <w:p w14:paraId="1BE0557F" w14:textId="77777777" w:rsidR="005E47B7" w:rsidRPr="005E47B7" w:rsidRDefault="005E47B7" w:rsidP="005E47B7">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sz w:val="18"/>
                <w:szCs w:val="18"/>
              </w:rPr>
            </w:pPr>
            <w:r w:rsidRPr="005E47B7">
              <w:rPr>
                <w:rFonts w:cstheme="minorBidi"/>
                <w:color w:val="000000"/>
                <w:sz w:val="18"/>
                <w:szCs w:val="18"/>
              </w:rPr>
              <w:t>1</w:t>
            </w:r>
          </w:p>
        </w:tc>
        <w:tc>
          <w:tcPr>
            <w:tcW w:w="1584" w:type="dxa"/>
            <w:noWrap/>
            <w:hideMark/>
          </w:tcPr>
          <w:p w14:paraId="083CA17D" w14:textId="77777777" w:rsidR="005E47B7" w:rsidRPr="005E47B7" w:rsidRDefault="005E47B7" w:rsidP="005E47B7">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sz w:val="18"/>
                <w:szCs w:val="18"/>
              </w:rPr>
            </w:pPr>
            <w:r w:rsidRPr="005E47B7">
              <w:rPr>
                <w:rFonts w:cstheme="minorBidi"/>
                <w:color w:val="000000"/>
                <w:sz w:val="18"/>
                <w:szCs w:val="18"/>
              </w:rPr>
              <w:t>4 (parallel)</w:t>
            </w:r>
          </w:p>
        </w:tc>
      </w:tr>
      <w:tr w:rsidR="005E47B7" w:rsidRPr="005E47B7" w14:paraId="4104B17D" w14:textId="77777777" w:rsidTr="005E47B7">
        <w:trPr>
          <w:trHeight w:val="320"/>
        </w:trPr>
        <w:tc>
          <w:tcPr>
            <w:cnfStyle w:val="001000000000" w:firstRow="0" w:lastRow="0" w:firstColumn="1" w:lastColumn="0" w:oddVBand="0" w:evenVBand="0" w:oddHBand="0" w:evenHBand="0" w:firstRowFirstColumn="0" w:firstRowLastColumn="0" w:lastRowFirstColumn="0" w:lastRowLastColumn="0"/>
            <w:tcW w:w="3024" w:type="dxa"/>
            <w:noWrap/>
            <w:hideMark/>
          </w:tcPr>
          <w:p w14:paraId="770F5009" w14:textId="77777777" w:rsidR="005E47B7" w:rsidRPr="005E47B7" w:rsidRDefault="005E47B7" w:rsidP="005E47B7">
            <w:pPr>
              <w:pStyle w:val="NoSpacing"/>
              <w:rPr>
                <w:rFonts w:cstheme="minorBidi"/>
                <w:color w:val="000000"/>
                <w:sz w:val="18"/>
                <w:szCs w:val="18"/>
              </w:rPr>
            </w:pPr>
            <w:r w:rsidRPr="005E47B7">
              <w:rPr>
                <w:rFonts w:cstheme="minorBidi"/>
                <w:color w:val="000000"/>
                <w:sz w:val="18"/>
                <w:szCs w:val="18"/>
              </w:rPr>
              <w:t>Iterations</w:t>
            </w:r>
          </w:p>
        </w:tc>
        <w:tc>
          <w:tcPr>
            <w:tcW w:w="2016" w:type="dxa"/>
            <w:noWrap/>
            <w:hideMark/>
          </w:tcPr>
          <w:p w14:paraId="217E4FD9" w14:textId="77777777" w:rsidR="005E47B7" w:rsidRPr="005E47B7" w:rsidRDefault="005E47B7" w:rsidP="005E47B7">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sz w:val="18"/>
                <w:szCs w:val="18"/>
              </w:rPr>
            </w:pPr>
            <w:r w:rsidRPr="005E47B7">
              <w:rPr>
                <w:rFonts w:cstheme="minorBidi"/>
                <w:color w:val="000000"/>
                <w:sz w:val="18"/>
                <w:szCs w:val="18"/>
              </w:rPr>
              <w:t>15,000</w:t>
            </w:r>
          </w:p>
        </w:tc>
        <w:tc>
          <w:tcPr>
            <w:tcW w:w="1584" w:type="dxa"/>
            <w:noWrap/>
            <w:hideMark/>
          </w:tcPr>
          <w:p w14:paraId="05CA04F0" w14:textId="77777777" w:rsidR="005E47B7" w:rsidRPr="005E47B7" w:rsidRDefault="005E47B7" w:rsidP="005E47B7">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sz w:val="18"/>
                <w:szCs w:val="18"/>
              </w:rPr>
            </w:pPr>
            <w:r w:rsidRPr="005E47B7">
              <w:rPr>
                <w:rFonts w:cstheme="minorBidi"/>
                <w:color w:val="000000"/>
                <w:sz w:val="18"/>
                <w:szCs w:val="18"/>
              </w:rPr>
              <w:t>15,000</w:t>
            </w:r>
          </w:p>
        </w:tc>
        <w:tc>
          <w:tcPr>
            <w:tcW w:w="1584" w:type="dxa"/>
            <w:noWrap/>
            <w:hideMark/>
          </w:tcPr>
          <w:p w14:paraId="322C1B25" w14:textId="77777777" w:rsidR="005E47B7" w:rsidRPr="005E47B7" w:rsidRDefault="005E47B7" w:rsidP="005E47B7">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sz w:val="18"/>
                <w:szCs w:val="18"/>
              </w:rPr>
            </w:pPr>
            <w:r w:rsidRPr="005E47B7">
              <w:rPr>
                <w:rFonts w:cstheme="minorBidi"/>
                <w:color w:val="000000"/>
                <w:sz w:val="18"/>
                <w:szCs w:val="18"/>
              </w:rPr>
              <w:t>15,000</w:t>
            </w:r>
          </w:p>
        </w:tc>
        <w:tc>
          <w:tcPr>
            <w:tcW w:w="1584" w:type="dxa"/>
            <w:noWrap/>
            <w:hideMark/>
          </w:tcPr>
          <w:p w14:paraId="611A1782" w14:textId="77777777" w:rsidR="005E47B7" w:rsidRPr="005E47B7" w:rsidRDefault="005E47B7" w:rsidP="005E47B7">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sz w:val="18"/>
                <w:szCs w:val="18"/>
              </w:rPr>
            </w:pPr>
            <w:r w:rsidRPr="005E47B7">
              <w:rPr>
                <w:rFonts w:cstheme="minorBidi"/>
                <w:color w:val="000000"/>
                <w:sz w:val="18"/>
                <w:szCs w:val="18"/>
              </w:rPr>
              <w:t>250,000</w:t>
            </w:r>
          </w:p>
        </w:tc>
      </w:tr>
      <w:tr w:rsidR="005E47B7" w:rsidRPr="005E47B7" w14:paraId="7BBB0C94" w14:textId="77777777" w:rsidTr="005E47B7">
        <w:trPr>
          <w:trHeight w:val="320"/>
        </w:trPr>
        <w:tc>
          <w:tcPr>
            <w:cnfStyle w:val="001000000000" w:firstRow="0" w:lastRow="0" w:firstColumn="1" w:lastColumn="0" w:oddVBand="0" w:evenVBand="0" w:oddHBand="0" w:evenHBand="0" w:firstRowFirstColumn="0" w:firstRowLastColumn="0" w:lastRowFirstColumn="0" w:lastRowLastColumn="0"/>
            <w:tcW w:w="3024" w:type="dxa"/>
            <w:noWrap/>
            <w:hideMark/>
          </w:tcPr>
          <w:p w14:paraId="6C19EB63" w14:textId="77777777" w:rsidR="005E47B7" w:rsidRPr="005E47B7" w:rsidRDefault="005E47B7" w:rsidP="005E47B7">
            <w:pPr>
              <w:pStyle w:val="NoSpacing"/>
              <w:rPr>
                <w:rFonts w:cstheme="minorBidi"/>
                <w:color w:val="000000"/>
                <w:sz w:val="18"/>
                <w:szCs w:val="18"/>
              </w:rPr>
            </w:pPr>
            <w:r w:rsidRPr="005E47B7">
              <w:rPr>
                <w:rFonts w:cstheme="minorBidi"/>
                <w:color w:val="000000"/>
                <w:sz w:val="18"/>
                <w:szCs w:val="18"/>
              </w:rPr>
              <w:t>Burn-in</w:t>
            </w:r>
          </w:p>
        </w:tc>
        <w:tc>
          <w:tcPr>
            <w:tcW w:w="2016" w:type="dxa"/>
            <w:noWrap/>
            <w:hideMark/>
          </w:tcPr>
          <w:p w14:paraId="39683325" w14:textId="77777777" w:rsidR="005E47B7" w:rsidRPr="005E47B7" w:rsidRDefault="005E47B7" w:rsidP="005E47B7">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sz w:val="18"/>
                <w:szCs w:val="18"/>
              </w:rPr>
            </w:pPr>
            <w:r w:rsidRPr="005E47B7">
              <w:rPr>
                <w:rFonts w:cstheme="minorBidi"/>
                <w:color w:val="000000"/>
                <w:sz w:val="18"/>
                <w:szCs w:val="18"/>
              </w:rPr>
              <w:t>None</w:t>
            </w:r>
          </w:p>
        </w:tc>
        <w:tc>
          <w:tcPr>
            <w:tcW w:w="1584" w:type="dxa"/>
            <w:noWrap/>
            <w:hideMark/>
          </w:tcPr>
          <w:p w14:paraId="6D7EE7C8" w14:textId="77777777" w:rsidR="005E47B7" w:rsidRPr="005E47B7" w:rsidRDefault="005E47B7" w:rsidP="005E47B7">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sz w:val="18"/>
                <w:szCs w:val="18"/>
              </w:rPr>
            </w:pPr>
            <w:r w:rsidRPr="005E47B7">
              <w:rPr>
                <w:rFonts w:cstheme="minorBidi"/>
                <w:color w:val="000000"/>
                <w:sz w:val="18"/>
                <w:szCs w:val="18"/>
              </w:rPr>
              <w:t>None</w:t>
            </w:r>
          </w:p>
        </w:tc>
        <w:tc>
          <w:tcPr>
            <w:tcW w:w="1584" w:type="dxa"/>
            <w:noWrap/>
            <w:hideMark/>
          </w:tcPr>
          <w:p w14:paraId="388EDF97" w14:textId="77777777" w:rsidR="005E47B7" w:rsidRPr="005E47B7" w:rsidRDefault="005E47B7" w:rsidP="005E47B7">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sz w:val="18"/>
                <w:szCs w:val="18"/>
              </w:rPr>
            </w:pPr>
            <w:r w:rsidRPr="005E47B7">
              <w:rPr>
                <w:rFonts w:cstheme="minorBidi"/>
                <w:color w:val="000000"/>
                <w:sz w:val="18"/>
                <w:szCs w:val="18"/>
              </w:rPr>
              <w:t>None</w:t>
            </w:r>
          </w:p>
        </w:tc>
        <w:tc>
          <w:tcPr>
            <w:tcW w:w="1584" w:type="dxa"/>
            <w:noWrap/>
            <w:hideMark/>
          </w:tcPr>
          <w:p w14:paraId="5C24681D" w14:textId="77777777" w:rsidR="005E47B7" w:rsidRPr="005E47B7" w:rsidRDefault="005E47B7" w:rsidP="005E47B7">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sz w:val="18"/>
                <w:szCs w:val="18"/>
              </w:rPr>
            </w:pPr>
            <w:r w:rsidRPr="005E47B7">
              <w:rPr>
                <w:rFonts w:cstheme="minorBidi"/>
                <w:color w:val="000000"/>
                <w:sz w:val="18"/>
                <w:szCs w:val="18"/>
              </w:rPr>
              <w:t>50% (125,000)</w:t>
            </w:r>
          </w:p>
        </w:tc>
      </w:tr>
      <w:tr w:rsidR="005E47B7" w:rsidRPr="005E47B7" w14:paraId="1BB6B886" w14:textId="77777777" w:rsidTr="005E47B7">
        <w:trPr>
          <w:trHeight w:val="320"/>
        </w:trPr>
        <w:tc>
          <w:tcPr>
            <w:cnfStyle w:val="001000000000" w:firstRow="0" w:lastRow="0" w:firstColumn="1" w:lastColumn="0" w:oddVBand="0" w:evenVBand="0" w:oddHBand="0" w:evenHBand="0" w:firstRowFirstColumn="0" w:firstRowLastColumn="0" w:lastRowFirstColumn="0" w:lastRowLastColumn="0"/>
            <w:tcW w:w="3024" w:type="dxa"/>
            <w:noWrap/>
            <w:hideMark/>
          </w:tcPr>
          <w:p w14:paraId="51DE871F" w14:textId="77777777" w:rsidR="005E47B7" w:rsidRPr="005E47B7" w:rsidRDefault="005E47B7" w:rsidP="005E47B7">
            <w:pPr>
              <w:pStyle w:val="NoSpacing"/>
              <w:rPr>
                <w:rFonts w:cstheme="minorBidi"/>
                <w:color w:val="000000"/>
                <w:sz w:val="18"/>
                <w:szCs w:val="18"/>
              </w:rPr>
            </w:pPr>
            <w:r w:rsidRPr="005E47B7">
              <w:rPr>
                <w:rFonts w:cstheme="minorBidi"/>
                <w:color w:val="000000"/>
                <w:sz w:val="18"/>
                <w:szCs w:val="18"/>
              </w:rPr>
              <w:t>Thinning interval</w:t>
            </w:r>
          </w:p>
        </w:tc>
        <w:tc>
          <w:tcPr>
            <w:tcW w:w="2016" w:type="dxa"/>
            <w:noWrap/>
            <w:hideMark/>
          </w:tcPr>
          <w:p w14:paraId="60F285C1" w14:textId="77777777" w:rsidR="005E47B7" w:rsidRPr="005E47B7" w:rsidRDefault="005E47B7" w:rsidP="005E47B7">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sz w:val="18"/>
                <w:szCs w:val="18"/>
              </w:rPr>
            </w:pPr>
            <w:r w:rsidRPr="005E47B7">
              <w:rPr>
                <w:rFonts w:cstheme="minorBidi"/>
                <w:color w:val="000000"/>
                <w:sz w:val="18"/>
                <w:szCs w:val="18"/>
              </w:rPr>
              <w:t>50</w:t>
            </w:r>
          </w:p>
        </w:tc>
        <w:tc>
          <w:tcPr>
            <w:tcW w:w="1584" w:type="dxa"/>
            <w:noWrap/>
            <w:hideMark/>
          </w:tcPr>
          <w:p w14:paraId="5302209E" w14:textId="77777777" w:rsidR="005E47B7" w:rsidRPr="005E47B7" w:rsidRDefault="005E47B7" w:rsidP="005E47B7">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sz w:val="18"/>
                <w:szCs w:val="18"/>
              </w:rPr>
            </w:pPr>
            <w:r w:rsidRPr="005E47B7">
              <w:rPr>
                <w:rFonts w:cstheme="minorBidi"/>
                <w:color w:val="000000"/>
                <w:sz w:val="18"/>
                <w:szCs w:val="18"/>
              </w:rPr>
              <w:t>50</w:t>
            </w:r>
          </w:p>
        </w:tc>
        <w:tc>
          <w:tcPr>
            <w:tcW w:w="1584" w:type="dxa"/>
            <w:noWrap/>
            <w:hideMark/>
          </w:tcPr>
          <w:p w14:paraId="13AA2FA2" w14:textId="77777777" w:rsidR="005E47B7" w:rsidRPr="005E47B7" w:rsidRDefault="005E47B7" w:rsidP="005E47B7">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sz w:val="18"/>
                <w:szCs w:val="18"/>
              </w:rPr>
            </w:pPr>
            <w:r w:rsidRPr="005E47B7">
              <w:rPr>
                <w:rFonts w:cstheme="minorBidi"/>
                <w:color w:val="000000"/>
                <w:sz w:val="18"/>
                <w:szCs w:val="18"/>
              </w:rPr>
              <w:t>50</w:t>
            </w:r>
          </w:p>
        </w:tc>
        <w:tc>
          <w:tcPr>
            <w:tcW w:w="1584" w:type="dxa"/>
            <w:noWrap/>
            <w:hideMark/>
          </w:tcPr>
          <w:p w14:paraId="02F2125A" w14:textId="77777777" w:rsidR="005E47B7" w:rsidRPr="005E47B7" w:rsidRDefault="005E47B7" w:rsidP="005E47B7">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sz w:val="18"/>
                <w:szCs w:val="18"/>
              </w:rPr>
            </w:pPr>
            <w:r w:rsidRPr="005E47B7">
              <w:rPr>
                <w:rFonts w:cstheme="minorBidi"/>
                <w:color w:val="000000"/>
                <w:sz w:val="18"/>
                <w:szCs w:val="18"/>
              </w:rPr>
              <w:t>500</w:t>
            </w:r>
          </w:p>
        </w:tc>
      </w:tr>
      <w:tr w:rsidR="005E47B7" w:rsidRPr="005E47B7" w14:paraId="7FE4B97F" w14:textId="77777777" w:rsidTr="005E47B7">
        <w:trPr>
          <w:trHeight w:val="320"/>
        </w:trPr>
        <w:tc>
          <w:tcPr>
            <w:cnfStyle w:val="001000000000" w:firstRow="0" w:lastRow="0" w:firstColumn="1" w:lastColumn="0" w:oddVBand="0" w:evenVBand="0" w:oddHBand="0" w:evenHBand="0" w:firstRowFirstColumn="0" w:firstRowLastColumn="0" w:lastRowFirstColumn="0" w:lastRowLastColumn="0"/>
            <w:tcW w:w="3024" w:type="dxa"/>
            <w:noWrap/>
            <w:hideMark/>
          </w:tcPr>
          <w:p w14:paraId="4BD1BE81" w14:textId="77777777" w:rsidR="005E47B7" w:rsidRPr="005E47B7" w:rsidRDefault="005E47B7" w:rsidP="005E47B7">
            <w:pPr>
              <w:pStyle w:val="NoSpacing"/>
              <w:rPr>
                <w:rFonts w:cstheme="minorBidi"/>
                <w:color w:val="000000"/>
                <w:sz w:val="18"/>
                <w:szCs w:val="18"/>
              </w:rPr>
            </w:pPr>
            <w:r w:rsidRPr="005E47B7">
              <w:rPr>
                <w:rFonts w:cstheme="minorBidi"/>
                <w:color w:val="000000"/>
                <w:sz w:val="18"/>
                <w:szCs w:val="18"/>
              </w:rPr>
              <w:t>Retained simulations</w:t>
            </w:r>
          </w:p>
        </w:tc>
        <w:tc>
          <w:tcPr>
            <w:tcW w:w="2016" w:type="dxa"/>
            <w:noWrap/>
            <w:hideMark/>
          </w:tcPr>
          <w:p w14:paraId="488632D4" w14:textId="77777777" w:rsidR="005E47B7" w:rsidRPr="005E47B7" w:rsidRDefault="005E47B7" w:rsidP="005E47B7">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sz w:val="18"/>
                <w:szCs w:val="18"/>
              </w:rPr>
            </w:pPr>
            <w:r w:rsidRPr="005E47B7">
              <w:rPr>
                <w:rFonts w:cstheme="minorBidi"/>
                <w:color w:val="000000"/>
                <w:sz w:val="18"/>
                <w:szCs w:val="18"/>
              </w:rPr>
              <w:t>300</w:t>
            </w:r>
          </w:p>
        </w:tc>
        <w:tc>
          <w:tcPr>
            <w:tcW w:w="1584" w:type="dxa"/>
            <w:noWrap/>
            <w:hideMark/>
          </w:tcPr>
          <w:p w14:paraId="5F58D24B" w14:textId="77777777" w:rsidR="005E47B7" w:rsidRPr="005E47B7" w:rsidRDefault="005E47B7" w:rsidP="005E47B7">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sz w:val="18"/>
                <w:szCs w:val="18"/>
              </w:rPr>
            </w:pPr>
            <w:r w:rsidRPr="005E47B7">
              <w:rPr>
                <w:rFonts w:cstheme="minorBidi"/>
                <w:color w:val="000000"/>
                <w:sz w:val="18"/>
                <w:szCs w:val="18"/>
              </w:rPr>
              <w:t>300</w:t>
            </w:r>
          </w:p>
        </w:tc>
        <w:tc>
          <w:tcPr>
            <w:tcW w:w="1584" w:type="dxa"/>
            <w:noWrap/>
            <w:hideMark/>
          </w:tcPr>
          <w:p w14:paraId="6D887AEF" w14:textId="77777777" w:rsidR="005E47B7" w:rsidRPr="005E47B7" w:rsidRDefault="005E47B7" w:rsidP="005E47B7">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sz w:val="18"/>
                <w:szCs w:val="18"/>
              </w:rPr>
            </w:pPr>
            <w:r w:rsidRPr="005E47B7">
              <w:rPr>
                <w:rFonts w:cstheme="minorBidi"/>
                <w:color w:val="000000"/>
                <w:sz w:val="18"/>
                <w:szCs w:val="18"/>
              </w:rPr>
              <w:t>300</w:t>
            </w:r>
          </w:p>
        </w:tc>
        <w:tc>
          <w:tcPr>
            <w:tcW w:w="1584" w:type="dxa"/>
            <w:noWrap/>
            <w:hideMark/>
          </w:tcPr>
          <w:p w14:paraId="27E10E0C" w14:textId="77777777" w:rsidR="005E47B7" w:rsidRPr="005E47B7" w:rsidRDefault="005E47B7" w:rsidP="005E47B7">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sz w:val="18"/>
                <w:szCs w:val="18"/>
              </w:rPr>
            </w:pPr>
            <w:r w:rsidRPr="005E47B7">
              <w:rPr>
                <w:rFonts w:cstheme="minorBidi"/>
                <w:color w:val="000000"/>
                <w:sz w:val="18"/>
                <w:szCs w:val="18"/>
              </w:rPr>
              <w:t xml:space="preserve">250 × 4 = </w:t>
            </w:r>
            <w:r w:rsidRPr="005E47B7">
              <w:rPr>
                <w:rFonts w:cstheme="minorBidi"/>
                <w:b/>
                <w:bCs/>
                <w:color w:val="000000"/>
                <w:sz w:val="18"/>
                <w:szCs w:val="18"/>
              </w:rPr>
              <w:t>1,000</w:t>
            </w:r>
          </w:p>
        </w:tc>
      </w:tr>
      <w:tr w:rsidR="005E47B7" w:rsidRPr="005E47B7" w14:paraId="2AE88268" w14:textId="77777777" w:rsidTr="005E47B7">
        <w:trPr>
          <w:trHeight w:val="320"/>
        </w:trPr>
        <w:tc>
          <w:tcPr>
            <w:cnfStyle w:val="001000000000" w:firstRow="0" w:lastRow="0" w:firstColumn="1" w:lastColumn="0" w:oddVBand="0" w:evenVBand="0" w:oddHBand="0" w:evenHBand="0" w:firstRowFirstColumn="0" w:firstRowLastColumn="0" w:lastRowFirstColumn="0" w:lastRowLastColumn="0"/>
            <w:tcW w:w="3024" w:type="dxa"/>
            <w:noWrap/>
            <w:hideMark/>
          </w:tcPr>
          <w:p w14:paraId="04AD46DC" w14:textId="77777777" w:rsidR="005E47B7" w:rsidRPr="005E47B7" w:rsidRDefault="005E47B7" w:rsidP="005E47B7">
            <w:pPr>
              <w:pStyle w:val="NoSpacing"/>
              <w:rPr>
                <w:rFonts w:cstheme="minorBidi"/>
                <w:color w:val="000000"/>
                <w:sz w:val="18"/>
                <w:szCs w:val="18"/>
              </w:rPr>
            </w:pPr>
            <w:r w:rsidRPr="005E47B7">
              <w:rPr>
                <w:rFonts w:cstheme="minorBidi"/>
                <w:color w:val="000000"/>
                <w:sz w:val="18"/>
                <w:szCs w:val="18"/>
              </w:rPr>
              <w:t>Seeds next stage</w:t>
            </w:r>
          </w:p>
        </w:tc>
        <w:tc>
          <w:tcPr>
            <w:tcW w:w="2016" w:type="dxa"/>
            <w:noWrap/>
            <w:hideMark/>
          </w:tcPr>
          <w:p w14:paraId="06841402" w14:textId="77777777" w:rsidR="005E47B7" w:rsidRPr="005E47B7" w:rsidRDefault="005E47B7" w:rsidP="005E47B7">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sz w:val="18"/>
                <w:szCs w:val="18"/>
              </w:rPr>
            </w:pPr>
            <w:r w:rsidRPr="005E47B7">
              <w:rPr>
                <w:rFonts w:cstheme="minorBidi"/>
                <w:color w:val="000000"/>
                <w:sz w:val="18"/>
                <w:szCs w:val="18"/>
              </w:rPr>
              <w:t>Last simulation</w:t>
            </w:r>
          </w:p>
        </w:tc>
        <w:tc>
          <w:tcPr>
            <w:tcW w:w="1584" w:type="dxa"/>
            <w:noWrap/>
            <w:hideMark/>
          </w:tcPr>
          <w:p w14:paraId="1400390A" w14:textId="77777777" w:rsidR="005E47B7" w:rsidRPr="005E47B7" w:rsidRDefault="005E47B7" w:rsidP="005E47B7">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sz w:val="18"/>
                <w:szCs w:val="18"/>
              </w:rPr>
            </w:pPr>
            <w:r w:rsidRPr="005E47B7">
              <w:rPr>
                <w:rFonts w:cstheme="minorBidi"/>
                <w:color w:val="000000"/>
                <w:sz w:val="18"/>
                <w:szCs w:val="18"/>
              </w:rPr>
              <w:t>Last simulation</w:t>
            </w:r>
          </w:p>
        </w:tc>
        <w:tc>
          <w:tcPr>
            <w:tcW w:w="1584" w:type="dxa"/>
            <w:noWrap/>
            <w:hideMark/>
          </w:tcPr>
          <w:p w14:paraId="679903D4" w14:textId="77777777" w:rsidR="005E47B7" w:rsidRPr="005E47B7" w:rsidRDefault="005E47B7" w:rsidP="005E47B7">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sz w:val="18"/>
                <w:szCs w:val="18"/>
              </w:rPr>
            </w:pPr>
            <w:r w:rsidRPr="005E47B7">
              <w:rPr>
                <w:rFonts w:cstheme="minorBidi"/>
                <w:color w:val="000000"/>
                <w:sz w:val="18"/>
                <w:szCs w:val="18"/>
              </w:rPr>
              <w:t>Last simulation</w:t>
            </w:r>
          </w:p>
        </w:tc>
        <w:tc>
          <w:tcPr>
            <w:tcW w:w="1584" w:type="dxa"/>
            <w:noWrap/>
            <w:hideMark/>
          </w:tcPr>
          <w:p w14:paraId="7434DBFE" w14:textId="415D1D70" w:rsidR="005E47B7" w:rsidRPr="005E47B7" w:rsidRDefault="00243894" w:rsidP="005E47B7">
            <w:pPr>
              <w:pStyle w:val="NoSpacing"/>
              <w:cnfStyle w:val="000000000000" w:firstRow="0" w:lastRow="0" w:firstColumn="0" w:lastColumn="0" w:oddVBand="0" w:evenVBand="0" w:oddHBand="0" w:evenHBand="0" w:firstRowFirstColumn="0" w:firstRowLastColumn="0" w:lastRowFirstColumn="0" w:lastRowLastColumn="0"/>
              <w:rPr>
                <w:rFonts w:cstheme="minorBidi"/>
                <w:color w:val="000000"/>
                <w:sz w:val="18"/>
                <w:szCs w:val="18"/>
              </w:rPr>
            </w:pPr>
            <w:r>
              <w:rPr>
                <w:rFonts w:cstheme="minorBidi"/>
                <w:color w:val="000000"/>
                <w:sz w:val="18"/>
                <w:szCs w:val="18"/>
              </w:rPr>
              <w:t>–</w:t>
            </w:r>
          </w:p>
        </w:tc>
      </w:tr>
    </w:tbl>
    <w:p w14:paraId="23679E03" w14:textId="77777777" w:rsidR="005E47B7" w:rsidRDefault="003A1C2A">
      <w:r>
        <w:br w:type="page"/>
      </w:r>
    </w:p>
    <w:p w14:paraId="72BF2348" w14:textId="06A28226" w:rsidR="003A1C2A" w:rsidRDefault="003A1C2A"/>
    <w:p w14:paraId="4C0EFEE5" w14:textId="0E420F90" w:rsidR="003A1C2A" w:rsidRPr="004964DF" w:rsidRDefault="004964DF" w:rsidP="00444F85">
      <w:pPr>
        <w:pStyle w:val="Heading3"/>
      </w:pPr>
      <w:r>
        <w:t xml:space="preserve">Calibration </w:t>
      </w:r>
      <w:r w:rsidRPr="00A02831">
        <w:t>targets</w:t>
      </w:r>
      <w:r>
        <w:t xml:space="preserve"> </w:t>
      </w:r>
    </w:p>
    <w:p w14:paraId="797452AA" w14:textId="3E03370F" w:rsidR="004964DF" w:rsidRDefault="004964DF" w:rsidP="004964DF">
      <w:pPr>
        <w:pStyle w:val="Caption"/>
        <w:keepNext/>
      </w:pPr>
      <w:r w:rsidRPr="004964DF">
        <w:rPr>
          <w:b/>
          <w:bCs/>
        </w:rPr>
        <w:t xml:space="preserve">Table </w:t>
      </w:r>
      <w:r w:rsidRPr="004964DF">
        <w:rPr>
          <w:b/>
          <w:bCs/>
        </w:rPr>
        <w:fldChar w:fldCharType="begin"/>
      </w:r>
      <w:r w:rsidRPr="004964DF">
        <w:rPr>
          <w:b/>
          <w:bCs/>
        </w:rPr>
        <w:instrText xml:space="preserve"> SEQ Table \* ARABIC </w:instrText>
      </w:r>
      <w:r w:rsidRPr="004964DF">
        <w:rPr>
          <w:b/>
          <w:bCs/>
        </w:rPr>
        <w:fldChar w:fldCharType="separate"/>
      </w:r>
      <w:r w:rsidR="005E47B7">
        <w:rPr>
          <w:b/>
          <w:bCs/>
          <w:noProof/>
        </w:rPr>
        <w:t>2</w:t>
      </w:r>
      <w:r w:rsidRPr="004964DF">
        <w:rPr>
          <w:b/>
          <w:bCs/>
        </w:rPr>
        <w:fldChar w:fldCharType="end"/>
      </w:r>
      <w:r w:rsidRPr="004964DF">
        <w:rPr>
          <w:b/>
          <w:bCs/>
        </w:rPr>
        <w:t>:</w:t>
      </w:r>
      <w:r>
        <w:t xml:space="preserve"> </w:t>
      </w:r>
      <w:r w:rsidRPr="00D97D56">
        <w:t>Calibration targets and brief descriptions used in staged Bayesian calibration</w:t>
      </w:r>
    </w:p>
    <w:tbl>
      <w:tblPr>
        <w:tblStyle w:val="GridTable1Light"/>
        <w:tblW w:w="9895" w:type="dxa"/>
        <w:tblLayout w:type="fixed"/>
        <w:tblLook w:val="04A0" w:firstRow="1" w:lastRow="0" w:firstColumn="1" w:lastColumn="0" w:noHBand="0" w:noVBand="1"/>
      </w:tblPr>
      <w:tblGrid>
        <w:gridCol w:w="2605"/>
        <w:gridCol w:w="5940"/>
        <w:gridCol w:w="1350"/>
      </w:tblGrid>
      <w:tr w:rsidR="00EA0894" w:rsidRPr="003A1C2A" w14:paraId="7FE8D9A2" w14:textId="77777777" w:rsidTr="00EA0894">
        <w:trPr>
          <w:cnfStyle w:val="100000000000" w:firstRow="1" w:lastRow="0" w:firstColumn="0" w:lastColumn="0" w:oddVBand="0" w:evenVBand="0" w:oddHBand="0"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2605" w:type="dxa"/>
            <w:noWrap/>
          </w:tcPr>
          <w:p w14:paraId="357602F6" w14:textId="09D984E9" w:rsidR="00EA0894" w:rsidRPr="004964DF" w:rsidRDefault="00EA0894" w:rsidP="003A1C2A">
            <w:pPr>
              <w:pStyle w:val="NoSpacing"/>
              <w:rPr>
                <w:sz w:val="20"/>
                <w:szCs w:val="20"/>
              </w:rPr>
            </w:pPr>
            <w:r w:rsidRPr="004964DF">
              <w:rPr>
                <w:sz w:val="20"/>
                <w:szCs w:val="20"/>
              </w:rPr>
              <w:t>Target</w:t>
            </w:r>
          </w:p>
        </w:tc>
        <w:tc>
          <w:tcPr>
            <w:tcW w:w="5940" w:type="dxa"/>
            <w:noWrap/>
          </w:tcPr>
          <w:p w14:paraId="0B5C5988" w14:textId="0A442FE9" w:rsidR="00EA0894" w:rsidRPr="004964DF" w:rsidRDefault="00EA0894" w:rsidP="003A1C2A">
            <w:pPr>
              <w:pStyle w:val="NoSpacing"/>
              <w:cnfStyle w:val="100000000000" w:firstRow="1" w:lastRow="0" w:firstColumn="0" w:lastColumn="0" w:oddVBand="0" w:evenVBand="0" w:oddHBand="0" w:evenHBand="0" w:firstRowFirstColumn="0" w:firstRowLastColumn="0" w:lastRowFirstColumn="0" w:lastRowLastColumn="0"/>
              <w:rPr>
                <w:rFonts w:ascii="Aptos Narrow" w:hAnsi="Aptos Narrow"/>
                <w:color w:val="000000"/>
                <w:sz w:val="20"/>
                <w:szCs w:val="20"/>
              </w:rPr>
            </w:pPr>
            <w:r w:rsidRPr="004964DF">
              <w:rPr>
                <w:rFonts w:ascii="Aptos Narrow" w:hAnsi="Aptos Narrow"/>
                <w:color w:val="000000"/>
                <w:sz w:val="20"/>
                <w:szCs w:val="20"/>
              </w:rPr>
              <w:t>Description</w:t>
            </w:r>
          </w:p>
        </w:tc>
        <w:tc>
          <w:tcPr>
            <w:tcW w:w="1350" w:type="dxa"/>
          </w:tcPr>
          <w:p w14:paraId="70E378CA" w14:textId="294637D7" w:rsidR="00EA0894" w:rsidRPr="004964DF" w:rsidRDefault="00EA0894" w:rsidP="003A1C2A">
            <w:pPr>
              <w:pStyle w:val="NoSpacing"/>
              <w:cnfStyle w:val="100000000000" w:firstRow="1" w:lastRow="0" w:firstColumn="0" w:lastColumn="0" w:oddVBand="0" w:evenVBand="0" w:oddHBand="0" w:evenHBand="0" w:firstRowFirstColumn="0" w:firstRowLastColumn="0" w:lastRowFirstColumn="0" w:lastRowLastColumn="0"/>
              <w:rPr>
                <w:rFonts w:ascii="Aptos Narrow" w:hAnsi="Aptos Narrow"/>
                <w:color w:val="000000"/>
                <w:sz w:val="20"/>
                <w:szCs w:val="20"/>
              </w:rPr>
            </w:pPr>
            <w:commentRangeStart w:id="2"/>
            <w:r w:rsidRPr="004964DF">
              <w:rPr>
                <w:rFonts w:ascii="Aptos Narrow" w:hAnsi="Aptos Narrow"/>
                <w:color w:val="000000"/>
                <w:sz w:val="20"/>
                <w:szCs w:val="20"/>
              </w:rPr>
              <w:t>Reference</w:t>
            </w:r>
            <w:commentRangeEnd w:id="2"/>
            <w:r w:rsidRPr="004964DF">
              <w:rPr>
                <w:rStyle w:val="CommentReference"/>
                <w:rFonts w:ascii="Aptos Narrow" w:hAnsi="Aptos Narrow"/>
                <w:color w:val="000000"/>
                <w:sz w:val="20"/>
                <w:szCs w:val="20"/>
              </w:rPr>
              <w:commentReference w:id="2"/>
            </w:r>
          </w:p>
        </w:tc>
      </w:tr>
      <w:tr w:rsidR="00EA0894" w:rsidRPr="003A1C2A" w14:paraId="7D49DC2B" w14:textId="49B3CF71" w:rsidTr="00EA0894">
        <w:trPr>
          <w:trHeight w:val="400"/>
        </w:trPr>
        <w:tc>
          <w:tcPr>
            <w:cnfStyle w:val="001000000000" w:firstRow="0" w:lastRow="0" w:firstColumn="1" w:lastColumn="0" w:oddVBand="0" w:evenVBand="0" w:oddHBand="0" w:evenHBand="0" w:firstRowFirstColumn="0" w:firstRowLastColumn="0" w:lastRowFirstColumn="0" w:lastRowLastColumn="0"/>
            <w:tcW w:w="2605" w:type="dxa"/>
            <w:noWrap/>
            <w:hideMark/>
          </w:tcPr>
          <w:p w14:paraId="13CF7F61" w14:textId="77777777" w:rsidR="00EA0894" w:rsidRPr="004964DF" w:rsidRDefault="00EA0894" w:rsidP="003A1C2A">
            <w:pPr>
              <w:pStyle w:val="NoSpacing"/>
              <w:rPr>
                <w:sz w:val="20"/>
                <w:szCs w:val="20"/>
              </w:rPr>
            </w:pPr>
            <w:r w:rsidRPr="004964DF">
              <w:rPr>
                <w:sz w:val="20"/>
                <w:szCs w:val="20"/>
              </w:rPr>
              <w:t xml:space="preserve">Population </w:t>
            </w:r>
          </w:p>
        </w:tc>
        <w:tc>
          <w:tcPr>
            <w:tcW w:w="5940" w:type="dxa"/>
            <w:noWrap/>
            <w:hideMark/>
          </w:tcPr>
          <w:p w14:paraId="1A5656BA" w14:textId="62BEEF4C" w:rsidR="00EA0894" w:rsidRPr="004964DF" w:rsidRDefault="00EA0894" w:rsidP="003A1C2A">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0"/>
                <w:szCs w:val="20"/>
              </w:rPr>
            </w:pPr>
            <w:r w:rsidRPr="004964DF">
              <w:rPr>
                <w:rFonts w:ascii="Aptos Narrow" w:hAnsi="Aptos Narrow"/>
                <w:color w:val="000000"/>
                <w:sz w:val="20"/>
                <w:szCs w:val="20"/>
              </w:rPr>
              <w:t xml:space="preserve">Total and stratified </w:t>
            </w:r>
            <w:r>
              <w:rPr>
                <w:rFonts w:ascii="Aptos Narrow" w:hAnsi="Aptos Narrow"/>
                <w:color w:val="000000"/>
                <w:sz w:val="20"/>
                <w:szCs w:val="20"/>
              </w:rPr>
              <w:t xml:space="preserve">US </w:t>
            </w:r>
            <w:r w:rsidRPr="004964DF">
              <w:rPr>
                <w:rFonts w:ascii="Aptos Narrow" w:hAnsi="Aptos Narrow"/>
                <w:color w:val="000000"/>
                <w:sz w:val="20"/>
                <w:szCs w:val="20"/>
              </w:rPr>
              <w:t xml:space="preserve">resident counts (by age, sex, race where available) used to anchor demographic size and </w:t>
            </w:r>
            <w:r>
              <w:rPr>
                <w:rFonts w:ascii="Aptos Narrow" w:hAnsi="Aptos Narrow"/>
                <w:color w:val="000000"/>
                <w:sz w:val="20"/>
                <w:szCs w:val="20"/>
              </w:rPr>
              <w:t xml:space="preserve">population </w:t>
            </w:r>
            <w:r w:rsidRPr="004964DF">
              <w:rPr>
                <w:rFonts w:ascii="Aptos Narrow" w:hAnsi="Aptos Narrow"/>
                <w:color w:val="000000"/>
                <w:sz w:val="20"/>
                <w:szCs w:val="20"/>
              </w:rPr>
              <w:t xml:space="preserve">composition </w:t>
            </w:r>
            <w:r>
              <w:rPr>
                <w:rFonts w:ascii="Aptos Narrow" w:hAnsi="Aptos Narrow"/>
                <w:color w:val="000000"/>
                <w:sz w:val="20"/>
                <w:szCs w:val="20"/>
              </w:rPr>
              <w:t>from 2010-2022</w:t>
            </w:r>
            <w:r w:rsidRPr="004964DF">
              <w:rPr>
                <w:rFonts w:ascii="Aptos Narrow" w:hAnsi="Aptos Narrow"/>
                <w:color w:val="000000"/>
                <w:sz w:val="20"/>
                <w:szCs w:val="20"/>
              </w:rPr>
              <w:t>.</w:t>
            </w:r>
          </w:p>
        </w:tc>
        <w:tc>
          <w:tcPr>
            <w:tcW w:w="1350" w:type="dxa"/>
          </w:tcPr>
          <w:p w14:paraId="1229F719" w14:textId="7076CCBE" w:rsidR="00EA0894" w:rsidRPr="004964DF" w:rsidRDefault="00EA0894" w:rsidP="003A1C2A">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0"/>
                <w:szCs w:val="20"/>
              </w:rPr>
            </w:pPr>
          </w:p>
        </w:tc>
      </w:tr>
      <w:tr w:rsidR="00EA0894" w:rsidRPr="003A1C2A" w14:paraId="7A9C86C0" w14:textId="69442DE3" w:rsidTr="00EA0894">
        <w:trPr>
          <w:trHeight w:val="400"/>
        </w:trPr>
        <w:tc>
          <w:tcPr>
            <w:cnfStyle w:val="001000000000" w:firstRow="0" w:lastRow="0" w:firstColumn="1" w:lastColumn="0" w:oddVBand="0" w:evenVBand="0" w:oddHBand="0" w:evenHBand="0" w:firstRowFirstColumn="0" w:firstRowLastColumn="0" w:lastRowFirstColumn="0" w:lastRowLastColumn="0"/>
            <w:tcW w:w="2605" w:type="dxa"/>
            <w:noWrap/>
            <w:hideMark/>
          </w:tcPr>
          <w:p w14:paraId="159067D4" w14:textId="77777777" w:rsidR="00EA0894" w:rsidRPr="004964DF" w:rsidRDefault="00EA0894" w:rsidP="003A1C2A">
            <w:pPr>
              <w:pStyle w:val="NoSpacing"/>
              <w:rPr>
                <w:sz w:val="20"/>
                <w:szCs w:val="20"/>
              </w:rPr>
            </w:pPr>
            <w:r w:rsidRPr="004964DF">
              <w:rPr>
                <w:sz w:val="20"/>
                <w:szCs w:val="20"/>
              </w:rPr>
              <w:t xml:space="preserve">Deaths </w:t>
            </w:r>
          </w:p>
        </w:tc>
        <w:tc>
          <w:tcPr>
            <w:tcW w:w="5940" w:type="dxa"/>
            <w:noWrap/>
            <w:hideMark/>
          </w:tcPr>
          <w:p w14:paraId="5FEBF82C" w14:textId="67B05271" w:rsidR="00EA0894" w:rsidRPr="004964DF" w:rsidRDefault="00EA0894" w:rsidP="003A1C2A">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0"/>
                <w:szCs w:val="20"/>
              </w:rPr>
            </w:pPr>
            <w:r w:rsidRPr="004964DF">
              <w:rPr>
                <w:rFonts w:ascii="Aptos Narrow" w:hAnsi="Aptos Narrow"/>
                <w:color w:val="000000"/>
                <w:sz w:val="20"/>
                <w:szCs w:val="20"/>
              </w:rPr>
              <w:t>Total and one-way stratified all-cause deaths (by age, sex, race where available</w:t>
            </w:r>
            <w:r>
              <w:rPr>
                <w:rFonts w:ascii="Aptos Narrow" w:hAnsi="Aptos Narrow"/>
                <w:color w:val="000000"/>
                <w:sz w:val="20"/>
                <w:szCs w:val="20"/>
              </w:rPr>
              <w:t>)</w:t>
            </w:r>
            <w:r w:rsidRPr="004964DF">
              <w:rPr>
                <w:rFonts w:ascii="Aptos Narrow" w:hAnsi="Aptos Narrow"/>
                <w:color w:val="000000"/>
                <w:sz w:val="20"/>
                <w:szCs w:val="20"/>
              </w:rPr>
              <w:t xml:space="preserve"> to constrain mortality dynamics</w:t>
            </w:r>
            <w:r>
              <w:rPr>
                <w:rFonts w:ascii="Aptos Narrow" w:hAnsi="Aptos Narrow"/>
                <w:color w:val="000000"/>
                <w:sz w:val="20"/>
                <w:szCs w:val="20"/>
              </w:rPr>
              <w:t xml:space="preserve"> from 2010-2022</w:t>
            </w:r>
            <w:r w:rsidRPr="004964DF">
              <w:rPr>
                <w:rFonts w:ascii="Aptos Narrow" w:hAnsi="Aptos Narrow"/>
                <w:color w:val="000000"/>
                <w:sz w:val="20"/>
                <w:szCs w:val="20"/>
              </w:rPr>
              <w:t>.</w:t>
            </w:r>
          </w:p>
        </w:tc>
        <w:tc>
          <w:tcPr>
            <w:tcW w:w="1350" w:type="dxa"/>
          </w:tcPr>
          <w:p w14:paraId="77A13A26" w14:textId="5463C1D2" w:rsidR="00EA0894" w:rsidRPr="004964DF" w:rsidRDefault="00EA0894" w:rsidP="003A1C2A">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0"/>
                <w:szCs w:val="20"/>
              </w:rPr>
            </w:pPr>
          </w:p>
        </w:tc>
      </w:tr>
      <w:tr w:rsidR="00EA0894" w:rsidRPr="003A1C2A" w14:paraId="7C9BCC46" w14:textId="70E346F5" w:rsidTr="00EA0894">
        <w:trPr>
          <w:trHeight w:val="400"/>
        </w:trPr>
        <w:tc>
          <w:tcPr>
            <w:cnfStyle w:val="001000000000" w:firstRow="0" w:lastRow="0" w:firstColumn="1" w:lastColumn="0" w:oddVBand="0" w:evenVBand="0" w:oddHBand="0" w:evenHBand="0" w:firstRowFirstColumn="0" w:firstRowLastColumn="0" w:lastRowFirstColumn="0" w:lastRowLastColumn="0"/>
            <w:tcW w:w="2605" w:type="dxa"/>
            <w:noWrap/>
            <w:hideMark/>
          </w:tcPr>
          <w:p w14:paraId="61EA5AA0" w14:textId="77777777" w:rsidR="00EA0894" w:rsidRPr="004964DF" w:rsidRDefault="00EA0894" w:rsidP="003A1C2A">
            <w:pPr>
              <w:pStyle w:val="NoSpacing"/>
              <w:rPr>
                <w:sz w:val="20"/>
                <w:szCs w:val="20"/>
              </w:rPr>
            </w:pPr>
            <w:r w:rsidRPr="004964DF">
              <w:rPr>
                <w:sz w:val="20"/>
                <w:szCs w:val="20"/>
              </w:rPr>
              <w:t xml:space="preserve">Fertility rate </w:t>
            </w:r>
          </w:p>
        </w:tc>
        <w:tc>
          <w:tcPr>
            <w:tcW w:w="5940" w:type="dxa"/>
            <w:noWrap/>
            <w:hideMark/>
          </w:tcPr>
          <w:p w14:paraId="76A39519" w14:textId="46CA1106" w:rsidR="00EA0894" w:rsidRPr="004964DF" w:rsidRDefault="00EA0894" w:rsidP="003A1C2A">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0"/>
                <w:szCs w:val="20"/>
              </w:rPr>
            </w:pPr>
            <w:r w:rsidRPr="004964DF">
              <w:rPr>
                <w:rFonts w:ascii="Aptos Narrow" w:hAnsi="Aptos Narrow"/>
                <w:color w:val="000000"/>
                <w:sz w:val="20"/>
                <w:szCs w:val="20"/>
              </w:rPr>
              <w:t xml:space="preserve"> Age-race</w:t>
            </w:r>
            <w:r>
              <w:rPr>
                <w:rFonts w:ascii="Aptos Narrow" w:hAnsi="Aptos Narrow"/>
                <w:color w:val="000000"/>
                <w:sz w:val="20"/>
                <w:szCs w:val="20"/>
              </w:rPr>
              <w:t xml:space="preserve"> </w:t>
            </w:r>
            <w:r w:rsidRPr="004964DF">
              <w:rPr>
                <w:rFonts w:ascii="Aptos Narrow" w:hAnsi="Aptos Narrow"/>
                <w:color w:val="000000"/>
                <w:sz w:val="20"/>
                <w:szCs w:val="20"/>
              </w:rPr>
              <w:t xml:space="preserve">specific fertility rates </w:t>
            </w:r>
            <w:r>
              <w:rPr>
                <w:rFonts w:ascii="Aptos Narrow" w:hAnsi="Aptos Narrow"/>
                <w:color w:val="000000"/>
                <w:sz w:val="20"/>
                <w:szCs w:val="20"/>
              </w:rPr>
              <w:t xml:space="preserve">among women in childbearing ages (15-44 years) </w:t>
            </w:r>
            <w:r w:rsidRPr="004964DF">
              <w:rPr>
                <w:rFonts w:ascii="Aptos Narrow" w:hAnsi="Aptos Narrow"/>
                <w:color w:val="000000"/>
                <w:sz w:val="20"/>
                <w:szCs w:val="20"/>
              </w:rPr>
              <w:t>to inform births and cohort replenishment</w:t>
            </w:r>
            <w:r>
              <w:rPr>
                <w:rFonts w:ascii="Aptos Narrow" w:hAnsi="Aptos Narrow"/>
                <w:color w:val="000000"/>
                <w:sz w:val="20"/>
                <w:szCs w:val="20"/>
              </w:rPr>
              <w:t xml:space="preserve"> from 2007-2022</w:t>
            </w:r>
            <w:r w:rsidRPr="004964DF">
              <w:rPr>
                <w:rFonts w:ascii="Aptos Narrow" w:hAnsi="Aptos Narrow"/>
                <w:color w:val="000000"/>
                <w:sz w:val="20"/>
                <w:szCs w:val="20"/>
              </w:rPr>
              <w:t>.</w:t>
            </w:r>
          </w:p>
        </w:tc>
        <w:tc>
          <w:tcPr>
            <w:tcW w:w="1350" w:type="dxa"/>
          </w:tcPr>
          <w:p w14:paraId="5A2627E7" w14:textId="75AE3094" w:rsidR="00EA0894" w:rsidRPr="004964DF" w:rsidRDefault="00EA0894" w:rsidP="003A1C2A">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0"/>
                <w:szCs w:val="20"/>
              </w:rPr>
            </w:pPr>
          </w:p>
        </w:tc>
      </w:tr>
      <w:tr w:rsidR="00EA0894" w:rsidRPr="003A1C2A" w14:paraId="6407DED5" w14:textId="14B4A86D" w:rsidTr="00EA0894">
        <w:trPr>
          <w:trHeight w:val="400"/>
        </w:trPr>
        <w:tc>
          <w:tcPr>
            <w:cnfStyle w:val="001000000000" w:firstRow="0" w:lastRow="0" w:firstColumn="1" w:lastColumn="0" w:oddVBand="0" w:evenVBand="0" w:oddHBand="0" w:evenHBand="0" w:firstRowFirstColumn="0" w:firstRowLastColumn="0" w:lastRowFirstColumn="0" w:lastRowLastColumn="0"/>
            <w:tcW w:w="2605" w:type="dxa"/>
            <w:noWrap/>
            <w:hideMark/>
          </w:tcPr>
          <w:p w14:paraId="7FF8A4B8" w14:textId="77777777" w:rsidR="00EA0894" w:rsidRPr="004964DF" w:rsidRDefault="00EA0894" w:rsidP="003A1C2A">
            <w:pPr>
              <w:pStyle w:val="NoSpacing"/>
              <w:rPr>
                <w:sz w:val="20"/>
                <w:szCs w:val="20"/>
              </w:rPr>
            </w:pPr>
            <w:r w:rsidRPr="004964DF">
              <w:rPr>
                <w:sz w:val="20"/>
                <w:szCs w:val="20"/>
              </w:rPr>
              <w:t xml:space="preserve">Immigration </w:t>
            </w:r>
          </w:p>
        </w:tc>
        <w:tc>
          <w:tcPr>
            <w:tcW w:w="5940" w:type="dxa"/>
            <w:noWrap/>
            <w:hideMark/>
          </w:tcPr>
          <w:p w14:paraId="00D41A76" w14:textId="3F98C7E4" w:rsidR="00EA0894" w:rsidRPr="004964DF" w:rsidRDefault="00EA0894" w:rsidP="003A1C2A">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0"/>
                <w:szCs w:val="20"/>
              </w:rPr>
            </w:pPr>
            <w:r w:rsidRPr="004964DF">
              <w:rPr>
                <w:rFonts w:ascii="Aptos Narrow" w:hAnsi="Aptos Narrow"/>
                <w:color w:val="000000"/>
                <w:sz w:val="20"/>
                <w:szCs w:val="20"/>
              </w:rPr>
              <w:t xml:space="preserve">Total and one-way stratified </w:t>
            </w:r>
            <w:r>
              <w:rPr>
                <w:rFonts w:ascii="Aptos Narrow" w:hAnsi="Aptos Narrow"/>
                <w:color w:val="000000"/>
                <w:sz w:val="20"/>
                <w:szCs w:val="20"/>
              </w:rPr>
              <w:t xml:space="preserve">population </w:t>
            </w:r>
            <w:r w:rsidRPr="004964DF">
              <w:rPr>
                <w:rFonts w:ascii="Aptos Narrow" w:hAnsi="Aptos Narrow"/>
                <w:color w:val="000000"/>
                <w:sz w:val="20"/>
                <w:szCs w:val="20"/>
              </w:rPr>
              <w:t>inflows (</w:t>
            </w:r>
            <w:r>
              <w:rPr>
                <w:rFonts w:ascii="Aptos Narrow" w:hAnsi="Aptos Narrow"/>
                <w:color w:val="000000"/>
                <w:sz w:val="20"/>
                <w:szCs w:val="20"/>
              </w:rPr>
              <w:t xml:space="preserve">by </w:t>
            </w:r>
            <w:r w:rsidRPr="004964DF">
              <w:rPr>
                <w:rFonts w:ascii="Aptos Narrow" w:hAnsi="Aptos Narrow"/>
                <w:color w:val="000000"/>
                <w:sz w:val="20"/>
                <w:szCs w:val="20"/>
              </w:rPr>
              <w:t xml:space="preserve">age, race, sex) over overlapping five-year periods </w:t>
            </w:r>
            <w:r>
              <w:rPr>
                <w:rFonts w:ascii="Aptos Narrow" w:hAnsi="Aptos Narrow"/>
                <w:color w:val="000000"/>
                <w:sz w:val="20"/>
                <w:szCs w:val="20"/>
              </w:rPr>
              <w:t xml:space="preserve">from 2011-2020 </w:t>
            </w:r>
            <w:r w:rsidRPr="004964DF">
              <w:rPr>
                <w:rFonts w:ascii="Aptos Narrow" w:hAnsi="Aptos Narrow"/>
                <w:color w:val="000000"/>
                <w:sz w:val="20"/>
                <w:szCs w:val="20"/>
              </w:rPr>
              <w:t>to capture population additions from in-migration.</w:t>
            </w:r>
          </w:p>
        </w:tc>
        <w:tc>
          <w:tcPr>
            <w:tcW w:w="1350" w:type="dxa"/>
          </w:tcPr>
          <w:p w14:paraId="71AE0ED3" w14:textId="7E81E8C5" w:rsidR="00EA0894" w:rsidRPr="004964DF" w:rsidRDefault="00EA0894" w:rsidP="003A1C2A">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0"/>
                <w:szCs w:val="20"/>
              </w:rPr>
            </w:pPr>
          </w:p>
        </w:tc>
      </w:tr>
      <w:tr w:rsidR="00EA0894" w:rsidRPr="003A1C2A" w14:paraId="5C34C9EB" w14:textId="4A079312" w:rsidTr="00EA0894">
        <w:trPr>
          <w:trHeight w:val="400"/>
        </w:trPr>
        <w:tc>
          <w:tcPr>
            <w:cnfStyle w:val="001000000000" w:firstRow="0" w:lastRow="0" w:firstColumn="1" w:lastColumn="0" w:oddVBand="0" w:evenVBand="0" w:oddHBand="0" w:evenHBand="0" w:firstRowFirstColumn="0" w:firstRowLastColumn="0" w:lastRowFirstColumn="0" w:lastRowLastColumn="0"/>
            <w:tcW w:w="2605" w:type="dxa"/>
            <w:noWrap/>
            <w:hideMark/>
          </w:tcPr>
          <w:p w14:paraId="1CFC738A" w14:textId="77777777" w:rsidR="00EA0894" w:rsidRPr="004964DF" w:rsidRDefault="00EA0894" w:rsidP="003A1C2A">
            <w:pPr>
              <w:pStyle w:val="NoSpacing"/>
              <w:rPr>
                <w:sz w:val="20"/>
                <w:szCs w:val="20"/>
              </w:rPr>
            </w:pPr>
            <w:r w:rsidRPr="004964DF">
              <w:rPr>
                <w:sz w:val="20"/>
                <w:szCs w:val="20"/>
              </w:rPr>
              <w:t xml:space="preserve">Emigration </w:t>
            </w:r>
          </w:p>
        </w:tc>
        <w:tc>
          <w:tcPr>
            <w:tcW w:w="5940" w:type="dxa"/>
            <w:noWrap/>
            <w:hideMark/>
          </w:tcPr>
          <w:p w14:paraId="1BE93221" w14:textId="3F16B258" w:rsidR="00EA0894" w:rsidRPr="004964DF" w:rsidRDefault="00EA0894" w:rsidP="003A1C2A">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0"/>
                <w:szCs w:val="20"/>
              </w:rPr>
            </w:pPr>
            <w:r w:rsidRPr="004964DF">
              <w:rPr>
                <w:rFonts w:ascii="Aptos Narrow" w:hAnsi="Aptos Narrow"/>
                <w:color w:val="000000"/>
                <w:sz w:val="20"/>
                <w:szCs w:val="20"/>
              </w:rPr>
              <w:t xml:space="preserve">Total and one-way stratified </w:t>
            </w:r>
            <w:r>
              <w:rPr>
                <w:rFonts w:ascii="Aptos Narrow" w:hAnsi="Aptos Narrow"/>
                <w:color w:val="000000"/>
                <w:sz w:val="20"/>
                <w:szCs w:val="20"/>
              </w:rPr>
              <w:t xml:space="preserve">population </w:t>
            </w:r>
            <w:r w:rsidRPr="004964DF">
              <w:rPr>
                <w:rFonts w:ascii="Aptos Narrow" w:hAnsi="Aptos Narrow"/>
                <w:color w:val="000000"/>
                <w:sz w:val="20"/>
                <w:szCs w:val="20"/>
              </w:rPr>
              <w:t>outflows (</w:t>
            </w:r>
            <w:r>
              <w:rPr>
                <w:rFonts w:ascii="Aptos Narrow" w:hAnsi="Aptos Narrow"/>
                <w:color w:val="000000"/>
                <w:sz w:val="20"/>
                <w:szCs w:val="20"/>
              </w:rPr>
              <w:t xml:space="preserve">by </w:t>
            </w:r>
            <w:r w:rsidRPr="004964DF">
              <w:rPr>
                <w:rFonts w:ascii="Aptos Narrow" w:hAnsi="Aptos Narrow"/>
                <w:color w:val="000000"/>
                <w:sz w:val="20"/>
                <w:szCs w:val="20"/>
              </w:rPr>
              <w:t xml:space="preserve">age, race, sex) over overlapping five-year periods </w:t>
            </w:r>
            <w:r>
              <w:rPr>
                <w:rFonts w:ascii="Aptos Narrow" w:hAnsi="Aptos Narrow"/>
                <w:color w:val="000000"/>
                <w:sz w:val="20"/>
                <w:szCs w:val="20"/>
              </w:rPr>
              <w:t xml:space="preserve">from 2011-2020 </w:t>
            </w:r>
            <w:r w:rsidRPr="004964DF">
              <w:rPr>
                <w:rFonts w:ascii="Aptos Narrow" w:hAnsi="Aptos Narrow"/>
                <w:color w:val="000000"/>
                <w:sz w:val="20"/>
                <w:szCs w:val="20"/>
              </w:rPr>
              <w:t>to capture population losses due to out-migration.</w:t>
            </w:r>
          </w:p>
        </w:tc>
        <w:tc>
          <w:tcPr>
            <w:tcW w:w="1350" w:type="dxa"/>
          </w:tcPr>
          <w:p w14:paraId="1FA202E4" w14:textId="1F765B4F" w:rsidR="00EA0894" w:rsidRPr="004964DF" w:rsidRDefault="00EA0894" w:rsidP="003A1C2A">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0"/>
                <w:szCs w:val="20"/>
              </w:rPr>
            </w:pPr>
          </w:p>
        </w:tc>
      </w:tr>
      <w:tr w:rsidR="00EA0894" w:rsidRPr="003A1C2A" w14:paraId="04501200" w14:textId="61F9E066" w:rsidTr="00EA0894">
        <w:trPr>
          <w:trHeight w:val="400"/>
        </w:trPr>
        <w:tc>
          <w:tcPr>
            <w:cnfStyle w:val="001000000000" w:firstRow="0" w:lastRow="0" w:firstColumn="1" w:lastColumn="0" w:oddVBand="0" w:evenVBand="0" w:oddHBand="0" w:evenHBand="0" w:firstRowFirstColumn="0" w:firstRowLastColumn="0" w:lastRowFirstColumn="0" w:lastRowLastColumn="0"/>
            <w:tcW w:w="2605" w:type="dxa"/>
            <w:noWrap/>
            <w:hideMark/>
          </w:tcPr>
          <w:p w14:paraId="70332378" w14:textId="77777777" w:rsidR="00EA0894" w:rsidRPr="004964DF" w:rsidRDefault="00EA0894" w:rsidP="003A1C2A">
            <w:pPr>
              <w:pStyle w:val="NoSpacing"/>
              <w:rPr>
                <w:sz w:val="20"/>
                <w:szCs w:val="20"/>
              </w:rPr>
            </w:pPr>
            <w:r w:rsidRPr="004964DF">
              <w:rPr>
                <w:sz w:val="20"/>
                <w:szCs w:val="20"/>
              </w:rPr>
              <w:t xml:space="preserve">Total syphilis diagnoses </w:t>
            </w:r>
          </w:p>
        </w:tc>
        <w:tc>
          <w:tcPr>
            <w:tcW w:w="5940" w:type="dxa"/>
            <w:noWrap/>
            <w:hideMark/>
          </w:tcPr>
          <w:p w14:paraId="74E4B065" w14:textId="5C4F3A65" w:rsidR="00EA0894" w:rsidRPr="004964DF" w:rsidRDefault="00814A1A" w:rsidP="00814A1A">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0"/>
                <w:szCs w:val="20"/>
              </w:rPr>
            </w:pPr>
            <w:r>
              <w:rPr>
                <w:rFonts w:ascii="Aptos Narrow" w:hAnsi="Aptos Narrow"/>
                <w:color w:val="000000"/>
                <w:sz w:val="20"/>
                <w:szCs w:val="20"/>
              </w:rPr>
              <w:t xml:space="preserve">Calculated overall (non-congenital) </w:t>
            </w:r>
            <w:r w:rsidR="00EA0894" w:rsidRPr="004964DF">
              <w:rPr>
                <w:rFonts w:ascii="Aptos Narrow" w:hAnsi="Aptos Narrow"/>
                <w:color w:val="000000"/>
                <w:sz w:val="20"/>
                <w:szCs w:val="20"/>
              </w:rPr>
              <w:t xml:space="preserve">syphilis diagnoses </w:t>
            </w:r>
            <w:r>
              <w:rPr>
                <w:rFonts w:ascii="Aptos Narrow" w:hAnsi="Aptos Narrow"/>
                <w:color w:val="000000"/>
                <w:sz w:val="20"/>
                <w:szCs w:val="20"/>
              </w:rPr>
              <w:t>(</w:t>
            </w:r>
            <w:r w:rsidR="00EA0894" w:rsidRPr="004964DF">
              <w:rPr>
                <w:rFonts w:ascii="Aptos Narrow" w:hAnsi="Aptos Narrow"/>
                <w:color w:val="000000"/>
                <w:sz w:val="20"/>
                <w:szCs w:val="20"/>
              </w:rPr>
              <w:t>1993–2022</w:t>
            </w:r>
            <w:r>
              <w:rPr>
                <w:rFonts w:ascii="Aptos Narrow" w:hAnsi="Aptos Narrow"/>
                <w:color w:val="000000"/>
                <w:sz w:val="20"/>
                <w:szCs w:val="20"/>
              </w:rPr>
              <w:t>) – as well as one-way and two-way stratified counts (2019-2022) by</w:t>
            </w:r>
            <w:r w:rsidR="00EA0894" w:rsidRPr="004964DF">
              <w:rPr>
                <w:rFonts w:ascii="Aptos Narrow" w:hAnsi="Aptos Narrow"/>
                <w:color w:val="000000"/>
                <w:sz w:val="20"/>
                <w:szCs w:val="20"/>
              </w:rPr>
              <w:t xml:space="preserve"> sex, race, and age</w:t>
            </w:r>
            <w:r>
              <w:rPr>
                <w:rFonts w:ascii="Aptos Narrow" w:hAnsi="Aptos Narrow"/>
                <w:color w:val="000000"/>
                <w:sz w:val="20"/>
                <w:szCs w:val="20"/>
              </w:rPr>
              <w:t xml:space="preserve"> –</w:t>
            </w:r>
            <w:r w:rsidR="00EA0894" w:rsidRPr="004964DF">
              <w:rPr>
                <w:rFonts w:ascii="Aptos Narrow" w:hAnsi="Aptos Narrow"/>
                <w:color w:val="000000"/>
                <w:sz w:val="20"/>
                <w:szCs w:val="20"/>
              </w:rPr>
              <w:t xml:space="preserve"> to calibrate aggregate transmission and detection.</w:t>
            </w:r>
          </w:p>
        </w:tc>
        <w:tc>
          <w:tcPr>
            <w:tcW w:w="1350" w:type="dxa"/>
          </w:tcPr>
          <w:p w14:paraId="4A229E78" w14:textId="166D0D48" w:rsidR="00EA0894" w:rsidRPr="004964DF" w:rsidRDefault="00EA0894" w:rsidP="003A1C2A">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0"/>
                <w:szCs w:val="20"/>
              </w:rPr>
            </w:pPr>
          </w:p>
        </w:tc>
      </w:tr>
      <w:tr w:rsidR="00EA0894" w:rsidRPr="003A1C2A" w14:paraId="0FF22989" w14:textId="2CA39B71" w:rsidTr="00EA0894">
        <w:trPr>
          <w:trHeight w:val="400"/>
        </w:trPr>
        <w:tc>
          <w:tcPr>
            <w:cnfStyle w:val="001000000000" w:firstRow="0" w:lastRow="0" w:firstColumn="1" w:lastColumn="0" w:oddVBand="0" w:evenVBand="0" w:oddHBand="0" w:evenHBand="0" w:firstRowFirstColumn="0" w:firstRowLastColumn="0" w:lastRowFirstColumn="0" w:lastRowLastColumn="0"/>
            <w:tcW w:w="2605" w:type="dxa"/>
            <w:noWrap/>
            <w:hideMark/>
          </w:tcPr>
          <w:p w14:paraId="0ECF2E7E" w14:textId="77777777" w:rsidR="00EA0894" w:rsidRPr="004964DF" w:rsidRDefault="00EA0894" w:rsidP="003A1C2A">
            <w:pPr>
              <w:pStyle w:val="NoSpacing"/>
              <w:rPr>
                <w:sz w:val="20"/>
                <w:szCs w:val="20"/>
              </w:rPr>
            </w:pPr>
            <w:r w:rsidRPr="004964DF">
              <w:rPr>
                <w:sz w:val="20"/>
                <w:szCs w:val="20"/>
              </w:rPr>
              <w:t xml:space="preserve">PS (primary/secondary) syphilis diagnoses </w:t>
            </w:r>
          </w:p>
        </w:tc>
        <w:tc>
          <w:tcPr>
            <w:tcW w:w="5940" w:type="dxa"/>
            <w:noWrap/>
            <w:hideMark/>
          </w:tcPr>
          <w:p w14:paraId="3D375CDC" w14:textId="66310795" w:rsidR="00EA0894" w:rsidRPr="004964DF" w:rsidRDefault="00EA0894" w:rsidP="003A1C2A">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0"/>
                <w:szCs w:val="20"/>
              </w:rPr>
            </w:pPr>
            <w:r w:rsidRPr="004964DF">
              <w:rPr>
                <w:rFonts w:ascii="Aptos Narrow" w:hAnsi="Aptos Narrow"/>
                <w:color w:val="000000"/>
                <w:sz w:val="20"/>
                <w:szCs w:val="20"/>
              </w:rPr>
              <w:t xml:space="preserve">Overall (1993–2022) </w:t>
            </w:r>
            <w:r w:rsidR="00814A1A">
              <w:rPr>
                <w:rFonts w:ascii="Aptos Narrow" w:hAnsi="Aptos Narrow"/>
                <w:color w:val="000000"/>
                <w:sz w:val="20"/>
                <w:szCs w:val="20"/>
              </w:rPr>
              <w:t>counts of PS diagnosis – as well as one-way and two-way stratified counts (2019-2022) by</w:t>
            </w:r>
            <w:r w:rsidR="00814A1A" w:rsidRPr="004964DF">
              <w:rPr>
                <w:rFonts w:ascii="Aptos Narrow" w:hAnsi="Aptos Narrow"/>
                <w:color w:val="000000"/>
                <w:sz w:val="20"/>
                <w:szCs w:val="20"/>
              </w:rPr>
              <w:t xml:space="preserve"> sex, race, and age</w:t>
            </w:r>
            <w:r w:rsidR="00814A1A">
              <w:rPr>
                <w:rFonts w:ascii="Aptos Narrow" w:hAnsi="Aptos Narrow"/>
                <w:color w:val="000000"/>
                <w:sz w:val="20"/>
                <w:szCs w:val="20"/>
              </w:rPr>
              <w:t xml:space="preserve"> </w:t>
            </w:r>
          </w:p>
        </w:tc>
        <w:tc>
          <w:tcPr>
            <w:tcW w:w="1350" w:type="dxa"/>
          </w:tcPr>
          <w:p w14:paraId="1B8EFCB2" w14:textId="446A68DF" w:rsidR="00EA0894" w:rsidRPr="004964DF" w:rsidRDefault="00EA0894" w:rsidP="003A1C2A">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0"/>
                <w:szCs w:val="20"/>
              </w:rPr>
            </w:pPr>
          </w:p>
        </w:tc>
      </w:tr>
      <w:tr w:rsidR="00EA0894" w:rsidRPr="003A1C2A" w14:paraId="776531A9" w14:textId="07157C95" w:rsidTr="00EA0894">
        <w:trPr>
          <w:trHeight w:val="400"/>
        </w:trPr>
        <w:tc>
          <w:tcPr>
            <w:cnfStyle w:val="001000000000" w:firstRow="0" w:lastRow="0" w:firstColumn="1" w:lastColumn="0" w:oddVBand="0" w:evenVBand="0" w:oddHBand="0" w:evenHBand="0" w:firstRowFirstColumn="0" w:firstRowLastColumn="0" w:lastRowFirstColumn="0" w:lastRowLastColumn="0"/>
            <w:tcW w:w="2605" w:type="dxa"/>
            <w:noWrap/>
            <w:hideMark/>
          </w:tcPr>
          <w:p w14:paraId="5830166E" w14:textId="27F755CC" w:rsidR="00EA0894" w:rsidRPr="004964DF" w:rsidRDefault="00EA0894" w:rsidP="003A1C2A">
            <w:pPr>
              <w:pStyle w:val="NoSpacing"/>
              <w:rPr>
                <w:sz w:val="20"/>
                <w:szCs w:val="20"/>
              </w:rPr>
            </w:pPr>
            <w:r w:rsidRPr="004964DF">
              <w:rPr>
                <w:sz w:val="20"/>
                <w:szCs w:val="20"/>
              </w:rPr>
              <w:t xml:space="preserve">Early syphilis diagnoses </w:t>
            </w:r>
          </w:p>
        </w:tc>
        <w:tc>
          <w:tcPr>
            <w:tcW w:w="5940" w:type="dxa"/>
            <w:noWrap/>
            <w:hideMark/>
          </w:tcPr>
          <w:p w14:paraId="47D95380" w14:textId="74378AD7" w:rsidR="00EA0894" w:rsidRPr="004964DF" w:rsidRDefault="00EA0894" w:rsidP="003A1C2A">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0"/>
                <w:szCs w:val="20"/>
              </w:rPr>
            </w:pPr>
            <w:r w:rsidRPr="004964DF">
              <w:rPr>
                <w:rFonts w:ascii="Aptos Narrow" w:hAnsi="Aptos Narrow"/>
                <w:color w:val="000000"/>
                <w:sz w:val="20"/>
                <w:szCs w:val="20"/>
              </w:rPr>
              <w:t xml:space="preserve">Overall (1993–2022) </w:t>
            </w:r>
            <w:r w:rsidR="00814A1A">
              <w:rPr>
                <w:rFonts w:ascii="Aptos Narrow" w:hAnsi="Aptos Narrow"/>
                <w:color w:val="000000"/>
                <w:sz w:val="20"/>
                <w:szCs w:val="20"/>
              </w:rPr>
              <w:t>counts of early diagnosis – as well as one-way and two-way stratified counts (2019-2022) by</w:t>
            </w:r>
            <w:r w:rsidR="00814A1A" w:rsidRPr="004964DF">
              <w:rPr>
                <w:rFonts w:ascii="Aptos Narrow" w:hAnsi="Aptos Narrow"/>
                <w:color w:val="000000"/>
                <w:sz w:val="20"/>
                <w:szCs w:val="20"/>
              </w:rPr>
              <w:t xml:space="preserve"> sex, race, and age</w:t>
            </w:r>
            <w:r w:rsidR="00814A1A">
              <w:rPr>
                <w:rFonts w:ascii="Aptos Narrow" w:hAnsi="Aptos Narrow"/>
                <w:color w:val="000000"/>
                <w:sz w:val="20"/>
                <w:szCs w:val="20"/>
              </w:rPr>
              <w:t xml:space="preserve"> </w:t>
            </w:r>
          </w:p>
        </w:tc>
        <w:tc>
          <w:tcPr>
            <w:tcW w:w="1350" w:type="dxa"/>
          </w:tcPr>
          <w:p w14:paraId="5E591973" w14:textId="37CF5436" w:rsidR="00EA0894" w:rsidRPr="004964DF" w:rsidRDefault="00EA0894" w:rsidP="003A1C2A">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0"/>
                <w:szCs w:val="20"/>
              </w:rPr>
            </w:pPr>
          </w:p>
        </w:tc>
      </w:tr>
      <w:tr w:rsidR="00EA0894" w:rsidRPr="003A1C2A" w14:paraId="3718B675" w14:textId="6E57A40B" w:rsidTr="00EA0894">
        <w:trPr>
          <w:trHeight w:val="400"/>
        </w:trPr>
        <w:tc>
          <w:tcPr>
            <w:cnfStyle w:val="001000000000" w:firstRow="0" w:lastRow="0" w:firstColumn="1" w:lastColumn="0" w:oddVBand="0" w:evenVBand="0" w:oddHBand="0" w:evenHBand="0" w:firstRowFirstColumn="0" w:firstRowLastColumn="0" w:lastRowFirstColumn="0" w:lastRowLastColumn="0"/>
            <w:tcW w:w="2605" w:type="dxa"/>
            <w:noWrap/>
            <w:hideMark/>
          </w:tcPr>
          <w:p w14:paraId="002F0A46" w14:textId="5AF0BB1C" w:rsidR="00EA0894" w:rsidRPr="004964DF" w:rsidRDefault="00EA0894" w:rsidP="003A1C2A">
            <w:pPr>
              <w:pStyle w:val="NoSpacing"/>
              <w:rPr>
                <w:sz w:val="20"/>
                <w:szCs w:val="20"/>
              </w:rPr>
            </w:pPr>
            <w:r w:rsidRPr="004964DF">
              <w:rPr>
                <w:sz w:val="20"/>
                <w:szCs w:val="20"/>
              </w:rPr>
              <w:t xml:space="preserve">Late/unknown-duration syphilis diagnoses </w:t>
            </w:r>
            <w:r w:rsidR="00814A1A">
              <w:rPr>
                <w:sz w:val="20"/>
                <w:szCs w:val="20"/>
              </w:rPr>
              <w:t xml:space="preserve"> </w:t>
            </w:r>
          </w:p>
        </w:tc>
        <w:tc>
          <w:tcPr>
            <w:tcW w:w="5940" w:type="dxa"/>
            <w:noWrap/>
            <w:hideMark/>
          </w:tcPr>
          <w:p w14:paraId="27A9C5DF" w14:textId="79DDD06C" w:rsidR="00EA0894" w:rsidRPr="004964DF" w:rsidRDefault="00814A1A" w:rsidP="003A1C2A">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0"/>
                <w:szCs w:val="20"/>
              </w:rPr>
            </w:pPr>
            <w:r w:rsidRPr="004964DF">
              <w:rPr>
                <w:rFonts w:ascii="Aptos Narrow" w:hAnsi="Aptos Narrow"/>
                <w:color w:val="000000"/>
                <w:sz w:val="20"/>
                <w:szCs w:val="20"/>
              </w:rPr>
              <w:t xml:space="preserve">Overall (1993–2022) </w:t>
            </w:r>
            <w:r>
              <w:rPr>
                <w:rFonts w:ascii="Aptos Narrow" w:hAnsi="Aptos Narrow"/>
                <w:color w:val="000000"/>
                <w:sz w:val="20"/>
                <w:szCs w:val="20"/>
              </w:rPr>
              <w:t xml:space="preserve">counts of </w:t>
            </w:r>
            <w:r w:rsidRPr="004964DF">
              <w:rPr>
                <w:rFonts w:ascii="Aptos Narrow" w:hAnsi="Aptos Narrow"/>
                <w:color w:val="000000"/>
                <w:sz w:val="20"/>
                <w:szCs w:val="20"/>
              </w:rPr>
              <w:t>late/unknown-stage</w:t>
            </w:r>
            <w:r>
              <w:rPr>
                <w:rFonts w:ascii="Aptos Narrow" w:hAnsi="Aptos Narrow"/>
                <w:color w:val="000000"/>
                <w:sz w:val="20"/>
                <w:szCs w:val="20"/>
              </w:rPr>
              <w:t xml:space="preserve"> diagnosis – as well as one-way and two-way stratified counts (2019-2022) by</w:t>
            </w:r>
            <w:r w:rsidRPr="004964DF">
              <w:rPr>
                <w:rFonts w:ascii="Aptos Narrow" w:hAnsi="Aptos Narrow"/>
                <w:color w:val="000000"/>
                <w:sz w:val="20"/>
                <w:szCs w:val="20"/>
              </w:rPr>
              <w:t xml:space="preserve"> sex, race, and age</w:t>
            </w:r>
            <w:r w:rsidR="00EA0894" w:rsidRPr="004964DF">
              <w:rPr>
                <w:rFonts w:ascii="Aptos Narrow" w:hAnsi="Aptos Narrow"/>
                <w:color w:val="000000"/>
                <w:sz w:val="20"/>
                <w:szCs w:val="20"/>
              </w:rPr>
              <w:t>.</w:t>
            </w:r>
          </w:p>
        </w:tc>
        <w:tc>
          <w:tcPr>
            <w:tcW w:w="1350" w:type="dxa"/>
          </w:tcPr>
          <w:p w14:paraId="333D2572" w14:textId="1CFF1329" w:rsidR="00EA0894" w:rsidRPr="004964DF" w:rsidRDefault="00EA0894" w:rsidP="003A1C2A">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0"/>
                <w:szCs w:val="20"/>
              </w:rPr>
            </w:pPr>
          </w:p>
        </w:tc>
      </w:tr>
      <w:tr w:rsidR="00EA0894" w:rsidRPr="003A1C2A" w14:paraId="1A51DEE9" w14:textId="5DC111F1" w:rsidTr="00EA0894">
        <w:trPr>
          <w:trHeight w:val="400"/>
        </w:trPr>
        <w:tc>
          <w:tcPr>
            <w:cnfStyle w:val="001000000000" w:firstRow="0" w:lastRow="0" w:firstColumn="1" w:lastColumn="0" w:oddVBand="0" w:evenVBand="0" w:oddHBand="0" w:evenHBand="0" w:firstRowFirstColumn="0" w:firstRowLastColumn="0" w:lastRowFirstColumn="0" w:lastRowLastColumn="0"/>
            <w:tcW w:w="2605" w:type="dxa"/>
            <w:noWrap/>
            <w:hideMark/>
          </w:tcPr>
          <w:p w14:paraId="4A1C8271" w14:textId="45645539" w:rsidR="00EA0894" w:rsidRPr="004964DF" w:rsidRDefault="00EA0894" w:rsidP="003A1C2A">
            <w:pPr>
              <w:pStyle w:val="NoSpacing"/>
              <w:rPr>
                <w:sz w:val="20"/>
                <w:szCs w:val="20"/>
              </w:rPr>
            </w:pPr>
            <w:r w:rsidRPr="004964DF">
              <w:rPr>
                <w:sz w:val="20"/>
                <w:szCs w:val="20"/>
              </w:rPr>
              <w:t xml:space="preserve">HIV testing </w:t>
            </w:r>
            <w:r>
              <w:rPr>
                <w:sz w:val="20"/>
                <w:szCs w:val="20"/>
              </w:rPr>
              <w:t>patterns</w:t>
            </w:r>
            <w:r w:rsidRPr="004964DF">
              <w:rPr>
                <w:sz w:val="20"/>
                <w:szCs w:val="20"/>
              </w:rPr>
              <w:t xml:space="preserve"> </w:t>
            </w:r>
          </w:p>
        </w:tc>
        <w:tc>
          <w:tcPr>
            <w:tcW w:w="5940" w:type="dxa"/>
            <w:noWrap/>
            <w:hideMark/>
          </w:tcPr>
          <w:p w14:paraId="42C4FE05" w14:textId="700999EA" w:rsidR="00EA0894" w:rsidRPr="004964DF" w:rsidRDefault="00EA0894" w:rsidP="00814A1A">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0"/>
                <w:szCs w:val="20"/>
              </w:rPr>
            </w:pPr>
            <w:r>
              <w:rPr>
                <w:rFonts w:ascii="Aptos Narrow" w:hAnsi="Aptos Narrow"/>
                <w:color w:val="000000"/>
                <w:sz w:val="20"/>
                <w:szCs w:val="20"/>
              </w:rPr>
              <w:t>P</w:t>
            </w:r>
            <w:r w:rsidRPr="004964DF">
              <w:rPr>
                <w:rFonts w:ascii="Aptos Narrow" w:hAnsi="Aptos Narrow"/>
                <w:color w:val="000000"/>
                <w:sz w:val="20"/>
                <w:szCs w:val="20"/>
              </w:rPr>
              <w:t>roportion</w:t>
            </w:r>
            <w:r>
              <w:rPr>
                <w:rFonts w:ascii="Aptos Narrow" w:hAnsi="Aptos Narrow"/>
                <w:color w:val="000000"/>
                <w:sz w:val="20"/>
                <w:szCs w:val="20"/>
              </w:rPr>
              <w:t xml:space="preserve"> of </w:t>
            </w:r>
            <w:r w:rsidRPr="004964DF">
              <w:rPr>
                <w:rFonts w:ascii="Aptos Narrow" w:hAnsi="Aptos Narrow"/>
                <w:color w:val="000000"/>
                <w:sz w:val="20"/>
                <w:szCs w:val="20"/>
              </w:rPr>
              <w:t>adults</w:t>
            </w:r>
            <w:r>
              <w:rPr>
                <w:rFonts w:ascii="Aptos Narrow" w:hAnsi="Aptos Narrow"/>
                <w:color w:val="000000"/>
                <w:sz w:val="20"/>
                <w:szCs w:val="20"/>
              </w:rPr>
              <w:t xml:space="preserve"> with</w:t>
            </w:r>
            <w:r w:rsidR="00814A1A">
              <w:rPr>
                <w:rFonts w:ascii="Aptos Narrow" w:hAnsi="Aptos Narrow"/>
                <w:color w:val="000000"/>
                <w:sz w:val="20"/>
                <w:szCs w:val="20"/>
              </w:rPr>
              <w:t xml:space="preserve"> an</w:t>
            </w:r>
            <w:r>
              <w:rPr>
                <w:rFonts w:ascii="Aptos Narrow" w:hAnsi="Aptos Narrow"/>
                <w:color w:val="000000"/>
                <w:sz w:val="20"/>
                <w:szCs w:val="20"/>
              </w:rPr>
              <w:t xml:space="preserve"> HIV test in the past 12M </w:t>
            </w:r>
            <w:r w:rsidR="00814A1A">
              <w:rPr>
                <w:rFonts w:ascii="Aptos Narrow" w:hAnsi="Aptos Narrow"/>
                <w:color w:val="000000"/>
                <w:sz w:val="20"/>
                <w:szCs w:val="20"/>
              </w:rPr>
              <w:t>–</w:t>
            </w:r>
            <w:r>
              <w:rPr>
                <w:rFonts w:ascii="Aptos Narrow" w:hAnsi="Aptos Narrow"/>
                <w:color w:val="000000"/>
                <w:sz w:val="20"/>
                <w:szCs w:val="20"/>
              </w:rPr>
              <w:t xml:space="preserve"> </w:t>
            </w:r>
            <w:r w:rsidRPr="004964DF">
              <w:rPr>
                <w:rFonts w:ascii="Aptos Narrow" w:hAnsi="Aptos Narrow"/>
                <w:color w:val="000000"/>
                <w:sz w:val="20"/>
                <w:szCs w:val="20"/>
              </w:rPr>
              <w:t>overall by age</w:t>
            </w:r>
            <w:r>
              <w:rPr>
                <w:rFonts w:ascii="Aptos Narrow" w:hAnsi="Aptos Narrow"/>
                <w:color w:val="000000"/>
                <w:sz w:val="20"/>
                <w:szCs w:val="20"/>
              </w:rPr>
              <w:t xml:space="preserve">, </w:t>
            </w:r>
            <w:r w:rsidRPr="004964DF">
              <w:rPr>
                <w:rFonts w:ascii="Aptos Narrow" w:hAnsi="Aptos Narrow"/>
                <w:color w:val="000000"/>
                <w:sz w:val="20"/>
                <w:szCs w:val="20"/>
              </w:rPr>
              <w:t xml:space="preserve">race </w:t>
            </w:r>
            <w:r>
              <w:rPr>
                <w:rFonts w:ascii="Aptos Narrow" w:hAnsi="Aptos Narrow"/>
                <w:color w:val="000000"/>
                <w:sz w:val="20"/>
                <w:szCs w:val="20"/>
              </w:rPr>
              <w:t xml:space="preserve">and </w:t>
            </w:r>
            <w:r w:rsidRPr="004964DF">
              <w:rPr>
                <w:rFonts w:ascii="Aptos Narrow" w:hAnsi="Aptos Narrow"/>
                <w:color w:val="000000"/>
                <w:sz w:val="20"/>
                <w:szCs w:val="20"/>
              </w:rPr>
              <w:t>sex</w:t>
            </w:r>
            <w:r>
              <w:rPr>
                <w:rFonts w:ascii="Aptos Narrow" w:hAnsi="Aptos Narrow"/>
                <w:color w:val="000000"/>
                <w:sz w:val="20"/>
                <w:szCs w:val="20"/>
              </w:rPr>
              <w:t xml:space="preserve"> </w:t>
            </w:r>
            <w:r w:rsidR="00814A1A">
              <w:rPr>
                <w:rFonts w:ascii="Aptos Narrow" w:hAnsi="Aptos Narrow"/>
                <w:color w:val="000000"/>
                <w:sz w:val="20"/>
                <w:szCs w:val="20"/>
              </w:rPr>
              <w:t xml:space="preserve">– </w:t>
            </w:r>
            <w:r w:rsidRPr="004964DF">
              <w:rPr>
                <w:rFonts w:ascii="Aptos Narrow" w:hAnsi="Aptos Narrow"/>
                <w:color w:val="000000"/>
                <w:sz w:val="20"/>
                <w:szCs w:val="20"/>
              </w:rPr>
              <w:t xml:space="preserve">to align </w:t>
            </w:r>
            <w:r w:rsidR="00814A1A">
              <w:rPr>
                <w:rFonts w:ascii="Aptos Narrow" w:hAnsi="Aptos Narrow"/>
                <w:color w:val="000000"/>
                <w:sz w:val="20"/>
                <w:szCs w:val="20"/>
              </w:rPr>
              <w:t xml:space="preserve">STI </w:t>
            </w:r>
            <w:r w:rsidRPr="004964DF">
              <w:rPr>
                <w:rFonts w:ascii="Aptos Narrow" w:hAnsi="Aptos Narrow"/>
                <w:color w:val="000000"/>
                <w:sz w:val="20"/>
                <w:szCs w:val="20"/>
              </w:rPr>
              <w:t>testing behavior.</w:t>
            </w:r>
          </w:p>
        </w:tc>
        <w:tc>
          <w:tcPr>
            <w:tcW w:w="1350" w:type="dxa"/>
          </w:tcPr>
          <w:p w14:paraId="52DA4236" w14:textId="01335B76" w:rsidR="00EA0894" w:rsidRPr="004964DF" w:rsidRDefault="00EA0894" w:rsidP="003A1C2A">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0"/>
                <w:szCs w:val="20"/>
              </w:rPr>
            </w:pPr>
          </w:p>
        </w:tc>
      </w:tr>
      <w:tr w:rsidR="00EA0894" w:rsidRPr="003A1C2A" w14:paraId="66FEB7DA" w14:textId="7C0D93DF" w:rsidTr="00EA0894">
        <w:trPr>
          <w:trHeight w:val="400"/>
        </w:trPr>
        <w:tc>
          <w:tcPr>
            <w:cnfStyle w:val="001000000000" w:firstRow="0" w:lastRow="0" w:firstColumn="1" w:lastColumn="0" w:oddVBand="0" w:evenVBand="0" w:oddHBand="0" w:evenHBand="0" w:firstRowFirstColumn="0" w:firstRowLastColumn="0" w:lastRowFirstColumn="0" w:lastRowLastColumn="0"/>
            <w:tcW w:w="2605" w:type="dxa"/>
            <w:noWrap/>
            <w:hideMark/>
          </w:tcPr>
          <w:p w14:paraId="51E142FF" w14:textId="77777777" w:rsidR="00EA0894" w:rsidRPr="004964DF" w:rsidRDefault="00EA0894" w:rsidP="003A1C2A">
            <w:pPr>
              <w:pStyle w:val="NoSpacing"/>
              <w:rPr>
                <w:sz w:val="20"/>
                <w:szCs w:val="20"/>
              </w:rPr>
            </w:pPr>
            <w:r w:rsidRPr="004964DF">
              <w:rPr>
                <w:sz w:val="20"/>
                <w:szCs w:val="20"/>
              </w:rPr>
              <w:t xml:space="preserve">Historical diagnosis penalty (1970–1990) </w:t>
            </w:r>
          </w:p>
        </w:tc>
        <w:tc>
          <w:tcPr>
            <w:tcW w:w="5940" w:type="dxa"/>
            <w:noWrap/>
            <w:hideMark/>
          </w:tcPr>
          <w:p w14:paraId="49D40CE0" w14:textId="307B48E2" w:rsidR="00EA0894" w:rsidRPr="004964DF" w:rsidRDefault="00EA0894" w:rsidP="003A1C2A">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0"/>
                <w:szCs w:val="20"/>
              </w:rPr>
            </w:pPr>
            <w:r w:rsidRPr="004964DF">
              <w:rPr>
                <w:rFonts w:ascii="Aptos Narrow" w:hAnsi="Aptos Narrow"/>
                <w:color w:val="000000"/>
                <w:sz w:val="20"/>
                <w:szCs w:val="20"/>
              </w:rPr>
              <w:t>Nationally informed bounds on pre-1990 total diagnoses to prevent implausible early trajectories</w:t>
            </w:r>
            <w:r w:rsidR="00814A1A">
              <w:rPr>
                <w:rFonts w:ascii="Aptos Narrow" w:hAnsi="Aptos Narrow"/>
                <w:color w:val="000000"/>
                <w:sz w:val="20"/>
                <w:szCs w:val="20"/>
              </w:rPr>
              <w:t>.</w:t>
            </w:r>
          </w:p>
        </w:tc>
        <w:tc>
          <w:tcPr>
            <w:tcW w:w="1350" w:type="dxa"/>
          </w:tcPr>
          <w:p w14:paraId="2FEEC241" w14:textId="37DADE05" w:rsidR="00EA0894" w:rsidRPr="004964DF" w:rsidRDefault="00EA0894" w:rsidP="003A1C2A">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0"/>
                <w:szCs w:val="20"/>
              </w:rPr>
            </w:pPr>
          </w:p>
        </w:tc>
      </w:tr>
      <w:tr w:rsidR="00EA0894" w:rsidRPr="003A1C2A" w14:paraId="0702DE1C" w14:textId="7302DA16" w:rsidTr="00EA0894">
        <w:trPr>
          <w:trHeight w:val="400"/>
        </w:trPr>
        <w:tc>
          <w:tcPr>
            <w:cnfStyle w:val="001000000000" w:firstRow="0" w:lastRow="0" w:firstColumn="1" w:lastColumn="0" w:oddVBand="0" w:evenVBand="0" w:oddHBand="0" w:evenHBand="0" w:firstRowFirstColumn="0" w:firstRowLastColumn="0" w:lastRowFirstColumn="0" w:lastRowLastColumn="0"/>
            <w:tcW w:w="2605" w:type="dxa"/>
            <w:noWrap/>
            <w:hideMark/>
          </w:tcPr>
          <w:p w14:paraId="54E0152A" w14:textId="77777777" w:rsidR="00EA0894" w:rsidRPr="004964DF" w:rsidRDefault="00EA0894" w:rsidP="003A1C2A">
            <w:pPr>
              <w:pStyle w:val="NoSpacing"/>
              <w:rPr>
                <w:sz w:val="20"/>
                <w:szCs w:val="20"/>
              </w:rPr>
            </w:pPr>
            <w:r w:rsidRPr="004964DF">
              <w:rPr>
                <w:sz w:val="20"/>
                <w:szCs w:val="20"/>
              </w:rPr>
              <w:t xml:space="preserve">Proportion of male diagnoses among MSM (2018–2022) </w:t>
            </w:r>
          </w:p>
        </w:tc>
        <w:tc>
          <w:tcPr>
            <w:tcW w:w="5940" w:type="dxa"/>
            <w:noWrap/>
            <w:hideMark/>
          </w:tcPr>
          <w:p w14:paraId="3398C679" w14:textId="4F13A98D" w:rsidR="00EA0894" w:rsidRPr="004964DF" w:rsidRDefault="00EA0894" w:rsidP="003A1C2A">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0"/>
                <w:szCs w:val="20"/>
              </w:rPr>
            </w:pPr>
            <w:r w:rsidRPr="004964DF">
              <w:rPr>
                <w:rFonts w:ascii="Aptos Narrow" w:hAnsi="Aptos Narrow"/>
                <w:color w:val="000000"/>
                <w:sz w:val="20"/>
                <w:szCs w:val="20"/>
              </w:rPr>
              <w:t>Lower-bound constraint on the share of male diagnoses occurring among MSM to maintain plausible recent sexual-network patterns.</w:t>
            </w:r>
          </w:p>
        </w:tc>
        <w:tc>
          <w:tcPr>
            <w:tcW w:w="1350" w:type="dxa"/>
          </w:tcPr>
          <w:p w14:paraId="4F75676A" w14:textId="0680D21F" w:rsidR="00EA0894" w:rsidRPr="004964DF" w:rsidRDefault="00EA0894" w:rsidP="003A1C2A">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0"/>
                <w:szCs w:val="20"/>
              </w:rPr>
            </w:pPr>
          </w:p>
        </w:tc>
      </w:tr>
      <w:tr w:rsidR="00EA0894" w:rsidRPr="003A1C2A" w14:paraId="00864CF5" w14:textId="24F2AD3E" w:rsidTr="00EA0894">
        <w:trPr>
          <w:trHeight w:val="400"/>
        </w:trPr>
        <w:tc>
          <w:tcPr>
            <w:cnfStyle w:val="001000000000" w:firstRow="0" w:lastRow="0" w:firstColumn="1" w:lastColumn="0" w:oddVBand="0" w:evenVBand="0" w:oddHBand="0" w:evenHBand="0" w:firstRowFirstColumn="0" w:firstRowLastColumn="0" w:lastRowFirstColumn="0" w:lastRowLastColumn="0"/>
            <w:tcW w:w="2605" w:type="dxa"/>
            <w:noWrap/>
            <w:hideMark/>
          </w:tcPr>
          <w:p w14:paraId="140F9CF6" w14:textId="77777777" w:rsidR="00EA0894" w:rsidRPr="004964DF" w:rsidRDefault="00EA0894" w:rsidP="003A1C2A">
            <w:pPr>
              <w:pStyle w:val="NoSpacing"/>
              <w:rPr>
                <w:sz w:val="20"/>
                <w:szCs w:val="20"/>
              </w:rPr>
            </w:pPr>
            <w:r w:rsidRPr="004964DF">
              <w:rPr>
                <w:sz w:val="20"/>
                <w:szCs w:val="20"/>
              </w:rPr>
              <w:t xml:space="preserve">Future change penalty (PS 2030 vs 2020) </w:t>
            </w:r>
          </w:p>
        </w:tc>
        <w:tc>
          <w:tcPr>
            <w:tcW w:w="5940" w:type="dxa"/>
            <w:noWrap/>
            <w:hideMark/>
          </w:tcPr>
          <w:p w14:paraId="3605331A" w14:textId="082F9D2D" w:rsidR="00EA0894" w:rsidRPr="004964DF" w:rsidRDefault="00EA0894" w:rsidP="003A1C2A">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0"/>
                <w:szCs w:val="20"/>
              </w:rPr>
            </w:pPr>
            <w:r w:rsidRPr="004964DF">
              <w:rPr>
                <w:rFonts w:ascii="Aptos Narrow" w:hAnsi="Aptos Narrow"/>
                <w:color w:val="000000"/>
                <w:sz w:val="20"/>
                <w:szCs w:val="20"/>
              </w:rPr>
              <w:t>Ten-year ratio constraint (lognormal-based) on PS diagnoses to discourage extreme growth beyond empirically supported range</w:t>
            </w:r>
            <w:r w:rsidR="00814A1A">
              <w:rPr>
                <w:rFonts w:ascii="Aptos Narrow" w:hAnsi="Aptos Narrow"/>
                <w:color w:val="000000"/>
                <w:sz w:val="20"/>
                <w:szCs w:val="20"/>
              </w:rPr>
              <w:t>s</w:t>
            </w:r>
            <w:r w:rsidRPr="004964DF">
              <w:rPr>
                <w:rFonts w:ascii="Aptos Narrow" w:hAnsi="Aptos Narrow"/>
                <w:color w:val="000000"/>
                <w:sz w:val="20"/>
                <w:szCs w:val="20"/>
              </w:rPr>
              <w:t>.</w:t>
            </w:r>
          </w:p>
        </w:tc>
        <w:tc>
          <w:tcPr>
            <w:tcW w:w="1350" w:type="dxa"/>
          </w:tcPr>
          <w:p w14:paraId="0CECEED4" w14:textId="69476C39" w:rsidR="00EA0894" w:rsidRPr="004964DF" w:rsidRDefault="00EA0894" w:rsidP="003A1C2A">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0"/>
                <w:szCs w:val="20"/>
              </w:rPr>
            </w:pPr>
          </w:p>
        </w:tc>
      </w:tr>
    </w:tbl>
    <w:p w14:paraId="4576C1BE" w14:textId="77777777" w:rsidR="003A1C2A" w:rsidRDefault="003A1C2A" w:rsidP="003A1C2A">
      <w:pPr>
        <w:pStyle w:val="NoSpacing"/>
      </w:pPr>
    </w:p>
    <w:p w14:paraId="63D09BF5" w14:textId="77777777" w:rsidR="004964DF" w:rsidRDefault="004964DF" w:rsidP="003A1C2A">
      <w:pPr>
        <w:pStyle w:val="NoSpacing"/>
      </w:pPr>
    </w:p>
    <w:p w14:paraId="61DAA432" w14:textId="77777777" w:rsidR="004964DF" w:rsidRDefault="004964DF" w:rsidP="003A1C2A">
      <w:pPr>
        <w:pStyle w:val="NoSpacing"/>
      </w:pPr>
    </w:p>
    <w:p w14:paraId="1237146D" w14:textId="77777777" w:rsidR="004964DF" w:rsidRDefault="004964DF">
      <w:r>
        <w:br w:type="page"/>
      </w:r>
    </w:p>
    <w:p w14:paraId="0FE239DD" w14:textId="1BD9EBC8" w:rsidR="004964DF" w:rsidRDefault="004964DF" w:rsidP="00444F85">
      <w:pPr>
        <w:pStyle w:val="Heading3"/>
      </w:pPr>
      <w:r>
        <w:lastRenderedPageBreak/>
        <w:t>Calibration parameters</w:t>
      </w:r>
    </w:p>
    <w:p w14:paraId="678D7E50" w14:textId="4A5CF169" w:rsidR="00ED71D4" w:rsidRDefault="00ED71D4" w:rsidP="00ED71D4">
      <w:r w:rsidRPr="00ED71D4">
        <w:t xml:space="preserve">Informative priors were specified </w:t>
      </w:r>
      <w:r>
        <w:t>for all parameters</w:t>
      </w:r>
      <w:r w:rsidRPr="00ED71D4">
        <w:t xml:space="preserve"> using available sources. Rate multipliers were assigned log-normal priors with meanlog = 0, corresponding to a median multiplier of 1 (i.e., no a priori directional shift from the reference rate), and sdlog = log(2)/2, such that ±2 standard deviations on the log scale spans a four-fold range (0.5× to 2×), encompassing halving or doubling of the baseline rate. Parameters representing probabilities or proportions were assigned logit-normal priors with the mean </w:t>
      </w:r>
      <w:r>
        <w:t xml:space="preserve">and </w:t>
      </w:r>
      <w:r w:rsidRPr="00ED71D4">
        <w:t>standard deviations on the logit scale set to the logit-transformed literature estimate</w:t>
      </w:r>
      <w:r w:rsidR="002615E2">
        <w:t>s</w:t>
      </w:r>
      <w:r w:rsidRPr="00ED71D4">
        <w:t xml:space="preserve">. </w:t>
      </w:r>
    </w:p>
    <w:p w14:paraId="718AD4DE" w14:textId="77777777" w:rsidR="00ED71D4" w:rsidRPr="00ED71D4" w:rsidRDefault="00ED71D4" w:rsidP="00ED71D4"/>
    <w:tbl>
      <w:tblPr>
        <w:tblStyle w:val="GridTable1Light"/>
        <w:tblW w:w="11332" w:type="dxa"/>
        <w:tblLook w:val="04A0" w:firstRow="1" w:lastRow="0" w:firstColumn="1" w:lastColumn="0" w:noHBand="0" w:noVBand="1"/>
      </w:tblPr>
      <w:tblGrid>
        <w:gridCol w:w="2785"/>
        <w:gridCol w:w="4546"/>
        <w:gridCol w:w="3509"/>
        <w:gridCol w:w="492"/>
      </w:tblGrid>
      <w:tr w:rsidR="004964DF" w:rsidRPr="003256B3" w14:paraId="0216152B" w14:textId="7AE70985" w:rsidTr="004964DF">
        <w:trPr>
          <w:cnfStyle w:val="100000000000" w:firstRow="1" w:lastRow="0" w:firstColumn="0" w:lastColumn="0" w:oddVBand="0" w:evenVBand="0" w:oddHBand="0"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2785" w:type="dxa"/>
            <w:noWrap/>
          </w:tcPr>
          <w:p w14:paraId="4BD27420" w14:textId="44ED6AEC" w:rsidR="004964DF" w:rsidRPr="003256B3" w:rsidRDefault="004964DF" w:rsidP="004964DF">
            <w:pPr>
              <w:pStyle w:val="NoSpacing"/>
              <w:rPr>
                <w:rFonts w:ascii="Aptos Narrow" w:hAnsi="Aptos Narrow"/>
                <w:color w:val="000000"/>
                <w:sz w:val="18"/>
                <w:szCs w:val="18"/>
              </w:rPr>
            </w:pPr>
            <w:r w:rsidRPr="003256B3">
              <w:rPr>
                <w:sz w:val="18"/>
                <w:szCs w:val="18"/>
              </w:rPr>
              <w:t>Parameter group</w:t>
            </w:r>
          </w:p>
        </w:tc>
        <w:tc>
          <w:tcPr>
            <w:tcW w:w="4546" w:type="dxa"/>
            <w:noWrap/>
          </w:tcPr>
          <w:p w14:paraId="63BDC365" w14:textId="1FB47D15" w:rsidR="004964DF" w:rsidRPr="003256B3" w:rsidRDefault="004964DF" w:rsidP="004964DF">
            <w:pPr>
              <w:pStyle w:val="NoSpacing"/>
              <w:cnfStyle w:val="100000000000" w:firstRow="1"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3256B3">
              <w:rPr>
                <w:rFonts w:ascii="Aptos Narrow" w:hAnsi="Aptos Narrow"/>
                <w:color w:val="000000"/>
                <w:sz w:val="18"/>
                <w:szCs w:val="18"/>
              </w:rPr>
              <w:t>Description</w:t>
            </w:r>
          </w:p>
        </w:tc>
        <w:tc>
          <w:tcPr>
            <w:tcW w:w="3509" w:type="dxa"/>
            <w:noWrap/>
          </w:tcPr>
          <w:p w14:paraId="01FDD662" w14:textId="1CE203D5" w:rsidR="004964DF" w:rsidRPr="003256B3" w:rsidRDefault="004964DF" w:rsidP="004964DF">
            <w:pPr>
              <w:pStyle w:val="NoSpacing"/>
              <w:cnfStyle w:val="100000000000" w:firstRow="1"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3256B3">
              <w:rPr>
                <w:rFonts w:ascii="Aptos Narrow" w:hAnsi="Aptos Narrow"/>
                <w:color w:val="000000"/>
                <w:sz w:val="18"/>
                <w:szCs w:val="18"/>
              </w:rPr>
              <w:t>Prior</w:t>
            </w:r>
          </w:p>
        </w:tc>
        <w:tc>
          <w:tcPr>
            <w:tcW w:w="492" w:type="dxa"/>
          </w:tcPr>
          <w:p w14:paraId="0C653D90" w14:textId="17059AEF" w:rsidR="004964DF" w:rsidRPr="003256B3" w:rsidRDefault="004964DF" w:rsidP="004964DF">
            <w:pPr>
              <w:pStyle w:val="NoSpacing"/>
              <w:cnfStyle w:val="100000000000" w:firstRow="1"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3256B3">
              <w:rPr>
                <w:rFonts w:ascii="Aptos Narrow" w:hAnsi="Aptos Narrow"/>
                <w:color w:val="000000"/>
                <w:sz w:val="18"/>
                <w:szCs w:val="18"/>
              </w:rPr>
              <w:t>Ref</w:t>
            </w:r>
          </w:p>
        </w:tc>
      </w:tr>
      <w:tr w:rsidR="004964DF" w:rsidRPr="003256B3" w14:paraId="2817FE1F" w14:textId="77777777" w:rsidTr="004964DF">
        <w:trPr>
          <w:trHeight w:val="400"/>
        </w:trPr>
        <w:tc>
          <w:tcPr>
            <w:cnfStyle w:val="001000000000" w:firstRow="0" w:lastRow="0" w:firstColumn="1" w:lastColumn="0" w:oddVBand="0" w:evenVBand="0" w:oddHBand="0" w:evenHBand="0" w:firstRowFirstColumn="0" w:firstRowLastColumn="0" w:lastRowFirstColumn="0" w:lastRowLastColumn="0"/>
            <w:tcW w:w="2785" w:type="dxa"/>
            <w:shd w:val="clear" w:color="auto" w:fill="D1D1D1" w:themeFill="background2" w:themeFillShade="E6"/>
            <w:noWrap/>
          </w:tcPr>
          <w:p w14:paraId="3B2376B2" w14:textId="6CF2E40E" w:rsidR="004964DF" w:rsidRPr="003256B3" w:rsidRDefault="004964DF" w:rsidP="004964DF">
            <w:pPr>
              <w:pStyle w:val="NoSpacing"/>
              <w:rPr>
                <w:rFonts w:ascii="Aptos Narrow" w:hAnsi="Aptos Narrow"/>
                <w:color w:val="000000"/>
                <w:sz w:val="18"/>
                <w:szCs w:val="18"/>
              </w:rPr>
            </w:pPr>
            <w:r w:rsidRPr="003256B3">
              <w:rPr>
                <w:sz w:val="18"/>
                <w:szCs w:val="18"/>
              </w:rPr>
              <w:t xml:space="preserve">Population demographics </w:t>
            </w:r>
          </w:p>
        </w:tc>
        <w:tc>
          <w:tcPr>
            <w:tcW w:w="4546" w:type="dxa"/>
            <w:shd w:val="clear" w:color="auto" w:fill="D1D1D1" w:themeFill="background2" w:themeFillShade="E6"/>
            <w:noWrap/>
          </w:tcPr>
          <w:p w14:paraId="5A8D543E" w14:textId="77777777"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p>
        </w:tc>
        <w:tc>
          <w:tcPr>
            <w:tcW w:w="3509" w:type="dxa"/>
            <w:shd w:val="clear" w:color="auto" w:fill="D1D1D1" w:themeFill="background2" w:themeFillShade="E6"/>
            <w:noWrap/>
          </w:tcPr>
          <w:p w14:paraId="7AE5B698" w14:textId="77777777"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p>
        </w:tc>
        <w:tc>
          <w:tcPr>
            <w:tcW w:w="492" w:type="dxa"/>
            <w:shd w:val="clear" w:color="auto" w:fill="D1D1D1" w:themeFill="background2" w:themeFillShade="E6"/>
          </w:tcPr>
          <w:p w14:paraId="599AF0E2" w14:textId="77777777"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p>
        </w:tc>
      </w:tr>
      <w:tr w:rsidR="004964DF" w:rsidRPr="003256B3" w14:paraId="363A8F25" w14:textId="77777777" w:rsidTr="004964DF">
        <w:trPr>
          <w:trHeight w:val="400"/>
        </w:trPr>
        <w:tc>
          <w:tcPr>
            <w:cnfStyle w:val="001000000000" w:firstRow="0" w:lastRow="0" w:firstColumn="1" w:lastColumn="0" w:oddVBand="0" w:evenVBand="0" w:oddHBand="0" w:evenHBand="0" w:firstRowFirstColumn="0" w:firstRowLastColumn="0" w:lastRowFirstColumn="0" w:lastRowLastColumn="0"/>
            <w:tcW w:w="2785" w:type="dxa"/>
            <w:noWrap/>
          </w:tcPr>
          <w:p w14:paraId="58F6F324" w14:textId="6AA63749" w:rsidR="004964DF" w:rsidRPr="003256B3" w:rsidRDefault="004964DF" w:rsidP="004964DF">
            <w:pPr>
              <w:pStyle w:val="NoSpacing"/>
              <w:rPr>
                <w:rFonts w:ascii="Aptos Narrow" w:hAnsi="Aptos Narrow"/>
                <w:color w:val="000000"/>
                <w:sz w:val="18"/>
                <w:szCs w:val="18"/>
              </w:rPr>
            </w:pPr>
            <w:r w:rsidRPr="003256B3">
              <w:rPr>
                <w:rFonts w:ascii="Aptos Narrow" w:hAnsi="Aptos Narrow"/>
                <w:color w:val="000000"/>
                <w:sz w:val="18"/>
                <w:szCs w:val="18"/>
              </w:rPr>
              <w:t xml:space="preserve">Fertility multipliers (by race, by fertile age) </w:t>
            </w:r>
          </w:p>
        </w:tc>
        <w:tc>
          <w:tcPr>
            <w:tcW w:w="4546" w:type="dxa"/>
            <w:noWrap/>
          </w:tcPr>
          <w:p w14:paraId="14DA7F40" w14:textId="0E0A260E"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3256B3">
              <w:rPr>
                <w:rFonts w:ascii="Aptos Narrow" w:hAnsi="Aptos Narrow"/>
                <w:color w:val="000000"/>
                <w:sz w:val="18"/>
                <w:szCs w:val="18"/>
              </w:rPr>
              <w:t xml:space="preserve"> Multiplicative adjustments to baseline fertility across races (Black, Hispanic, Other) and fertile age bands (15–19 to 40–44) at two time knots, allowing location- and age-specific deviations in births. </w:t>
            </w:r>
          </w:p>
        </w:tc>
        <w:tc>
          <w:tcPr>
            <w:tcW w:w="3509" w:type="dxa"/>
            <w:noWrap/>
          </w:tcPr>
          <w:p w14:paraId="1D50858E" w14:textId="6FD19480"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3256B3">
              <w:rPr>
                <w:rFonts w:ascii="Aptos Narrow" w:hAnsi="Aptos Narrow"/>
                <w:color w:val="000000"/>
                <w:sz w:val="18"/>
                <w:szCs w:val="18"/>
              </w:rPr>
              <w:t xml:space="preserve"> Lognormal(meanlog=0, sdlog=</w:t>
            </w:r>
            <w:r w:rsidR="00ED71D4">
              <w:rPr>
                <w:rFonts w:ascii="Aptos Narrow" w:hAnsi="Aptos Narrow"/>
                <w:color w:val="000000"/>
                <w:sz w:val="18"/>
                <w:szCs w:val="18"/>
              </w:rPr>
              <w:t>log(2)/2</w:t>
            </w:r>
            <w:r w:rsidRPr="003256B3">
              <w:rPr>
                <w:rFonts w:ascii="Aptos Narrow" w:hAnsi="Aptos Narrow"/>
                <w:color w:val="000000"/>
                <w:sz w:val="18"/>
                <w:szCs w:val="18"/>
              </w:rPr>
              <w:t>) for all (weakly informative).</w:t>
            </w:r>
          </w:p>
        </w:tc>
        <w:tc>
          <w:tcPr>
            <w:tcW w:w="492" w:type="dxa"/>
          </w:tcPr>
          <w:p w14:paraId="3520611E" w14:textId="77777777"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p>
        </w:tc>
      </w:tr>
      <w:tr w:rsidR="004964DF" w:rsidRPr="003256B3" w14:paraId="3BCB872B" w14:textId="22F775BC" w:rsidTr="004964DF">
        <w:trPr>
          <w:trHeight w:val="400"/>
        </w:trPr>
        <w:tc>
          <w:tcPr>
            <w:cnfStyle w:val="001000000000" w:firstRow="0" w:lastRow="0" w:firstColumn="1" w:lastColumn="0" w:oddVBand="0" w:evenVBand="0" w:oddHBand="0" w:evenHBand="0" w:firstRowFirstColumn="0" w:firstRowLastColumn="0" w:lastRowFirstColumn="0" w:lastRowLastColumn="0"/>
            <w:tcW w:w="2785" w:type="dxa"/>
            <w:noWrap/>
            <w:hideMark/>
          </w:tcPr>
          <w:p w14:paraId="5DC29048" w14:textId="05A3EC2D" w:rsidR="004964DF" w:rsidRPr="003256B3" w:rsidRDefault="004964DF" w:rsidP="004964DF">
            <w:pPr>
              <w:pStyle w:val="NoSpacing"/>
              <w:rPr>
                <w:rFonts w:ascii="Aptos Narrow" w:hAnsi="Aptos Narrow"/>
                <w:color w:val="000000"/>
                <w:sz w:val="18"/>
                <w:szCs w:val="18"/>
              </w:rPr>
            </w:pPr>
            <w:r w:rsidRPr="003256B3">
              <w:rPr>
                <w:rFonts w:ascii="Aptos Narrow" w:hAnsi="Aptos Narrow"/>
                <w:color w:val="000000"/>
                <w:sz w:val="18"/>
                <w:szCs w:val="18"/>
              </w:rPr>
              <w:t xml:space="preserve">General mortality multipliers (by race, by sex) </w:t>
            </w:r>
          </w:p>
        </w:tc>
        <w:tc>
          <w:tcPr>
            <w:tcW w:w="4546" w:type="dxa"/>
            <w:noWrap/>
            <w:hideMark/>
          </w:tcPr>
          <w:p w14:paraId="0C25F293" w14:textId="50E969B7"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3256B3">
              <w:rPr>
                <w:rFonts w:ascii="Aptos Narrow" w:hAnsi="Aptos Narrow"/>
                <w:color w:val="000000"/>
                <w:sz w:val="18"/>
                <w:szCs w:val="18"/>
              </w:rPr>
              <w:t xml:space="preserve"> Multiplicative adjustments to all-cause mortality by race (Black, Hispanic, Other) and by sex (male, female) to align survival with local data. </w:t>
            </w:r>
          </w:p>
        </w:tc>
        <w:tc>
          <w:tcPr>
            <w:tcW w:w="3509" w:type="dxa"/>
            <w:noWrap/>
            <w:hideMark/>
          </w:tcPr>
          <w:p w14:paraId="26D7B1C5" w14:textId="2E49F777"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3256B3">
              <w:rPr>
                <w:rFonts w:ascii="Aptos Narrow" w:hAnsi="Aptos Narrow"/>
                <w:color w:val="000000"/>
                <w:sz w:val="18"/>
                <w:szCs w:val="18"/>
              </w:rPr>
              <w:t xml:space="preserve"> Lognormal(meanlog=0, sdlog=</w:t>
            </w:r>
            <w:r w:rsidR="00ED71D4">
              <w:rPr>
                <w:rFonts w:ascii="Aptos Narrow" w:hAnsi="Aptos Narrow"/>
                <w:color w:val="000000"/>
                <w:sz w:val="18"/>
                <w:szCs w:val="18"/>
              </w:rPr>
              <w:t>log(2)/2</w:t>
            </w:r>
            <w:r w:rsidRPr="003256B3">
              <w:rPr>
                <w:rFonts w:ascii="Aptos Narrow" w:hAnsi="Aptos Narrow"/>
                <w:color w:val="000000"/>
                <w:sz w:val="18"/>
                <w:szCs w:val="18"/>
              </w:rPr>
              <w:t>) for all.</w:t>
            </w:r>
          </w:p>
        </w:tc>
        <w:tc>
          <w:tcPr>
            <w:tcW w:w="492" w:type="dxa"/>
          </w:tcPr>
          <w:p w14:paraId="0A6C7E86" w14:textId="77777777"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p>
        </w:tc>
      </w:tr>
      <w:tr w:rsidR="004964DF" w:rsidRPr="003256B3" w14:paraId="53AF0CC9" w14:textId="7F3E8A41" w:rsidTr="004964DF">
        <w:trPr>
          <w:trHeight w:val="320"/>
        </w:trPr>
        <w:tc>
          <w:tcPr>
            <w:cnfStyle w:val="001000000000" w:firstRow="0" w:lastRow="0" w:firstColumn="1" w:lastColumn="0" w:oddVBand="0" w:evenVBand="0" w:oddHBand="0" w:evenHBand="0" w:firstRowFirstColumn="0" w:firstRowLastColumn="0" w:lastRowFirstColumn="0" w:lastRowLastColumn="0"/>
            <w:tcW w:w="2785" w:type="dxa"/>
            <w:noWrap/>
            <w:hideMark/>
          </w:tcPr>
          <w:p w14:paraId="39EC1EDF" w14:textId="7CA82919" w:rsidR="004964DF" w:rsidRPr="003256B3" w:rsidRDefault="004964DF" w:rsidP="004964DF">
            <w:pPr>
              <w:pStyle w:val="NoSpacing"/>
              <w:rPr>
                <w:rFonts w:ascii="Times New Roman" w:hAnsi="Times New Roman"/>
                <w:sz w:val="18"/>
                <w:szCs w:val="18"/>
              </w:rPr>
            </w:pPr>
            <w:r w:rsidRPr="003256B3">
              <w:rPr>
                <w:rFonts w:ascii="Aptos Narrow" w:hAnsi="Aptos Narrow"/>
                <w:color w:val="000000"/>
                <w:sz w:val="18"/>
                <w:szCs w:val="18"/>
              </w:rPr>
              <w:t xml:space="preserve">Migration multipliers (immigration by race at two knots; emigration linked) </w:t>
            </w:r>
          </w:p>
        </w:tc>
        <w:tc>
          <w:tcPr>
            <w:tcW w:w="4546" w:type="dxa"/>
            <w:noWrap/>
            <w:hideMark/>
          </w:tcPr>
          <w:p w14:paraId="326924DC" w14:textId="248D0723"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3256B3">
              <w:rPr>
                <w:rFonts w:ascii="Aptos Narrow" w:hAnsi="Aptos Narrow"/>
                <w:color w:val="000000"/>
                <w:sz w:val="18"/>
                <w:szCs w:val="18"/>
              </w:rPr>
              <w:t xml:space="preserve"> Race-specific immigration multipliers at two time knots to capture inflow uncertainty; emigration coefficients are deterministically set as reciprocals to maintain balance. </w:t>
            </w:r>
          </w:p>
        </w:tc>
        <w:tc>
          <w:tcPr>
            <w:tcW w:w="3509" w:type="dxa"/>
            <w:noWrap/>
            <w:hideMark/>
          </w:tcPr>
          <w:p w14:paraId="06B7C938" w14:textId="40355F5B"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3256B3">
              <w:rPr>
                <w:rFonts w:ascii="Aptos Narrow" w:hAnsi="Aptos Narrow"/>
                <w:color w:val="000000"/>
                <w:sz w:val="18"/>
                <w:szCs w:val="18"/>
              </w:rPr>
              <w:t xml:space="preserve"> Lognormal(meanlog=0, sdlog=</w:t>
            </w:r>
            <w:r w:rsidR="00ED71D4">
              <w:rPr>
                <w:rFonts w:ascii="Aptos Narrow" w:hAnsi="Aptos Narrow"/>
                <w:color w:val="000000"/>
                <w:sz w:val="18"/>
                <w:szCs w:val="18"/>
              </w:rPr>
              <w:t>log(2)/2</w:t>
            </w:r>
            <w:r w:rsidRPr="003256B3">
              <w:rPr>
                <w:rFonts w:ascii="Aptos Narrow" w:hAnsi="Aptos Narrow"/>
                <w:color w:val="000000"/>
                <w:sz w:val="18"/>
                <w:szCs w:val="18"/>
              </w:rPr>
              <w:t>) for immigration; emigration derived.</w:t>
            </w:r>
          </w:p>
        </w:tc>
        <w:tc>
          <w:tcPr>
            <w:tcW w:w="492" w:type="dxa"/>
          </w:tcPr>
          <w:p w14:paraId="1D4AECEE" w14:textId="77777777"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r>
      <w:tr w:rsidR="004964DF" w:rsidRPr="003256B3" w14:paraId="412A5755" w14:textId="5E70301D" w:rsidTr="004964DF">
        <w:trPr>
          <w:trHeight w:val="400"/>
        </w:trPr>
        <w:tc>
          <w:tcPr>
            <w:cnfStyle w:val="001000000000" w:firstRow="0" w:lastRow="0" w:firstColumn="1" w:lastColumn="0" w:oddVBand="0" w:evenVBand="0" w:oddHBand="0" w:evenHBand="0" w:firstRowFirstColumn="0" w:firstRowLastColumn="0" w:lastRowFirstColumn="0" w:lastRowLastColumn="0"/>
            <w:tcW w:w="2785" w:type="dxa"/>
            <w:noWrap/>
            <w:hideMark/>
          </w:tcPr>
          <w:p w14:paraId="3E6AB328" w14:textId="5A3DB178" w:rsidR="004964DF" w:rsidRPr="003256B3" w:rsidRDefault="004964DF" w:rsidP="004964DF">
            <w:pPr>
              <w:pStyle w:val="NoSpacing"/>
              <w:rPr>
                <w:rFonts w:ascii="Aptos Narrow" w:hAnsi="Aptos Narrow"/>
                <w:color w:val="000000"/>
                <w:sz w:val="18"/>
                <w:szCs w:val="18"/>
              </w:rPr>
            </w:pPr>
            <w:r w:rsidRPr="003256B3">
              <w:rPr>
                <w:rFonts w:ascii="Aptos Narrow" w:hAnsi="Aptos Narrow"/>
                <w:color w:val="000000"/>
                <w:sz w:val="18"/>
                <w:szCs w:val="18"/>
              </w:rPr>
              <w:t xml:space="preserve">Proportion MSM among men (by race) </w:t>
            </w:r>
          </w:p>
        </w:tc>
        <w:tc>
          <w:tcPr>
            <w:tcW w:w="4546" w:type="dxa"/>
            <w:noWrap/>
            <w:hideMark/>
          </w:tcPr>
          <w:p w14:paraId="1E67D063" w14:textId="149DFFE8"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3256B3">
              <w:rPr>
                <w:rFonts w:ascii="Aptos Narrow" w:hAnsi="Aptos Narrow"/>
                <w:color w:val="000000"/>
                <w:sz w:val="18"/>
                <w:szCs w:val="18"/>
              </w:rPr>
              <w:t xml:space="preserve"> Multipliers on the baseline share of men who are MSM by race. </w:t>
            </w:r>
          </w:p>
        </w:tc>
        <w:tc>
          <w:tcPr>
            <w:tcW w:w="3509" w:type="dxa"/>
            <w:noWrap/>
            <w:hideMark/>
          </w:tcPr>
          <w:p w14:paraId="0FB22B0D" w14:textId="208731F0"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3256B3">
              <w:rPr>
                <w:rFonts w:ascii="Aptos Narrow" w:hAnsi="Aptos Narrow"/>
                <w:color w:val="000000"/>
                <w:sz w:val="18"/>
                <w:szCs w:val="18"/>
              </w:rPr>
              <w:t xml:space="preserve"> Lognormal(meanlog=0, sdlog=0.125·log(2)) for Black, Hispanic, Other (tight).</w:t>
            </w:r>
          </w:p>
        </w:tc>
        <w:tc>
          <w:tcPr>
            <w:tcW w:w="492" w:type="dxa"/>
          </w:tcPr>
          <w:p w14:paraId="10F2B795" w14:textId="77777777"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p>
        </w:tc>
      </w:tr>
      <w:tr w:rsidR="004964DF" w:rsidRPr="003256B3" w14:paraId="05141042" w14:textId="77777777" w:rsidTr="004964DF">
        <w:trPr>
          <w:trHeight w:val="320"/>
        </w:trPr>
        <w:tc>
          <w:tcPr>
            <w:cnfStyle w:val="001000000000" w:firstRow="0" w:lastRow="0" w:firstColumn="1" w:lastColumn="0" w:oddVBand="0" w:evenVBand="0" w:oddHBand="0" w:evenHBand="0" w:firstRowFirstColumn="0" w:firstRowLastColumn="0" w:lastRowFirstColumn="0" w:lastRowLastColumn="0"/>
            <w:tcW w:w="2785" w:type="dxa"/>
            <w:shd w:val="clear" w:color="auto" w:fill="D1D1D1" w:themeFill="background2" w:themeFillShade="E6"/>
            <w:noWrap/>
          </w:tcPr>
          <w:p w14:paraId="47EA1D38" w14:textId="4C4C27A0" w:rsidR="004964DF" w:rsidRPr="003256B3" w:rsidRDefault="004964DF" w:rsidP="004964DF">
            <w:pPr>
              <w:pStyle w:val="NoSpacing"/>
              <w:rPr>
                <w:rFonts w:ascii="Aptos Narrow" w:hAnsi="Aptos Narrow"/>
                <w:color w:val="000000"/>
                <w:sz w:val="18"/>
                <w:szCs w:val="18"/>
              </w:rPr>
            </w:pPr>
            <w:r w:rsidRPr="003256B3">
              <w:rPr>
                <w:sz w:val="18"/>
                <w:szCs w:val="18"/>
              </w:rPr>
              <w:t xml:space="preserve">Aging and cohort dynamics </w:t>
            </w:r>
          </w:p>
        </w:tc>
        <w:tc>
          <w:tcPr>
            <w:tcW w:w="4546" w:type="dxa"/>
            <w:shd w:val="clear" w:color="auto" w:fill="D1D1D1" w:themeFill="background2" w:themeFillShade="E6"/>
            <w:noWrap/>
          </w:tcPr>
          <w:p w14:paraId="7B6FD052" w14:textId="77777777"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p>
        </w:tc>
        <w:tc>
          <w:tcPr>
            <w:tcW w:w="3509" w:type="dxa"/>
            <w:shd w:val="clear" w:color="auto" w:fill="D1D1D1" w:themeFill="background2" w:themeFillShade="E6"/>
            <w:noWrap/>
          </w:tcPr>
          <w:p w14:paraId="0B97D7F9" w14:textId="77777777"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p>
        </w:tc>
        <w:tc>
          <w:tcPr>
            <w:tcW w:w="492" w:type="dxa"/>
            <w:shd w:val="clear" w:color="auto" w:fill="D1D1D1" w:themeFill="background2" w:themeFillShade="E6"/>
          </w:tcPr>
          <w:p w14:paraId="5B451A70" w14:textId="77777777"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r>
      <w:tr w:rsidR="004964DF" w:rsidRPr="003256B3" w14:paraId="28A4B894" w14:textId="4A7989F3" w:rsidTr="004964DF">
        <w:trPr>
          <w:trHeight w:val="320"/>
        </w:trPr>
        <w:tc>
          <w:tcPr>
            <w:cnfStyle w:val="001000000000" w:firstRow="0" w:lastRow="0" w:firstColumn="1" w:lastColumn="0" w:oddVBand="0" w:evenVBand="0" w:oddHBand="0" w:evenHBand="0" w:firstRowFirstColumn="0" w:firstRowLastColumn="0" w:lastRowFirstColumn="0" w:lastRowLastColumn="0"/>
            <w:tcW w:w="2785" w:type="dxa"/>
            <w:noWrap/>
            <w:hideMark/>
          </w:tcPr>
          <w:p w14:paraId="13B8A276" w14:textId="229E0A2A" w:rsidR="004964DF" w:rsidRPr="003256B3" w:rsidRDefault="004964DF" w:rsidP="004964DF">
            <w:pPr>
              <w:pStyle w:val="NoSpacing"/>
              <w:rPr>
                <w:rFonts w:ascii="Times New Roman" w:hAnsi="Times New Roman"/>
                <w:sz w:val="18"/>
                <w:szCs w:val="18"/>
              </w:rPr>
            </w:pPr>
            <w:r w:rsidRPr="003256B3">
              <w:rPr>
                <w:rFonts w:ascii="Aptos Narrow" w:hAnsi="Aptos Narrow"/>
                <w:color w:val="000000"/>
                <w:sz w:val="18"/>
                <w:szCs w:val="18"/>
              </w:rPr>
              <w:t xml:space="preserve"> Aging-rate multipliers (by age, race, knot) </w:t>
            </w:r>
          </w:p>
        </w:tc>
        <w:tc>
          <w:tcPr>
            <w:tcW w:w="4546" w:type="dxa"/>
            <w:noWrap/>
            <w:hideMark/>
          </w:tcPr>
          <w:p w14:paraId="2D3D3EAB" w14:textId="23F8C467"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3256B3">
              <w:rPr>
                <w:rFonts w:ascii="Aptos Narrow" w:hAnsi="Aptos Narrow"/>
                <w:color w:val="000000"/>
                <w:sz w:val="18"/>
                <w:szCs w:val="18"/>
              </w:rPr>
              <w:t xml:space="preserve"> Adjust aging transition rates across age bands and races at two spline knots, enabling modest shifts in cohort progression. </w:t>
            </w:r>
          </w:p>
        </w:tc>
        <w:tc>
          <w:tcPr>
            <w:tcW w:w="3509" w:type="dxa"/>
            <w:noWrap/>
            <w:hideMark/>
          </w:tcPr>
          <w:p w14:paraId="2199E9A2" w14:textId="15F2F8B4"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3256B3">
              <w:rPr>
                <w:rFonts w:ascii="Aptos Narrow" w:hAnsi="Aptos Narrow"/>
                <w:color w:val="000000"/>
                <w:sz w:val="18"/>
                <w:szCs w:val="18"/>
              </w:rPr>
              <w:t xml:space="preserve"> Lognormal(meanlog=0, sdlog=</w:t>
            </w:r>
            <w:r w:rsidR="00ED71D4">
              <w:rPr>
                <w:rFonts w:ascii="Aptos Narrow" w:hAnsi="Aptos Narrow"/>
                <w:color w:val="000000"/>
                <w:sz w:val="18"/>
                <w:szCs w:val="18"/>
              </w:rPr>
              <w:t>log(2)/2</w:t>
            </w:r>
            <w:r w:rsidRPr="003256B3">
              <w:rPr>
                <w:rFonts w:ascii="Aptos Narrow" w:hAnsi="Aptos Narrow"/>
                <w:color w:val="000000"/>
                <w:sz w:val="18"/>
                <w:szCs w:val="18"/>
              </w:rPr>
              <w:t>) for all.</w:t>
            </w:r>
          </w:p>
        </w:tc>
        <w:tc>
          <w:tcPr>
            <w:tcW w:w="492" w:type="dxa"/>
          </w:tcPr>
          <w:p w14:paraId="33ADF94F" w14:textId="77777777"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r>
      <w:tr w:rsidR="004964DF" w:rsidRPr="003256B3" w14:paraId="0355EBC2" w14:textId="77777777" w:rsidTr="004964DF">
        <w:trPr>
          <w:trHeight w:val="400"/>
        </w:trPr>
        <w:tc>
          <w:tcPr>
            <w:cnfStyle w:val="001000000000" w:firstRow="0" w:lastRow="0" w:firstColumn="1" w:lastColumn="0" w:oddVBand="0" w:evenVBand="0" w:oddHBand="0" w:evenHBand="0" w:firstRowFirstColumn="0" w:firstRowLastColumn="0" w:lastRowFirstColumn="0" w:lastRowLastColumn="0"/>
            <w:tcW w:w="2785" w:type="dxa"/>
            <w:noWrap/>
          </w:tcPr>
          <w:p w14:paraId="6F38DA81" w14:textId="2A9D3B60" w:rsidR="004964DF" w:rsidRPr="003256B3" w:rsidRDefault="004964DF" w:rsidP="004964DF">
            <w:pPr>
              <w:pStyle w:val="NoSpacing"/>
              <w:rPr>
                <w:rFonts w:ascii="Aptos Narrow" w:hAnsi="Aptos Narrow"/>
                <w:color w:val="000000"/>
                <w:sz w:val="18"/>
                <w:szCs w:val="18"/>
              </w:rPr>
            </w:pPr>
            <w:r w:rsidRPr="003256B3">
              <w:rPr>
                <w:sz w:val="18"/>
                <w:szCs w:val="18"/>
              </w:rPr>
              <w:t xml:space="preserve">Transmission level and time trends </w:t>
            </w:r>
          </w:p>
        </w:tc>
        <w:tc>
          <w:tcPr>
            <w:tcW w:w="4546" w:type="dxa"/>
            <w:noWrap/>
          </w:tcPr>
          <w:p w14:paraId="73236D96" w14:textId="77777777"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p>
        </w:tc>
        <w:tc>
          <w:tcPr>
            <w:tcW w:w="3509" w:type="dxa"/>
            <w:noWrap/>
          </w:tcPr>
          <w:p w14:paraId="313014E5" w14:textId="77777777"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p>
        </w:tc>
        <w:tc>
          <w:tcPr>
            <w:tcW w:w="492" w:type="dxa"/>
          </w:tcPr>
          <w:p w14:paraId="1C9E6358" w14:textId="77777777"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p>
        </w:tc>
      </w:tr>
      <w:tr w:rsidR="004964DF" w:rsidRPr="003256B3" w14:paraId="507E191C" w14:textId="344210DC" w:rsidTr="004964DF">
        <w:trPr>
          <w:trHeight w:val="400"/>
        </w:trPr>
        <w:tc>
          <w:tcPr>
            <w:cnfStyle w:val="001000000000" w:firstRow="0" w:lastRow="0" w:firstColumn="1" w:lastColumn="0" w:oddVBand="0" w:evenVBand="0" w:oddHBand="0" w:evenHBand="0" w:firstRowFirstColumn="0" w:firstRowLastColumn="0" w:lastRowFirstColumn="0" w:lastRowLastColumn="0"/>
            <w:tcW w:w="2785" w:type="dxa"/>
            <w:noWrap/>
            <w:hideMark/>
          </w:tcPr>
          <w:p w14:paraId="77140EFA" w14:textId="5A7F3A84" w:rsidR="004964DF" w:rsidRPr="003256B3" w:rsidRDefault="004964DF" w:rsidP="004964DF">
            <w:pPr>
              <w:pStyle w:val="NoSpacing"/>
              <w:rPr>
                <w:rFonts w:ascii="Aptos Narrow" w:hAnsi="Aptos Narrow"/>
                <w:color w:val="000000"/>
                <w:sz w:val="18"/>
                <w:szCs w:val="18"/>
              </w:rPr>
            </w:pPr>
            <w:r w:rsidRPr="003256B3">
              <w:rPr>
                <w:rFonts w:ascii="Aptos Narrow" w:hAnsi="Aptos Narrow"/>
                <w:color w:val="000000"/>
                <w:sz w:val="18"/>
                <w:szCs w:val="18"/>
              </w:rPr>
              <w:t xml:space="preserve"> Global transmission scale </w:t>
            </w:r>
          </w:p>
        </w:tc>
        <w:tc>
          <w:tcPr>
            <w:tcW w:w="4546" w:type="dxa"/>
            <w:noWrap/>
            <w:hideMark/>
          </w:tcPr>
          <w:p w14:paraId="578F8C92" w14:textId="121AA7F8"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3256B3">
              <w:rPr>
                <w:rFonts w:ascii="Aptos Narrow" w:hAnsi="Aptos Narrow"/>
                <w:color w:val="000000"/>
                <w:sz w:val="18"/>
                <w:szCs w:val="18"/>
              </w:rPr>
              <w:t xml:space="preserve"> Overall multiplicative scaling on transmission intensity. </w:t>
            </w:r>
          </w:p>
        </w:tc>
        <w:tc>
          <w:tcPr>
            <w:tcW w:w="3509" w:type="dxa"/>
            <w:noWrap/>
            <w:hideMark/>
          </w:tcPr>
          <w:p w14:paraId="3910B1B4" w14:textId="6251432C"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3256B3">
              <w:rPr>
                <w:rFonts w:ascii="Aptos Narrow" w:hAnsi="Aptos Narrow"/>
                <w:color w:val="000000"/>
                <w:sz w:val="18"/>
                <w:szCs w:val="18"/>
              </w:rPr>
              <w:t xml:space="preserve"> Lognormal(meanlog=log(2.2), sdlog=log(10)/2) (broad).</w:t>
            </w:r>
          </w:p>
        </w:tc>
        <w:tc>
          <w:tcPr>
            <w:tcW w:w="492" w:type="dxa"/>
          </w:tcPr>
          <w:p w14:paraId="658D947F" w14:textId="77777777"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p>
        </w:tc>
      </w:tr>
      <w:tr w:rsidR="004964DF" w:rsidRPr="003256B3" w14:paraId="06F52B63" w14:textId="0386BE68" w:rsidTr="004964DF">
        <w:trPr>
          <w:trHeight w:val="320"/>
        </w:trPr>
        <w:tc>
          <w:tcPr>
            <w:cnfStyle w:val="001000000000" w:firstRow="0" w:lastRow="0" w:firstColumn="1" w:lastColumn="0" w:oddVBand="0" w:evenVBand="0" w:oddHBand="0" w:evenHBand="0" w:firstRowFirstColumn="0" w:firstRowLastColumn="0" w:lastRowFirstColumn="0" w:lastRowLastColumn="0"/>
            <w:tcW w:w="2785" w:type="dxa"/>
            <w:noWrap/>
            <w:hideMark/>
          </w:tcPr>
          <w:p w14:paraId="6D8B1E95" w14:textId="03CAFB5C" w:rsidR="004964DF" w:rsidRPr="003256B3" w:rsidRDefault="004964DF" w:rsidP="004964DF">
            <w:pPr>
              <w:pStyle w:val="NoSpacing"/>
              <w:rPr>
                <w:rFonts w:ascii="Times New Roman" w:hAnsi="Times New Roman"/>
                <w:sz w:val="18"/>
                <w:szCs w:val="18"/>
              </w:rPr>
            </w:pPr>
            <w:r w:rsidRPr="003256B3">
              <w:rPr>
                <w:rFonts w:ascii="Aptos Narrow" w:hAnsi="Aptos Narrow"/>
                <w:color w:val="000000"/>
                <w:sz w:val="18"/>
                <w:szCs w:val="18"/>
              </w:rPr>
              <w:t xml:space="preserve"> 1970 diagnosis level multipliers (by risk, stage) </w:t>
            </w:r>
          </w:p>
        </w:tc>
        <w:tc>
          <w:tcPr>
            <w:tcW w:w="4546" w:type="dxa"/>
            <w:noWrap/>
            <w:hideMark/>
          </w:tcPr>
          <w:p w14:paraId="0D21317E" w14:textId="1D19A90E"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3256B3">
              <w:rPr>
                <w:rFonts w:ascii="Aptos Narrow" w:hAnsi="Aptos Narrow"/>
                <w:color w:val="000000"/>
                <w:sz w:val="18"/>
                <w:szCs w:val="18"/>
              </w:rPr>
              <w:t xml:space="preserve"> Seed levels in 1970 for PS, early-latent, and late/unknown diagnoses for MSM and heterosexuals, establishing initial epidemic scale by risk group. </w:t>
            </w:r>
          </w:p>
        </w:tc>
        <w:tc>
          <w:tcPr>
            <w:tcW w:w="3509" w:type="dxa"/>
            <w:noWrap/>
            <w:hideMark/>
          </w:tcPr>
          <w:p w14:paraId="4D746FE3" w14:textId="64A63BF4"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3256B3">
              <w:rPr>
                <w:rFonts w:ascii="Aptos Narrow" w:hAnsi="Aptos Narrow"/>
                <w:color w:val="000000"/>
                <w:sz w:val="18"/>
                <w:szCs w:val="18"/>
              </w:rPr>
              <w:t xml:space="preserve"> MSM: Lognormal(meanlog=log(3), sdlog=</w:t>
            </w:r>
            <w:r w:rsidR="00ED71D4">
              <w:rPr>
                <w:rFonts w:ascii="Aptos Narrow" w:hAnsi="Aptos Narrow"/>
                <w:color w:val="000000"/>
                <w:sz w:val="18"/>
                <w:szCs w:val="18"/>
              </w:rPr>
              <w:t>log(2)/2</w:t>
            </w:r>
            <w:r w:rsidRPr="003256B3">
              <w:rPr>
                <w:rFonts w:ascii="Aptos Narrow" w:hAnsi="Aptos Narrow"/>
                <w:color w:val="000000"/>
                <w:sz w:val="18"/>
                <w:szCs w:val="18"/>
              </w:rPr>
              <w:t>); Heterosexuals: Lognormal(meanlog=0, sdlog=</w:t>
            </w:r>
            <w:r w:rsidR="00ED71D4">
              <w:rPr>
                <w:rFonts w:ascii="Aptos Narrow" w:hAnsi="Aptos Narrow"/>
                <w:color w:val="000000"/>
                <w:sz w:val="18"/>
                <w:szCs w:val="18"/>
              </w:rPr>
              <w:t>log(2)/2</w:t>
            </w:r>
            <w:r w:rsidRPr="003256B3">
              <w:rPr>
                <w:rFonts w:ascii="Aptos Narrow" w:hAnsi="Aptos Narrow"/>
                <w:color w:val="000000"/>
                <w:sz w:val="18"/>
                <w:szCs w:val="18"/>
              </w:rPr>
              <w:t>).</w:t>
            </w:r>
          </w:p>
        </w:tc>
        <w:tc>
          <w:tcPr>
            <w:tcW w:w="492" w:type="dxa"/>
          </w:tcPr>
          <w:p w14:paraId="63434F55" w14:textId="77777777"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r>
      <w:tr w:rsidR="004964DF" w:rsidRPr="003256B3" w14:paraId="58053C9B" w14:textId="28474885" w:rsidTr="004964DF">
        <w:trPr>
          <w:trHeight w:val="400"/>
        </w:trPr>
        <w:tc>
          <w:tcPr>
            <w:cnfStyle w:val="001000000000" w:firstRow="0" w:lastRow="0" w:firstColumn="1" w:lastColumn="0" w:oddVBand="0" w:evenVBand="0" w:oddHBand="0" w:evenHBand="0" w:firstRowFirstColumn="0" w:firstRowLastColumn="0" w:lastRowFirstColumn="0" w:lastRowLastColumn="0"/>
            <w:tcW w:w="2785" w:type="dxa"/>
            <w:noWrap/>
            <w:hideMark/>
          </w:tcPr>
          <w:p w14:paraId="19362BC2" w14:textId="13C99376" w:rsidR="004964DF" w:rsidRPr="003256B3" w:rsidRDefault="004964DF" w:rsidP="004964DF">
            <w:pPr>
              <w:pStyle w:val="NoSpacing"/>
              <w:rPr>
                <w:rFonts w:ascii="Aptos Narrow" w:hAnsi="Aptos Narrow"/>
                <w:color w:val="000000"/>
                <w:sz w:val="18"/>
                <w:szCs w:val="18"/>
              </w:rPr>
            </w:pPr>
            <w:r w:rsidRPr="003256B3">
              <w:rPr>
                <w:rFonts w:ascii="Aptos Narrow" w:hAnsi="Aptos Narrow"/>
                <w:color w:val="000000"/>
                <w:sz w:val="18"/>
                <w:szCs w:val="18"/>
              </w:rPr>
              <w:t xml:space="preserve"> Time-varying transmission multipliers by risk (MSM, heterosexual) </w:t>
            </w:r>
          </w:p>
        </w:tc>
        <w:tc>
          <w:tcPr>
            <w:tcW w:w="4546" w:type="dxa"/>
            <w:noWrap/>
            <w:hideMark/>
          </w:tcPr>
          <w:p w14:paraId="4E39621B" w14:textId="011BD3E4"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3256B3">
              <w:rPr>
                <w:rFonts w:ascii="Aptos Narrow" w:hAnsi="Aptos Narrow"/>
                <w:color w:val="000000"/>
                <w:sz w:val="18"/>
                <w:szCs w:val="18"/>
              </w:rPr>
              <w:t xml:space="preserve"> Spline-knot multipliers (1970, 1990, 1995, 2000, 2010, 2017) capturing secular changes in transmission by risk group. </w:t>
            </w:r>
          </w:p>
        </w:tc>
        <w:tc>
          <w:tcPr>
            <w:tcW w:w="3509" w:type="dxa"/>
            <w:noWrap/>
            <w:hideMark/>
          </w:tcPr>
          <w:p w14:paraId="0A757B3B" w14:textId="491157B9"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3256B3">
              <w:rPr>
                <w:rFonts w:ascii="Aptos Narrow" w:hAnsi="Aptos Narrow"/>
                <w:color w:val="000000"/>
                <w:sz w:val="18"/>
                <w:szCs w:val="18"/>
              </w:rPr>
              <w:t xml:space="preserve"> Multivariate Lognormal via make.mv.spline.prior (center MSM at ~3× in 2000; weak deltas).</w:t>
            </w:r>
          </w:p>
        </w:tc>
        <w:tc>
          <w:tcPr>
            <w:tcW w:w="492" w:type="dxa"/>
          </w:tcPr>
          <w:p w14:paraId="51B5EB96" w14:textId="77777777"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p>
        </w:tc>
      </w:tr>
      <w:tr w:rsidR="004964DF" w:rsidRPr="003256B3" w14:paraId="64791657" w14:textId="4B1BA817" w:rsidTr="004964DF">
        <w:trPr>
          <w:trHeight w:val="320"/>
        </w:trPr>
        <w:tc>
          <w:tcPr>
            <w:cnfStyle w:val="001000000000" w:firstRow="0" w:lastRow="0" w:firstColumn="1" w:lastColumn="0" w:oddVBand="0" w:evenVBand="0" w:oddHBand="0" w:evenHBand="0" w:firstRowFirstColumn="0" w:firstRowLastColumn="0" w:lastRowFirstColumn="0" w:lastRowLastColumn="0"/>
            <w:tcW w:w="2785" w:type="dxa"/>
            <w:noWrap/>
            <w:hideMark/>
          </w:tcPr>
          <w:p w14:paraId="116DEDE2" w14:textId="114A1D05" w:rsidR="004964DF" w:rsidRPr="003256B3" w:rsidRDefault="004964DF" w:rsidP="004964DF">
            <w:pPr>
              <w:pStyle w:val="NoSpacing"/>
              <w:rPr>
                <w:rFonts w:ascii="Times New Roman" w:hAnsi="Times New Roman"/>
                <w:sz w:val="18"/>
                <w:szCs w:val="18"/>
              </w:rPr>
            </w:pPr>
            <w:r w:rsidRPr="003256B3">
              <w:rPr>
                <w:rFonts w:ascii="Aptos Narrow" w:hAnsi="Aptos Narrow"/>
                <w:color w:val="000000"/>
                <w:sz w:val="18"/>
                <w:szCs w:val="18"/>
              </w:rPr>
              <w:t xml:space="preserve"> Race-specific transmission multipliers (within risk) </w:t>
            </w:r>
          </w:p>
        </w:tc>
        <w:tc>
          <w:tcPr>
            <w:tcW w:w="4546" w:type="dxa"/>
            <w:noWrap/>
            <w:hideMark/>
          </w:tcPr>
          <w:p w14:paraId="414BAC73" w14:textId="63481684"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3256B3">
              <w:rPr>
                <w:rFonts w:ascii="Aptos Narrow" w:hAnsi="Aptos Narrow"/>
                <w:color w:val="000000"/>
                <w:sz w:val="18"/>
                <w:szCs w:val="18"/>
              </w:rPr>
              <w:t xml:space="preserve"> Additional multiplicative heterogeneity by race for MSM and heterosexuals. </w:t>
            </w:r>
          </w:p>
        </w:tc>
        <w:tc>
          <w:tcPr>
            <w:tcW w:w="3509" w:type="dxa"/>
            <w:noWrap/>
            <w:hideMark/>
          </w:tcPr>
          <w:p w14:paraId="0F239E35" w14:textId="5F94ADA7"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3256B3">
              <w:rPr>
                <w:rFonts w:ascii="Aptos Narrow" w:hAnsi="Aptos Narrow"/>
                <w:color w:val="000000"/>
                <w:sz w:val="18"/>
                <w:szCs w:val="18"/>
              </w:rPr>
              <w:t xml:space="preserve"> Lognormal(meanlog=0, sdlog=log(2)) for Black, Hispanic, Other (wider).</w:t>
            </w:r>
          </w:p>
        </w:tc>
        <w:tc>
          <w:tcPr>
            <w:tcW w:w="492" w:type="dxa"/>
          </w:tcPr>
          <w:p w14:paraId="7F0C68F2" w14:textId="77777777"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r>
      <w:tr w:rsidR="004964DF" w:rsidRPr="003256B3" w14:paraId="6150D1B3" w14:textId="1A231004" w:rsidTr="004964DF">
        <w:trPr>
          <w:trHeight w:val="400"/>
        </w:trPr>
        <w:tc>
          <w:tcPr>
            <w:cnfStyle w:val="001000000000" w:firstRow="0" w:lastRow="0" w:firstColumn="1" w:lastColumn="0" w:oddVBand="0" w:evenVBand="0" w:oddHBand="0" w:evenHBand="0" w:firstRowFirstColumn="0" w:firstRowLastColumn="0" w:lastRowFirstColumn="0" w:lastRowLastColumn="0"/>
            <w:tcW w:w="2785" w:type="dxa"/>
            <w:noWrap/>
            <w:hideMark/>
          </w:tcPr>
          <w:p w14:paraId="02F125C1" w14:textId="261113C5" w:rsidR="004964DF" w:rsidRPr="003256B3" w:rsidRDefault="004964DF" w:rsidP="004964DF">
            <w:pPr>
              <w:pStyle w:val="NoSpacing"/>
              <w:rPr>
                <w:rFonts w:ascii="Aptos Narrow" w:hAnsi="Aptos Narrow"/>
                <w:color w:val="000000"/>
                <w:sz w:val="18"/>
                <w:szCs w:val="18"/>
              </w:rPr>
            </w:pPr>
            <w:r w:rsidRPr="003256B3">
              <w:rPr>
                <w:rFonts w:ascii="Aptos Narrow" w:hAnsi="Aptos Narrow"/>
                <w:color w:val="000000"/>
                <w:sz w:val="18"/>
                <w:szCs w:val="18"/>
              </w:rPr>
              <w:t xml:space="preserve"> Future transmission change </w:t>
            </w:r>
          </w:p>
        </w:tc>
        <w:tc>
          <w:tcPr>
            <w:tcW w:w="4546" w:type="dxa"/>
            <w:noWrap/>
            <w:hideMark/>
          </w:tcPr>
          <w:p w14:paraId="784218AE" w14:textId="6BEAB967"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3256B3">
              <w:rPr>
                <w:rFonts w:ascii="Aptos Narrow" w:hAnsi="Aptos Narrow"/>
                <w:color w:val="000000"/>
                <w:sz w:val="18"/>
                <w:szCs w:val="18"/>
              </w:rPr>
              <w:t xml:space="preserve"> Post-2020 multiplicative modifier applied to transmission to capture near-term shifts. </w:t>
            </w:r>
          </w:p>
        </w:tc>
        <w:tc>
          <w:tcPr>
            <w:tcW w:w="3509" w:type="dxa"/>
            <w:noWrap/>
            <w:hideMark/>
          </w:tcPr>
          <w:p w14:paraId="1AB9B491" w14:textId="38F8C357"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3256B3">
              <w:rPr>
                <w:rFonts w:ascii="Aptos Narrow" w:hAnsi="Aptos Narrow"/>
                <w:color w:val="000000"/>
                <w:sz w:val="18"/>
                <w:szCs w:val="18"/>
              </w:rPr>
              <w:t xml:space="preserve"> Normal(mean=0.75, sd=0.25, lower=0).</w:t>
            </w:r>
          </w:p>
        </w:tc>
        <w:tc>
          <w:tcPr>
            <w:tcW w:w="492" w:type="dxa"/>
          </w:tcPr>
          <w:p w14:paraId="4E2A25EB" w14:textId="77777777"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p>
        </w:tc>
      </w:tr>
      <w:tr w:rsidR="004964DF" w:rsidRPr="003256B3" w14:paraId="37678578" w14:textId="77777777" w:rsidTr="004964DF">
        <w:trPr>
          <w:trHeight w:val="320"/>
        </w:trPr>
        <w:tc>
          <w:tcPr>
            <w:cnfStyle w:val="001000000000" w:firstRow="0" w:lastRow="0" w:firstColumn="1" w:lastColumn="0" w:oddVBand="0" w:evenVBand="0" w:oddHBand="0" w:evenHBand="0" w:firstRowFirstColumn="0" w:firstRowLastColumn="0" w:lastRowFirstColumn="0" w:lastRowLastColumn="0"/>
            <w:tcW w:w="2785" w:type="dxa"/>
            <w:shd w:val="clear" w:color="auto" w:fill="D1D1D1" w:themeFill="background2" w:themeFillShade="E6"/>
            <w:noWrap/>
          </w:tcPr>
          <w:p w14:paraId="3A72884E" w14:textId="56C2F6BF" w:rsidR="004964DF" w:rsidRPr="003256B3" w:rsidRDefault="004964DF" w:rsidP="004964DF">
            <w:pPr>
              <w:pStyle w:val="NoSpacing"/>
              <w:rPr>
                <w:rFonts w:ascii="Aptos Narrow" w:hAnsi="Aptos Narrow"/>
                <w:color w:val="000000"/>
                <w:sz w:val="18"/>
                <w:szCs w:val="18"/>
              </w:rPr>
            </w:pPr>
            <w:r w:rsidRPr="003256B3">
              <w:rPr>
                <w:sz w:val="18"/>
                <w:szCs w:val="18"/>
              </w:rPr>
              <w:t xml:space="preserve">Mixing patterns </w:t>
            </w:r>
          </w:p>
        </w:tc>
        <w:tc>
          <w:tcPr>
            <w:tcW w:w="4546" w:type="dxa"/>
            <w:shd w:val="clear" w:color="auto" w:fill="D1D1D1" w:themeFill="background2" w:themeFillShade="E6"/>
            <w:noWrap/>
          </w:tcPr>
          <w:p w14:paraId="56E3E2F7" w14:textId="77777777"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p>
        </w:tc>
        <w:tc>
          <w:tcPr>
            <w:tcW w:w="3509" w:type="dxa"/>
            <w:shd w:val="clear" w:color="auto" w:fill="D1D1D1" w:themeFill="background2" w:themeFillShade="E6"/>
            <w:noWrap/>
          </w:tcPr>
          <w:p w14:paraId="7F86F445" w14:textId="77777777"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p>
        </w:tc>
        <w:tc>
          <w:tcPr>
            <w:tcW w:w="492" w:type="dxa"/>
            <w:shd w:val="clear" w:color="auto" w:fill="D1D1D1" w:themeFill="background2" w:themeFillShade="E6"/>
          </w:tcPr>
          <w:p w14:paraId="7755F366" w14:textId="77777777"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r>
      <w:tr w:rsidR="004964DF" w:rsidRPr="003256B3" w14:paraId="48E5FF90" w14:textId="41FD989D" w:rsidTr="004964DF">
        <w:trPr>
          <w:trHeight w:val="320"/>
        </w:trPr>
        <w:tc>
          <w:tcPr>
            <w:cnfStyle w:val="001000000000" w:firstRow="0" w:lastRow="0" w:firstColumn="1" w:lastColumn="0" w:oddVBand="0" w:evenVBand="0" w:oddHBand="0" w:evenHBand="0" w:firstRowFirstColumn="0" w:firstRowLastColumn="0" w:lastRowFirstColumn="0" w:lastRowLastColumn="0"/>
            <w:tcW w:w="2785" w:type="dxa"/>
            <w:noWrap/>
            <w:hideMark/>
          </w:tcPr>
          <w:p w14:paraId="61E2DD26" w14:textId="27AB4530" w:rsidR="004964DF" w:rsidRPr="003256B3" w:rsidRDefault="004964DF" w:rsidP="004964DF">
            <w:pPr>
              <w:pStyle w:val="NoSpacing"/>
              <w:rPr>
                <w:rFonts w:ascii="Times New Roman" w:hAnsi="Times New Roman"/>
                <w:sz w:val="18"/>
                <w:szCs w:val="18"/>
              </w:rPr>
            </w:pPr>
            <w:r w:rsidRPr="003256B3">
              <w:rPr>
                <w:rFonts w:ascii="Aptos Narrow" w:hAnsi="Aptos Narrow"/>
                <w:color w:val="000000"/>
                <w:sz w:val="18"/>
                <w:szCs w:val="18"/>
              </w:rPr>
              <w:t xml:space="preserve"> Transmission-by-age multipliers (MSM and heterosexual) </w:t>
            </w:r>
          </w:p>
        </w:tc>
        <w:tc>
          <w:tcPr>
            <w:tcW w:w="4546" w:type="dxa"/>
            <w:noWrap/>
            <w:hideMark/>
          </w:tcPr>
          <w:p w14:paraId="574AED38" w14:textId="708A0DAA"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3256B3">
              <w:rPr>
                <w:rFonts w:ascii="Aptos Narrow" w:hAnsi="Aptos Narrow"/>
                <w:color w:val="000000"/>
                <w:sz w:val="18"/>
                <w:szCs w:val="18"/>
              </w:rPr>
              <w:t xml:space="preserve"> Age-specific multipliers representing relative sexual activity/transmission by age, including very low level for ≤14; remaining ages jointly modeled with AR(1) correlation across adjacent ages. </w:t>
            </w:r>
          </w:p>
        </w:tc>
        <w:tc>
          <w:tcPr>
            <w:tcW w:w="3509" w:type="dxa"/>
            <w:noWrap/>
            <w:hideMark/>
          </w:tcPr>
          <w:p w14:paraId="707B6531" w14:textId="1C2BF872"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3256B3">
              <w:rPr>
                <w:rFonts w:ascii="Aptos Narrow" w:hAnsi="Aptos Narrow"/>
                <w:color w:val="000000"/>
                <w:sz w:val="18"/>
                <w:szCs w:val="18"/>
              </w:rPr>
              <w:t xml:space="preserve"> Age 14: Lognormal(meanlog=log(1e-2), sdlog=0.5·log(8)); Ages 19–65: Multivariate Lognormal with meanlog from estimated sexual activity and AR(1) covariance (ρ=0.7, sdlog=</w:t>
            </w:r>
            <w:r w:rsidR="00ED71D4">
              <w:rPr>
                <w:rFonts w:ascii="Aptos Narrow" w:hAnsi="Aptos Narrow"/>
                <w:color w:val="000000"/>
                <w:sz w:val="18"/>
                <w:szCs w:val="18"/>
              </w:rPr>
              <w:t>log(2)/2</w:t>
            </w:r>
            <w:r w:rsidRPr="003256B3">
              <w:rPr>
                <w:rFonts w:ascii="Aptos Narrow" w:hAnsi="Aptos Narrow"/>
                <w:color w:val="000000"/>
                <w:sz w:val="18"/>
                <w:szCs w:val="18"/>
              </w:rPr>
              <w:t>).</w:t>
            </w:r>
          </w:p>
        </w:tc>
        <w:tc>
          <w:tcPr>
            <w:tcW w:w="492" w:type="dxa"/>
          </w:tcPr>
          <w:p w14:paraId="38D49C9F" w14:textId="77777777"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r>
      <w:tr w:rsidR="004964DF" w:rsidRPr="003256B3" w14:paraId="0CE8F017" w14:textId="4F895494" w:rsidTr="004964DF">
        <w:trPr>
          <w:trHeight w:val="400"/>
        </w:trPr>
        <w:tc>
          <w:tcPr>
            <w:cnfStyle w:val="001000000000" w:firstRow="0" w:lastRow="0" w:firstColumn="1" w:lastColumn="0" w:oddVBand="0" w:evenVBand="0" w:oddHBand="0" w:evenHBand="0" w:firstRowFirstColumn="0" w:firstRowLastColumn="0" w:lastRowFirstColumn="0" w:lastRowLastColumn="0"/>
            <w:tcW w:w="2785" w:type="dxa"/>
            <w:noWrap/>
            <w:hideMark/>
          </w:tcPr>
          <w:p w14:paraId="5D311D4E" w14:textId="04EC0A14" w:rsidR="004964DF" w:rsidRPr="003256B3" w:rsidRDefault="004964DF" w:rsidP="004964DF">
            <w:pPr>
              <w:pStyle w:val="NoSpacing"/>
              <w:rPr>
                <w:rFonts w:ascii="Aptos Narrow" w:hAnsi="Aptos Narrow"/>
                <w:color w:val="000000"/>
                <w:sz w:val="18"/>
                <w:szCs w:val="18"/>
              </w:rPr>
            </w:pPr>
            <w:r w:rsidRPr="003256B3">
              <w:rPr>
                <w:rFonts w:ascii="Aptos Narrow" w:hAnsi="Aptos Narrow"/>
                <w:color w:val="000000"/>
                <w:sz w:val="18"/>
                <w:szCs w:val="18"/>
              </w:rPr>
              <w:t xml:space="preserve"> Age-assortative mixing width </w:t>
            </w:r>
          </w:p>
        </w:tc>
        <w:tc>
          <w:tcPr>
            <w:tcW w:w="4546" w:type="dxa"/>
            <w:noWrap/>
            <w:hideMark/>
          </w:tcPr>
          <w:p w14:paraId="403E20F6" w14:textId="5894CA80"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3256B3">
              <w:rPr>
                <w:rFonts w:ascii="Aptos Narrow" w:hAnsi="Aptos Narrow"/>
                <w:color w:val="000000"/>
                <w:sz w:val="18"/>
                <w:szCs w:val="18"/>
              </w:rPr>
              <w:t xml:space="preserve"> Multiplier controlling the spread (SD) of age mixing around assortative patterns. </w:t>
            </w:r>
          </w:p>
        </w:tc>
        <w:tc>
          <w:tcPr>
            <w:tcW w:w="3509" w:type="dxa"/>
            <w:noWrap/>
            <w:hideMark/>
          </w:tcPr>
          <w:p w14:paraId="2A835F3A" w14:textId="7F902280"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3256B3">
              <w:rPr>
                <w:rFonts w:ascii="Aptos Narrow" w:hAnsi="Aptos Narrow"/>
                <w:color w:val="000000"/>
                <w:sz w:val="18"/>
                <w:szCs w:val="18"/>
              </w:rPr>
              <w:t xml:space="preserve"> Lognormal(meanlog=0, sdlog=</w:t>
            </w:r>
            <w:r w:rsidR="00ED71D4">
              <w:rPr>
                <w:rFonts w:ascii="Aptos Narrow" w:hAnsi="Aptos Narrow"/>
                <w:color w:val="000000"/>
                <w:sz w:val="18"/>
                <w:szCs w:val="18"/>
              </w:rPr>
              <w:t>log(2)/2</w:t>
            </w:r>
            <w:r w:rsidRPr="003256B3">
              <w:rPr>
                <w:rFonts w:ascii="Aptos Narrow" w:hAnsi="Aptos Narrow"/>
                <w:color w:val="000000"/>
                <w:sz w:val="18"/>
                <w:szCs w:val="18"/>
              </w:rPr>
              <w:t>).</w:t>
            </w:r>
          </w:p>
        </w:tc>
        <w:tc>
          <w:tcPr>
            <w:tcW w:w="492" w:type="dxa"/>
          </w:tcPr>
          <w:p w14:paraId="627EA348" w14:textId="77777777"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p>
        </w:tc>
      </w:tr>
      <w:tr w:rsidR="004964DF" w:rsidRPr="003256B3" w14:paraId="05B6ED07" w14:textId="2F4AE21D" w:rsidTr="004964DF">
        <w:trPr>
          <w:trHeight w:val="320"/>
        </w:trPr>
        <w:tc>
          <w:tcPr>
            <w:cnfStyle w:val="001000000000" w:firstRow="0" w:lastRow="0" w:firstColumn="1" w:lastColumn="0" w:oddVBand="0" w:evenVBand="0" w:oddHBand="0" w:evenHBand="0" w:firstRowFirstColumn="0" w:firstRowLastColumn="0" w:lastRowFirstColumn="0" w:lastRowLastColumn="0"/>
            <w:tcW w:w="2785" w:type="dxa"/>
            <w:noWrap/>
            <w:hideMark/>
          </w:tcPr>
          <w:p w14:paraId="0473DD56" w14:textId="57E31038" w:rsidR="004964DF" w:rsidRPr="003256B3" w:rsidRDefault="004964DF" w:rsidP="004964DF">
            <w:pPr>
              <w:pStyle w:val="NoSpacing"/>
              <w:rPr>
                <w:rFonts w:ascii="Times New Roman" w:hAnsi="Times New Roman"/>
                <w:sz w:val="18"/>
                <w:szCs w:val="18"/>
              </w:rPr>
            </w:pPr>
            <w:r w:rsidRPr="003256B3">
              <w:rPr>
                <w:rFonts w:ascii="Aptos Narrow" w:hAnsi="Aptos Narrow"/>
                <w:color w:val="000000"/>
                <w:sz w:val="18"/>
                <w:szCs w:val="18"/>
              </w:rPr>
              <w:t xml:space="preserve"> Race assortative mixing multipliers </w:t>
            </w:r>
          </w:p>
        </w:tc>
        <w:tc>
          <w:tcPr>
            <w:tcW w:w="4546" w:type="dxa"/>
            <w:noWrap/>
            <w:hideMark/>
          </w:tcPr>
          <w:p w14:paraId="6BFED873" w14:textId="3CF224F6"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3256B3">
              <w:rPr>
                <w:rFonts w:ascii="Aptos Narrow" w:hAnsi="Aptos Narrow"/>
                <w:color w:val="000000"/>
                <w:sz w:val="18"/>
                <w:szCs w:val="18"/>
              </w:rPr>
              <w:t xml:space="preserve"> Excess within-race pairing for Black–Black, Hispanic–Hispanic, Other–Other partnerships. </w:t>
            </w:r>
          </w:p>
        </w:tc>
        <w:tc>
          <w:tcPr>
            <w:tcW w:w="3509" w:type="dxa"/>
            <w:noWrap/>
            <w:hideMark/>
          </w:tcPr>
          <w:p w14:paraId="2AC29410" w14:textId="3080CB6F"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3256B3">
              <w:rPr>
                <w:rFonts w:ascii="Aptos Narrow" w:hAnsi="Aptos Narrow"/>
                <w:color w:val="000000"/>
                <w:sz w:val="18"/>
                <w:szCs w:val="18"/>
              </w:rPr>
              <w:t xml:space="preserve"> Lognormal(meanlog=log(4), sdlog=log(2)) for each.</w:t>
            </w:r>
          </w:p>
        </w:tc>
        <w:tc>
          <w:tcPr>
            <w:tcW w:w="492" w:type="dxa"/>
          </w:tcPr>
          <w:p w14:paraId="66D14E05" w14:textId="77777777"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r>
      <w:tr w:rsidR="004964DF" w:rsidRPr="003256B3" w14:paraId="08580CDE" w14:textId="06AB0DB5" w:rsidTr="004964DF">
        <w:trPr>
          <w:trHeight w:val="400"/>
        </w:trPr>
        <w:tc>
          <w:tcPr>
            <w:cnfStyle w:val="001000000000" w:firstRow="0" w:lastRow="0" w:firstColumn="1" w:lastColumn="0" w:oddVBand="0" w:evenVBand="0" w:oddHBand="0" w:evenHBand="0" w:firstRowFirstColumn="0" w:firstRowLastColumn="0" w:lastRowFirstColumn="0" w:lastRowLastColumn="0"/>
            <w:tcW w:w="2785" w:type="dxa"/>
            <w:noWrap/>
            <w:hideMark/>
          </w:tcPr>
          <w:p w14:paraId="55C0CB03" w14:textId="183F0E27" w:rsidR="004964DF" w:rsidRPr="003256B3" w:rsidRDefault="004964DF" w:rsidP="004964DF">
            <w:pPr>
              <w:pStyle w:val="NoSpacing"/>
              <w:rPr>
                <w:rFonts w:ascii="Aptos Narrow" w:hAnsi="Aptos Narrow"/>
                <w:color w:val="000000"/>
                <w:sz w:val="18"/>
                <w:szCs w:val="18"/>
              </w:rPr>
            </w:pPr>
            <w:r w:rsidRPr="003256B3">
              <w:rPr>
                <w:rFonts w:ascii="Aptos Narrow" w:hAnsi="Aptos Narrow"/>
                <w:color w:val="000000"/>
                <w:sz w:val="18"/>
                <w:szCs w:val="18"/>
              </w:rPr>
              <w:t xml:space="preserve"> Risk-mixing parameters </w:t>
            </w:r>
          </w:p>
        </w:tc>
        <w:tc>
          <w:tcPr>
            <w:tcW w:w="4546" w:type="dxa"/>
            <w:noWrap/>
            <w:hideMark/>
          </w:tcPr>
          <w:p w14:paraId="603928A0" w14:textId="3B8F9AC7"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3256B3">
              <w:rPr>
                <w:rFonts w:ascii="Aptos Narrow" w:hAnsi="Aptos Narrow"/>
                <w:color w:val="000000"/>
                <w:sz w:val="18"/>
                <w:szCs w:val="18"/>
              </w:rPr>
              <w:t xml:space="preserve"> Cross-risk mixing: female–MSM pairing OE, fraction of heterosexual-male pairings with male, fraction of MSM pairings with female. </w:t>
            </w:r>
          </w:p>
        </w:tc>
        <w:tc>
          <w:tcPr>
            <w:tcW w:w="3509" w:type="dxa"/>
            <w:noWrap/>
            <w:hideMark/>
          </w:tcPr>
          <w:p w14:paraId="0BD8699B" w14:textId="7AA3D184"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3256B3">
              <w:rPr>
                <w:rFonts w:ascii="Aptos Narrow" w:hAnsi="Aptos Narrow"/>
                <w:color w:val="000000"/>
                <w:sz w:val="18"/>
                <w:szCs w:val="18"/>
              </w:rPr>
              <w:t xml:space="preserve"> Lognormal(meanlog=log(0.0895), sdlog=log(2)); Logitnormal(meanlogit=logit(0.004), sdlogit=log(2)); Logitnormal(meanlogit=logit(0.1187612), sdlogit=log(2)).</w:t>
            </w:r>
          </w:p>
        </w:tc>
        <w:tc>
          <w:tcPr>
            <w:tcW w:w="492" w:type="dxa"/>
          </w:tcPr>
          <w:p w14:paraId="6B397DD7" w14:textId="77777777"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p>
        </w:tc>
      </w:tr>
      <w:tr w:rsidR="004964DF" w:rsidRPr="003256B3" w14:paraId="3E6600B7" w14:textId="77777777" w:rsidTr="004964DF">
        <w:trPr>
          <w:trHeight w:val="320"/>
        </w:trPr>
        <w:tc>
          <w:tcPr>
            <w:cnfStyle w:val="001000000000" w:firstRow="0" w:lastRow="0" w:firstColumn="1" w:lastColumn="0" w:oddVBand="0" w:evenVBand="0" w:oddHBand="0" w:evenHBand="0" w:firstRowFirstColumn="0" w:firstRowLastColumn="0" w:lastRowFirstColumn="0" w:lastRowLastColumn="0"/>
            <w:tcW w:w="2785" w:type="dxa"/>
            <w:shd w:val="clear" w:color="auto" w:fill="D1D1D1" w:themeFill="background2" w:themeFillShade="E6"/>
            <w:noWrap/>
          </w:tcPr>
          <w:p w14:paraId="3C154327" w14:textId="1C0DD008" w:rsidR="004964DF" w:rsidRPr="003256B3" w:rsidRDefault="004964DF" w:rsidP="004964DF">
            <w:pPr>
              <w:pStyle w:val="NoSpacing"/>
              <w:rPr>
                <w:rFonts w:ascii="Aptos Narrow" w:hAnsi="Aptos Narrow"/>
                <w:color w:val="000000"/>
                <w:sz w:val="18"/>
                <w:szCs w:val="18"/>
              </w:rPr>
            </w:pPr>
            <w:r w:rsidRPr="003256B3">
              <w:rPr>
                <w:sz w:val="18"/>
                <w:szCs w:val="18"/>
              </w:rPr>
              <w:t xml:space="preserve">Symptomatology and care-seeking </w:t>
            </w:r>
          </w:p>
        </w:tc>
        <w:tc>
          <w:tcPr>
            <w:tcW w:w="4546" w:type="dxa"/>
            <w:shd w:val="clear" w:color="auto" w:fill="D1D1D1" w:themeFill="background2" w:themeFillShade="E6"/>
            <w:noWrap/>
          </w:tcPr>
          <w:p w14:paraId="16BE002B" w14:textId="364BFBF6"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p>
        </w:tc>
        <w:tc>
          <w:tcPr>
            <w:tcW w:w="3509" w:type="dxa"/>
            <w:shd w:val="clear" w:color="auto" w:fill="D1D1D1" w:themeFill="background2" w:themeFillShade="E6"/>
            <w:noWrap/>
          </w:tcPr>
          <w:p w14:paraId="121932A9" w14:textId="77777777"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p>
        </w:tc>
        <w:tc>
          <w:tcPr>
            <w:tcW w:w="492" w:type="dxa"/>
            <w:shd w:val="clear" w:color="auto" w:fill="D1D1D1" w:themeFill="background2" w:themeFillShade="E6"/>
          </w:tcPr>
          <w:p w14:paraId="6BB94A58" w14:textId="77777777"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r>
      <w:tr w:rsidR="004964DF" w:rsidRPr="003256B3" w14:paraId="3AC04F7A" w14:textId="179D9DF0" w:rsidTr="004964DF">
        <w:trPr>
          <w:trHeight w:val="320"/>
        </w:trPr>
        <w:tc>
          <w:tcPr>
            <w:cnfStyle w:val="001000000000" w:firstRow="0" w:lastRow="0" w:firstColumn="1" w:lastColumn="0" w:oddVBand="0" w:evenVBand="0" w:oddHBand="0" w:evenHBand="0" w:firstRowFirstColumn="0" w:firstRowLastColumn="0" w:lastRowFirstColumn="0" w:lastRowLastColumn="0"/>
            <w:tcW w:w="2785" w:type="dxa"/>
            <w:noWrap/>
            <w:hideMark/>
          </w:tcPr>
          <w:p w14:paraId="52160454" w14:textId="7D80BDE5" w:rsidR="004964DF" w:rsidRPr="003256B3" w:rsidRDefault="004964DF" w:rsidP="004964DF">
            <w:pPr>
              <w:pStyle w:val="NoSpacing"/>
              <w:rPr>
                <w:rFonts w:ascii="Times New Roman" w:hAnsi="Times New Roman"/>
                <w:sz w:val="18"/>
                <w:szCs w:val="18"/>
              </w:rPr>
            </w:pPr>
            <w:r w:rsidRPr="003256B3">
              <w:rPr>
                <w:rFonts w:ascii="Aptos Narrow" w:hAnsi="Aptos Narrow"/>
                <w:color w:val="000000"/>
                <w:sz w:val="18"/>
                <w:szCs w:val="18"/>
              </w:rPr>
              <w:lastRenderedPageBreak/>
              <w:t xml:space="preserve"> Symptom presentation (PS stage) </w:t>
            </w:r>
          </w:p>
        </w:tc>
        <w:tc>
          <w:tcPr>
            <w:tcW w:w="4546" w:type="dxa"/>
            <w:noWrap/>
            <w:hideMark/>
          </w:tcPr>
          <w:p w14:paraId="31B0E182" w14:textId="4F01F1B4"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3256B3">
              <w:rPr>
                <w:rFonts w:ascii="Aptos Narrow" w:hAnsi="Aptos Narrow"/>
                <w:color w:val="000000"/>
                <w:sz w:val="18"/>
                <w:szCs w:val="18"/>
              </w:rPr>
              <w:t xml:space="preserve"> Proportion symptomatic in primary (MSM baseline; female and heterosexual-male as ratios) and in secondary (overall), shaping symptomatic care-seeking flows. </w:t>
            </w:r>
          </w:p>
        </w:tc>
        <w:tc>
          <w:tcPr>
            <w:tcW w:w="3509" w:type="dxa"/>
            <w:noWrap/>
            <w:hideMark/>
          </w:tcPr>
          <w:p w14:paraId="69C80DA5" w14:textId="18A25571"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3256B3">
              <w:rPr>
                <w:rFonts w:ascii="Aptos Narrow" w:hAnsi="Aptos Narrow"/>
                <w:color w:val="000000"/>
                <w:sz w:val="18"/>
                <w:szCs w:val="18"/>
              </w:rPr>
              <w:t xml:space="preserve"> Primary MSM: Logitnormal(meanlogit=logit(0.25), sdlogit=log(2)/2); female ratio: Logitnormal(meanlogit=logit(0.66), sdlogit=log(2)/2); heterosexual-male ratio: Lognormal(meanlog=log(1), sdlog=log(1.2)/2); Secondary: Logitnormal(meanlogit=logit(0.16), sdlogit=log(2)/2).</w:t>
            </w:r>
          </w:p>
        </w:tc>
        <w:tc>
          <w:tcPr>
            <w:tcW w:w="492" w:type="dxa"/>
          </w:tcPr>
          <w:p w14:paraId="14C0CB58" w14:textId="77777777"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r>
      <w:tr w:rsidR="004964DF" w:rsidRPr="003256B3" w14:paraId="0E5DBCB0" w14:textId="4345A990" w:rsidTr="004964DF">
        <w:trPr>
          <w:trHeight w:val="400"/>
        </w:trPr>
        <w:tc>
          <w:tcPr>
            <w:cnfStyle w:val="001000000000" w:firstRow="0" w:lastRow="0" w:firstColumn="1" w:lastColumn="0" w:oddVBand="0" w:evenVBand="0" w:oddHBand="0" w:evenHBand="0" w:firstRowFirstColumn="0" w:firstRowLastColumn="0" w:lastRowFirstColumn="0" w:lastRowLastColumn="0"/>
            <w:tcW w:w="2785" w:type="dxa"/>
            <w:noWrap/>
            <w:hideMark/>
          </w:tcPr>
          <w:p w14:paraId="229F61F9" w14:textId="040376BC" w:rsidR="004964DF" w:rsidRPr="003256B3" w:rsidRDefault="004964DF" w:rsidP="004964DF">
            <w:pPr>
              <w:pStyle w:val="NoSpacing"/>
              <w:rPr>
                <w:rFonts w:ascii="Aptos Narrow" w:hAnsi="Aptos Narrow"/>
                <w:color w:val="000000"/>
                <w:sz w:val="18"/>
                <w:szCs w:val="18"/>
              </w:rPr>
            </w:pPr>
            <w:r w:rsidRPr="003256B3">
              <w:rPr>
                <w:rFonts w:ascii="Aptos Narrow" w:hAnsi="Aptos Narrow"/>
                <w:color w:val="000000"/>
                <w:sz w:val="18"/>
                <w:szCs w:val="18"/>
              </w:rPr>
              <w:t xml:space="preserve"> Care-seeking if symptomatic (PS) </w:t>
            </w:r>
          </w:p>
        </w:tc>
        <w:tc>
          <w:tcPr>
            <w:tcW w:w="4546" w:type="dxa"/>
            <w:noWrap/>
            <w:hideMark/>
          </w:tcPr>
          <w:p w14:paraId="577E42E1" w14:textId="48D947C4"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3256B3">
              <w:rPr>
                <w:rFonts w:ascii="Aptos Narrow" w:hAnsi="Aptos Narrow"/>
                <w:color w:val="000000"/>
                <w:sz w:val="18"/>
                <w:szCs w:val="18"/>
              </w:rPr>
              <w:t xml:space="preserve"> Logit-linear intercept multipliers by sex and by race, plus a shared slope modifier controlling temporal change. </w:t>
            </w:r>
          </w:p>
        </w:tc>
        <w:tc>
          <w:tcPr>
            <w:tcW w:w="3509" w:type="dxa"/>
            <w:noWrap/>
            <w:hideMark/>
          </w:tcPr>
          <w:p w14:paraId="21D89F23" w14:textId="529CCEA4"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3256B3">
              <w:rPr>
                <w:rFonts w:ascii="Aptos Narrow" w:hAnsi="Aptos Narrow"/>
                <w:color w:val="000000"/>
                <w:sz w:val="18"/>
                <w:szCs w:val="18"/>
              </w:rPr>
              <w:t xml:space="preserve"> Intercepts (sex and race): Lognormal(meanlog=0, sdlog=log(2)/2); Slope: Lognormal(meanlog=0, sdlog=(log(2)/2)/10).</w:t>
            </w:r>
          </w:p>
        </w:tc>
        <w:tc>
          <w:tcPr>
            <w:tcW w:w="492" w:type="dxa"/>
          </w:tcPr>
          <w:p w14:paraId="6286D4CC" w14:textId="77777777"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p>
        </w:tc>
      </w:tr>
      <w:tr w:rsidR="004964DF" w:rsidRPr="003256B3" w14:paraId="5B6CD203" w14:textId="699E8DFE" w:rsidTr="004964DF">
        <w:trPr>
          <w:trHeight w:val="320"/>
        </w:trPr>
        <w:tc>
          <w:tcPr>
            <w:cnfStyle w:val="001000000000" w:firstRow="0" w:lastRow="0" w:firstColumn="1" w:lastColumn="0" w:oddVBand="0" w:evenVBand="0" w:oddHBand="0" w:evenHBand="0" w:firstRowFirstColumn="0" w:firstRowLastColumn="0" w:lastRowFirstColumn="0" w:lastRowLastColumn="0"/>
            <w:tcW w:w="2785" w:type="dxa"/>
            <w:noWrap/>
            <w:hideMark/>
          </w:tcPr>
          <w:p w14:paraId="043D5A6B" w14:textId="5BBAB326" w:rsidR="004964DF" w:rsidRPr="003256B3" w:rsidRDefault="004964DF" w:rsidP="004964DF">
            <w:pPr>
              <w:pStyle w:val="NoSpacing"/>
              <w:rPr>
                <w:rFonts w:ascii="Times New Roman" w:hAnsi="Times New Roman"/>
                <w:sz w:val="18"/>
                <w:szCs w:val="18"/>
              </w:rPr>
            </w:pPr>
            <w:r w:rsidRPr="003256B3">
              <w:rPr>
                <w:rFonts w:ascii="Aptos Narrow" w:hAnsi="Aptos Narrow"/>
                <w:color w:val="000000"/>
                <w:sz w:val="18"/>
                <w:szCs w:val="18"/>
              </w:rPr>
              <w:t xml:space="preserve"> STI screening (asymptomatic) </w:t>
            </w:r>
          </w:p>
        </w:tc>
        <w:tc>
          <w:tcPr>
            <w:tcW w:w="4546" w:type="dxa"/>
            <w:noWrap/>
            <w:hideMark/>
          </w:tcPr>
          <w:p w14:paraId="40C261D6" w14:textId="2477AF32"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3256B3">
              <w:rPr>
                <w:rFonts w:ascii="Aptos Narrow" w:hAnsi="Aptos Narrow"/>
                <w:color w:val="000000"/>
                <w:sz w:val="18"/>
                <w:szCs w:val="18"/>
              </w:rPr>
              <w:t xml:space="preserve"> Logit-linear intercept multipliers by sex and by race for screening intensity, plus a shared slope modifier over time. </w:t>
            </w:r>
          </w:p>
        </w:tc>
        <w:tc>
          <w:tcPr>
            <w:tcW w:w="3509" w:type="dxa"/>
            <w:noWrap/>
            <w:hideMark/>
          </w:tcPr>
          <w:p w14:paraId="7C301399" w14:textId="1E88C458"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3256B3">
              <w:rPr>
                <w:rFonts w:ascii="Aptos Narrow" w:hAnsi="Aptos Narrow"/>
                <w:color w:val="000000"/>
                <w:sz w:val="18"/>
                <w:szCs w:val="18"/>
              </w:rPr>
              <w:t xml:space="preserve"> Intercepts (sex and race): Lognormal(meanlog=0, sdlog=log(2)/2); Slope: Lognormal(meanlog=0, sdlog=(log(2)/2)/10).</w:t>
            </w:r>
          </w:p>
        </w:tc>
        <w:tc>
          <w:tcPr>
            <w:tcW w:w="492" w:type="dxa"/>
          </w:tcPr>
          <w:p w14:paraId="02BA3B18" w14:textId="77777777"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r>
      <w:tr w:rsidR="004964DF" w:rsidRPr="003256B3" w14:paraId="0A056612" w14:textId="3D79B7D3" w:rsidTr="004964DF">
        <w:trPr>
          <w:trHeight w:val="400"/>
        </w:trPr>
        <w:tc>
          <w:tcPr>
            <w:cnfStyle w:val="001000000000" w:firstRow="0" w:lastRow="0" w:firstColumn="1" w:lastColumn="0" w:oddVBand="0" w:evenVBand="0" w:oddHBand="0" w:evenHBand="0" w:firstRowFirstColumn="0" w:firstRowLastColumn="0" w:lastRowFirstColumn="0" w:lastRowLastColumn="0"/>
            <w:tcW w:w="2785" w:type="dxa"/>
            <w:noWrap/>
            <w:hideMark/>
          </w:tcPr>
          <w:p w14:paraId="362F757A" w14:textId="411A570F" w:rsidR="004964DF" w:rsidRPr="003256B3" w:rsidRDefault="004964DF" w:rsidP="004964DF">
            <w:pPr>
              <w:pStyle w:val="NoSpacing"/>
              <w:rPr>
                <w:rFonts w:ascii="Aptos Narrow" w:hAnsi="Aptos Narrow"/>
                <w:color w:val="000000"/>
                <w:sz w:val="18"/>
                <w:szCs w:val="18"/>
              </w:rPr>
            </w:pPr>
            <w:r w:rsidRPr="003256B3">
              <w:rPr>
                <w:rFonts w:ascii="Aptos Narrow" w:hAnsi="Aptos Narrow"/>
                <w:color w:val="000000"/>
                <w:sz w:val="18"/>
                <w:szCs w:val="18"/>
              </w:rPr>
              <w:t xml:space="preserve"> Syphilis-to-HIV testing ratio </w:t>
            </w:r>
          </w:p>
        </w:tc>
        <w:tc>
          <w:tcPr>
            <w:tcW w:w="4546" w:type="dxa"/>
            <w:noWrap/>
            <w:hideMark/>
          </w:tcPr>
          <w:p w14:paraId="55BAA7F4" w14:textId="256A159C"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3256B3">
              <w:rPr>
                <w:rFonts w:ascii="Aptos Narrow" w:hAnsi="Aptos Narrow"/>
                <w:color w:val="000000"/>
                <w:sz w:val="18"/>
                <w:szCs w:val="18"/>
              </w:rPr>
              <w:t xml:space="preserve"> Logit-linear intercept multipliers by sex and by race and a small slope governing change in the ratio over time. </w:t>
            </w:r>
          </w:p>
        </w:tc>
        <w:tc>
          <w:tcPr>
            <w:tcW w:w="3509" w:type="dxa"/>
            <w:noWrap/>
            <w:hideMark/>
          </w:tcPr>
          <w:p w14:paraId="74CA2549" w14:textId="31DCA2DA"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3256B3">
              <w:rPr>
                <w:rFonts w:ascii="Aptos Narrow" w:hAnsi="Aptos Narrow"/>
                <w:color w:val="000000"/>
                <w:sz w:val="18"/>
                <w:szCs w:val="18"/>
              </w:rPr>
              <w:t xml:space="preserve"> Intercepts: Lognormal(meanlog=0, sdlog=log(2)/2); Slope: Lognormal(meanlog=0, sdlog=(log(1.25)/2)/10).</w:t>
            </w:r>
          </w:p>
        </w:tc>
        <w:tc>
          <w:tcPr>
            <w:tcW w:w="492" w:type="dxa"/>
          </w:tcPr>
          <w:p w14:paraId="018DE4A9" w14:textId="77777777"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p>
        </w:tc>
      </w:tr>
      <w:tr w:rsidR="004964DF" w:rsidRPr="003256B3" w14:paraId="46E1DC5A" w14:textId="77777777" w:rsidTr="004964DF">
        <w:trPr>
          <w:trHeight w:val="320"/>
        </w:trPr>
        <w:tc>
          <w:tcPr>
            <w:cnfStyle w:val="001000000000" w:firstRow="0" w:lastRow="0" w:firstColumn="1" w:lastColumn="0" w:oddVBand="0" w:evenVBand="0" w:oddHBand="0" w:evenHBand="0" w:firstRowFirstColumn="0" w:firstRowLastColumn="0" w:lastRowFirstColumn="0" w:lastRowLastColumn="0"/>
            <w:tcW w:w="2785" w:type="dxa"/>
            <w:shd w:val="clear" w:color="auto" w:fill="D1D1D1" w:themeFill="background2" w:themeFillShade="E6"/>
            <w:noWrap/>
          </w:tcPr>
          <w:p w14:paraId="7A5ABA1C" w14:textId="0838A469" w:rsidR="004964DF" w:rsidRPr="003256B3" w:rsidRDefault="004964DF" w:rsidP="004964DF">
            <w:pPr>
              <w:pStyle w:val="NoSpacing"/>
              <w:rPr>
                <w:rFonts w:ascii="Aptos Narrow" w:hAnsi="Aptos Narrow"/>
                <w:color w:val="000000"/>
                <w:sz w:val="18"/>
                <w:szCs w:val="18"/>
              </w:rPr>
            </w:pPr>
            <w:r w:rsidRPr="003256B3">
              <w:rPr>
                <w:sz w:val="18"/>
                <w:szCs w:val="18"/>
              </w:rPr>
              <w:t xml:space="preserve">Reporting and classification </w:t>
            </w:r>
          </w:p>
        </w:tc>
        <w:tc>
          <w:tcPr>
            <w:tcW w:w="4546" w:type="dxa"/>
            <w:shd w:val="clear" w:color="auto" w:fill="D1D1D1" w:themeFill="background2" w:themeFillShade="E6"/>
            <w:noWrap/>
          </w:tcPr>
          <w:p w14:paraId="05A2C700" w14:textId="77777777"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p>
        </w:tc>
        <w:tc>
          <w:tcPr>
            <w:tcW w:w="3509" w:type="dxa"/>
            <w:shd w:val="clear" w:color="auto" w:fill="D1D1D1" w:themeFill="background2" w:themeFillShade="E6"/>
            <w:noWrap/>
          </w:tcPr>
          <w:p w14:paraId="50B9042B" w14:textId="77777777"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p>
        </w:tc>
        <w:tc>
          <w:tcPr>
            <w:tcW w:w="492" w:type="dxa"/>
            <w:shd w:val="clear" w:color="auto" w:fill="D1D1D1" w:themeFill="background2" w:themeFillShade="E6"/>
          </w:tcPr>
          <w:p w14:paraId="64E1D629" w14:textId="77777777"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r>
      <w:tr w:rsidR="004964DF" w:rsidRPr="003256B3" w14:paraId="6AA54937" w14:textId="3B89EB0E" w:rsidTr="004964DF">
        <w:trPr>
          <w:trHeight w:val="320"/>
        </w:trPr>
        <w:tc>
          <w:tcPr>
            <w:cnfStyle w:val="001000000000" w:firstRow="0" w:lastRow="0" w:firstColumn="1" w:lastColumn="0" w:oddVBand="0" w:evenVBand="0" w:oddHBand="0" w:evenHBand="0" w:firstRowFirstColumn="0" w:firstRowLastColumn="0" w:lastRowFirstColumn="0" w:lastRowLastColumn="0"/>
            <w:tcW w:w="2785" w:type="dxa"/>
            <w:noWrap/>
            <w:hideMark/>
          </w:tcPr>
          <w:p w14:paraId="2F31B9A9" w14:textId="2486A9CE" w:rsidR="004964DF" w:rsidRPr="003256B3" w:rsidRDefault="004964DF" w:rsidP="004964DF">
            <w:pPr>
              <w:pStyle w:val="NoSpacing"/>
              <w:rPr>
                <w:rFonts w:ascii="Times New Roman" w:hAnsi="Times New Roman"/>
                <w:sz w:val="18"/>
                <w:szCs w:val="18"/>
              </w:rPr>
            </w:pPr>
            <w:r w:rsidRPr="003256B3">
              <w:rPr>
                <w:rFonts w:ascii="Aptos Narrow" w:hAnsi="Aptos Narrow"/>
                <w:color w:val="000000"/>
                <w:sz w:val="18"/>
                <w:szCs w:val="18"/>
              </w:rPr>
              <w:t xml:space="preserve"> Misclassification between EL and LL </w:t>
            </w:r>
          </w:p>
        </w:tc>
        <w:tc>
          <w:tcPr>
            <w:tcW w:w="4546" w:type="dxa"/>
            <w:noWrap/>
            <w:hideMark/>
          </w:tcPr>
          <w:p w14:paraId="21AC41DE" w14:textId="5D2D0C97"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3256B3">
              <w:rPr>
                <w:rFonts w:ascii="Aptos Narrow" w:hAnsi="Aptos Narrow"/>
                <w:color w:val="000000"/>
                <w:sz w:val="18"/>
                <w:szCs w:val="18"/>
              </w:rPr>
              <w:t xml:space="preserve"> Fractions of early-latent misclassified as late and vice versa, mapping observed reporting to modeled states. </w:t>
            </w:r>
          </w:p>
        </w:tc>
        <w:tc>
          <w:tcPr>
            <w:tcW w:w="3509" w:type="dxa"/>
            <w:noWrap/>
            <w:hideMark/>
          </w:tcPr>
          <w:p w14:paraId="6867A156" w14:textId="2448E502"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3256B3">
              <w:rPr>
                <w:rFonts w:ascii="Aptos Narrow" w:hAnsi="Aptos Narrow"/>
                <w:color w:val="000000"/>
                <w:sz w:val="18"/>
                <w:szCs w:val="18"/>
              </w:rPr>
              <w:t xml:space="preserve"> Logitnormal(meanlogit=logit(0.096), sdlog=log(2)); Logitnormal(meanlogit=logit(0.27), sdlog=log(2)).</w:t>
            </w:r>
          </w:p>
        </w:tc>
        <w:tc>
          <w:tcPr>
            <w:tcW w:w="492" w:type="dxa"/>
          </w:tcPr>
          <w:p w14:paraId="350B52C0" w14:textId="77777777"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r>
      <w:tr w:rsidR="004964DF" w:rsidRPr="003256B3" w14:paraId="04CAF51E" w14:textId="77777777" w:rsidTr="004964DF">
        <w:trPr>
          <w:trHeight w:val="400"/>
        </w:trPr>
        <w:tc>
          <w:tcPr>
            <w:cnfStyle w:val="001000000000" w:firstRow="0" w:lastRow="0" w:firstColumn="1" w:lastColumn="0" w:oddVBand="0" w:evenVBand="0" w:oddHBand="0" w:evenHBand="0" w:firstRowFirstColumn="0" w:firstRowLastColumn="0" w:lastRowFirstColumn="0" w:lastRowLastColumn="0"/>
            <w:tcW w:w="2785" w:type="dxa"/>
            <w:shd w:val="clear" w:color="auto" w:fill="D1D1D1" w:themeFill="background2" w:themeFillShade="E6"/>
            <w:noWrap/>
          </w:tcPr>
          <w:p w14:paraId="6CDD3150" w14:textId="1A78DD6F" w:rsidR="004964DF" w:rsidRPr="003256B3" w:rsidRDefault="004964DF" w:rsidP="004964DF">
            <w:pPr>
              <w:pStyle w:val="NoSpacing"/>
              <w:rPr>
                <w:rFonts w:ascii="Aptos Narrow" w:hAnsi="Aptos Narrow"/>
                <w:color w:val="000000"/>
                <w:sz w:val="18"/>
                <w:szCs w:val="18"/>
              </w:rPr>
            </w:pPr>
            <w:r w:rsidRPr="003256B3">
              <w:rPr>
                <w:sz w:val="18"/>
                <w:szCs w:val="18"/>
              </w:rPr>
              <w:t xml:space="preserve">Maternal screening and prevention </w:t>
            </w:r>
          </w:p>
        </w:tc>
        <w:tc>
          <w:tcPr>
            <w:tcW w:w="4546" w:type="dxa"/>
            <w:shd w:val="clear" w:color="auto" w:fill="D1D1D1" w:themeFill="background2" w:themeFillShade="E6"/>
            <w:noWrap/>
          </w:tcPr>
          <w:p w14:paraId="7CB9C8EA" w14:textId="77777777"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p>
        </w:tc>
        <w:tc>
          <w:tcPr>
            <w:tcW w:w="3509" w:type="dxa"/>
            <w:shd w:val="clear" w:color="auto" w:fill="D1D1D1" w:themeFill="background2" w:themeFillShade="E6"/>
            <w:noWrap/>
          </w:tcPr>
          <w:p w14:paraId="7E5DA6C6" w14:textId="77777777"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p>
        </w:tc>
        <w:tc>
          <w:tcPr>
            <w:tcW w:w="492" w:type="dxa"/>
            <w:shd w:val="clear" w:color="auto" w:fill="D1D1D1" w:themeFill="background2" w:themeFillShade="E6"/>
          </w:tcPr>
          <w:p w14:paraId="69D3FE2D" w14:textId="77777777"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p>
        </w:tc>
      </w:tr>
      <w:tr w:rsidR="004964DF" w:rsidRPr="003256B3" w14:paraId="5EF0F19F" w14:textId="0E726CD0" w:rsidTr="004964DF">
        <w:trPr>
          <w:trHeight w:val="400"/>
        </w:trPr>
        <w:tc>
          <w:tcPr>
            <w:cnfStyle w:val="001000000000" w:firstRow="0" w:lastRow="0" w:firstColumn="1" w:lastColumn="0" w:oddVBand="0" w:evenVBand="0" w:oddHBand="0" w:evenHBand="0" w:firstRowFirstColumn="0" w:firstRowLastColumn="0" w:lastRowFirstColumn="0" w:lastRowLastColumn="0"/>
            <w:tcW w:w="2785" w:type="dxa"/>
            <w:noWrap/>
            <w:hideMark/>
          </w:tcPr>
          <w:p w14:paraId="4FAB3647" w14:textId="5F6DE37F" w:rsidR="004964DF" w:rsidRPr="003256B3" w:rsidRDefault="004964DF" w:rsidP="004964DF">
            <w:pPr>
              <w:pStyle w:val="NoSpacing"/>
              <w:rPr>
                <w:rFonts w:ascii="Aptos Narrow" w:hAnsi="Aptos Narrow"/>
                <w:color w:val="000000"/>
                <w:sz w:val="18"/>
                <w:szCs w:val="18"/>
              </w:rPr>
            </w:pPr>
            <w:r w:rsidRPr="003256B3">
              <w:rPr>
                <w:rFonts w:ascii="Aptos Narrow" w:hAnsi="Aptos Narrow"/>
                <w:color w:val="000000"/>
                <w:sz w:val="18"/>
                <w:szCs w:val="18"/>
              </w:rPr>
              <w:t xml:space="preserve"> Prenatal care uptake (by trimester) </w:t>
            </w:r>
          </w:p>
        </w:tc>
        <w:tc>
          <w:tcPr>
            <w:tcW w:w="4546" w:type="dxa"/>
            <w:noWrap/>
            <w:hideMark/>
          </w:tcPr>
          <w:p w14:paraId="764E0EF7" w14:textId="1C55FD22"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3256B3">
              <w:rPr>
                <w:rFonts w:ascii="Aptos Narrow" w:hAnsi="Aptos Narrow"/>
                <w:color w:val="000000"/>
                <w:sz w:val="18"/>
                <w:szCs w:val="18"/>
              </w:rPr>
              <w:t xml:space="preserve"> Global intercept and slope multipliers for first, second, and third trimester prenatal care probabilities, influencing congenital syphilis prevention pathways. </w:t>
            </w:r>
          </w:p>
        </w:tc>
        <w:tc>
          <w:tcPr>
            <w:tcW w:w="3509" w:type="dxa"/>
            <w:noWrap/>
            <w:hideMark/>
          </w:tcPr>
          <w:p w14:paraId="2BA11D62" w14:textId="14316DC2"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r w:rsidRPr="003256B3">
              <w:rPr>
                <w:rFonts w:ascii="Aptos Narrow" w:hAnsi="Aptos Narrow"/>
                <w:color w:val="000000"/>
                <w:sz w:val="18"/>
                <w:szCs w:val="18"/>
              </w:rPr>
              <w:t xml:space="preserve"> Intercepts: Lognormal(meanlog=0, sdlog=log(2)/2); Slopes: Lognormal(meanlog=0, sdlog=(log(2)/2)/5).</w:t>
            </w:r>
          </w:p>
        </w:tc>
        <w:tc>
          <w:tcPr>
            <w:tcW w:w="492" w:type="dxa"/>
          </w:tcPr>
          <w:p w14:paraId="56C531F7" w14:textId="77777777" w:rsidR="004964DF" w:rsidRPr="003256B3" w:rsidRDefault="004964DF" w:rsidP="004964DF">
            <w:pPr>
              <w:pStyle w:val="NoSpacing"/>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18"/>
                <w:szCs w:val="18"/>
              </w:rPr>
            </w:pPr>
          </w:p>
        </w:tc>
      </w:tr>
    </w:tbl>
    <w:p w14:paraId="4E615529" w14:textId="77777777" w:rsidR="004964DF" w:rsidRDefault="004964DF" w:rsidP="003A1C2A">
      <w:pPr>
        <w:pStyle w:val="NoSpacing"/>
      </w:pPr>
    </w:p>
    <w:p w14:paraId="3F6EB14F" w14:textId="2AECF691" w:rsidR="003A1C2A" w:rsidRDefault="00A02831" w:rsidP="003A1C2A">
      <w:pPr>
        <w:pStyle w:val="NoSpacing"/>
      </w:pPr>
      <w:r>
        <w:t xml:space="preserve"> </w:t>
      </w:r>
    </w:p>
    <w:p w14:paraId="149502B6" w14:textId="77777777" w:rsidR="003A1C2A" w:rsidRDefault="003A1C2A" w:rsidP="003A1C2A">
      <w:pPr>
        <w:pStyle w:val="NoSpacing"/>
      </w:pPr>
    </w:p>
    <w:p w14:paraId="36D80E4F" w14:textId="77777777" w:rsidR="003A1C2A" w:rsidRDefault="003A1C2A" w:rsidP="003A1C2A">
      <w:pPr>
        <w:pStyle w:val="NoSpacing"/>
      </w:pPr>
    </w:p>
    <w:p w14:paraId="19A9B562" w14:textId="77777777" w:rsidR="003A1C2A" w:rsidRDefault="003A1C2A" w:rsidP="00625032">
      <w:pPr>
        <w:pStyle w:val="Heading2"/>
      </w:pPr>
      <w:r>
        <w:t>Bayesian formulation</w:t>
      </w:r>
    </w:p>
    <w:p w14:paraId="65A68474" w14:textId="2A6831C5" w:rsidR="00814A1A" w:rsidRDefault="00ED71D4" w:rsidP="00625032">
      <w:pPr>
        <w:pStyle w:val="Heading2"/>
      </w:pPr>
      <w:r>
        <w:t xml:space="preserve">Parameter </w:t>
      </w:r>
      <w:r w:rsidR="003A1C2A">
        <w:t xml:space="preserve">Priors: </w:t>
      </w:r>
    </w:p>
    <w:p w14:paraId="31998E63" w14:textId="4D33F434" w:rsidR="00814A1A" w:rsidRDefault="003A1C2A" w:rsidP="00444F85">
      <w:pPr>
        <w:pStyle w:val="Heading3"/>
      </w:pPr>
      <w:r>
        <w:t xml:space="preserve">Likelihoods: </w:t>
      </w:r>
    </w:p>
    <w:p w14:paraId="264C20A6" w14:textId="02D7B35A" w:rsidR="003A1C2A" w:rsidRDefault="00ED71D4" w:rsidP="003A1C2A">
      <w:pPr>
        <w:pStyle w:val="NoSpacing"/>
      </w:pPr>
      <w:r>
        <w:t xml:space="preserve">Explanation of likelihoods and the parameters used to define them </w:t>
      </w:r>
    </w:p>
    <w:p w14:paraId="518D59C5" w14:textId="77777777" w:rsidR="003A1C2A" w:rsidRDefault="003A1C2A" w:rsidP="003A1C2A">
      <w:pPr>
        <w:pStyle w:val="NoSpacing"/>
      </w:pPr>
    </w:p>
    <w:p w14:paraId="60448D1F" w14:textId="77777777" w:rsidR="00ED71D4" w:rsidRDefault="00ED71D4" w:rsidP="003A1C2A">
      <w:pPr>
        <w:pStyle w:val="NoSpacing"/>
      </w:pPr>
    </w:p>
    <w:p w14:paraId="7D6A744B" w14:textId="77777777" w:rsidR="00ED71D4" w:rsidRDefault="003A1C2A" w:rsidP="00444F85">
      <w:pPr>
        <w:pStyle w:val="Heading3"/>
      </w:pPr>
      <w:r>
        <w:t xml:space="preserve">Convergence diagnostics: </w:t>
      </w:r>
    </w:p>
    <w:p w14:paraId="056DC066" w14:textId="6EF30DEF" w:rsidR="003A1C2A" w:rsidRPr="00ED71D4" w:rsidRDefault="003A1C2A" w:rsidP="003A1C2A">
      <w:pPr>
        <w:pStyle w:val="NoSpacing"/>
        <w:rPr>
          <w:color w:val="EE0000"/>
        </w:rPr>
      </w:pPr>
      <w:r w:rsidRPr="00ED71D4">
        <w:rPr>
          <w:color w:val="EE0000"/>
        </w:rPr>
        <w:t>We monitored trace plots, effective sample sizes, and Gelman–Rubin R-hat statistics across chains; acceptance rates were tuned to ~20–30% for high-dimensional blocks and ~30–40% for univariate updates.</w:t>
      </w:r>
    </w:p>
    <w:p w14:paraId="5E7ACC30" w14:textId="77777777" w:rsidR="003A1C2A" w:rsidRPr="00ED71D4" w:rsidRDefault="003A1C2A" w:rsidP="003A1C2A">
      <w:pPr>
        <w:pStyle w:val="NoSpacing"/>
        <w:rPr>
          <w:color w:val="EE0000"/>
        </w:rPr>
      </w:pPr>
    </w:p>
    <w:p w14:paraId="27F8440D" w14:textId="77777777" w:rsidR="003A1C2A" w:rsidRDefault="003A1C2A" w:rsidP="003A1C2A">
      <w:pPr>
        <w:pStyle w:val="NoSpacing"/>
      </w:pPr>
      <w:r>
        <w:t>Algorithmic details</w:t>
      </w:r>
    </w:p>
    <w:p w14:paraId="7A576ECD" w14:textId="77777777" w:rsidR="003A1C2A" w:rsidRDefault="003A1C2A" w:rsidP="003A1C2A">
      <w:pPr>
        <w:pStyle w:val="NoSpacing"/>
      </w:pPr>
      <w:r>
        <w:t>- Transformations: Parameters constrained to (0,1) were estimated on the logit scale; positive parameters on the log scale. Mixing matrices were parameterized via simplex vectors with soft identifiability constraints.</w:t>
      </w:r>
    </w:p>
    <w:p w14:paraId="0742A4A3" w14:textId="77777777" w:rsidR="003A1C2A" w:rsidRDefault="003A1C2A" w:rsidP="003A1C2A">
      <w:pPr>
        <w:pStyle w:val="NoSpacing"/>
      </w:pPr>
      <w:r>
        <w:t>- Time-varying parameters: Where required (e.g., testing intensity), we used low-dimensional parameterizations (piecewise linear splines with knots at policy-relevant years) to avoid overfitting; priors penalized excessive curvature.</w:t>
      </w:r>
    </w:p>
    <w:p w14:paraId="22B2C5ED" w14:textId="77777777" w:rsidR="003A1C2A" w:rsidRDefault="003A1C2A" w:rsidP="003A1C2A">
      <w:pPr>
        <w:pStyle w:val="NoSpacing"/>
      </w:pPr>
      <w:r>
        <w:t>- Overdispersion: Negative binomial dispersion parameters had weakly informative Gamma priors; when poorly identified, we fixed them to values derived from replicate data or exploratory fits.</w:t>
      </w:r>
    </w:p>
    <w:p w14:paraId="3F5FDE3A" w14:textId="77777777" w:rsidR="003A1C2A" w:rsidRDefault="003A1C2A" w:rsidP="003A1C2A">
      <w:pPr>
        <w:pStyle w:val="NoSpacing"/>
      </w:pPr>
      <w:r>
        <w:t>- Computational implementation: Deterministic ODE model integrated with a fixed-step solver validated for stability; likelihood evaluation cached stratified outputs to reduce runtime. Parallel chains in Stage 3 were run on separate cores with identical random number seeds offset to ensure independence.</w:t>
      </w:r>
    </w:p>
    <w:p w14:paraId="46C4D0E4" w14:textId="56107B62" w:rsidR="000F27CD" w:rsidRDefault="000F27CD">
      <w:pPr>
        <w:spacing w:before="0" w:after="0"/>
      </w:pPr>
      <w:r>
        <w:br w:type="page"/>
      </w:r>
    </w:p>
    <w:p w14:paraId="29061E5B" w14:textId="77777777" w:rsidR="002E3B0F" w:rsidRDefault="002E3B0F" w:rsidP="002E3B0F">
      <w:pPr>
        <w:pStyle w:val="Heading1"/>
      </w:pPr>
      <w:r>
        <w:lastRenderedPageBreak/>
        <w:t xml:space="preserve">Output analysis </w:t>
      </w:r>
    </w:p>
    <w:p w14:paraId="6AC748F8" w14:textId="77777777" w:rsidR="002E3B0F" w:rsidRPr="003E7CB7" w:rsidRDefault="002E3B0F" w:rsidP="002E3B0F">
      <w:pPr>
        <w:pStyle w:val="Heading2"/>
      </w:pPr>
      <w:r w:rsidRPr="003E7CB7">
        <w:t>Spillover and epidemic divergence measures</w:t>
      </w:r>
    </w:p>
    <w:p w14:paraId="7A474FF8" w14:textId="77777777" w:rsidR="002E3B0F" w:rsidRPr="003E7CB7" w:rsidRDefault="002E3B0F" w:rsidP="002E3B0F">
      <w:pPr>
        <w:rPr>
          <w:sz w:val="24"/>
        </w:rPr>
      </w:pPr>
      <w:r w:rsidRPr="003E7CB7">
        <w:rPr>
          <w:sz w:val="24"/>
        </w:rPr>
        <w:t>To characterize the population-level spillover of Doxy-PEP beyond the directly targeted MSM population, we quantified the relative reduction in incident syphilis among females compared with MSM by 2030. First, for each population and MSA, we calculated the proportional reduction in incidence associated with Doxy-PEP relative to the corresponding no-intervention scenario:</w:t>
      </w:r>
    </w:p>
    <w:p w14:paraId="1CD3E34B" w14:textId="77777777" w:rsidR="002E3B0F" w:rsidRPr="003E7CB7" w:rsidRDefault="00000000" w:rsidP="002E3B0F">
      <w:pPr>
        <w:rPr>
          <w:sz w:val="24"/>
        </w:rPr>
      </w:pPr>
      <m:oMathPara>
        <m:oMath>
          <m:sSub>
            <m:sSubPr>
              <m:ctrlPr>
                <w:rPr>
                  <w:rFonts w:ascii="Cambria Math" w:hAnsi="Cambria Math"/>
                  <w:sz w:val="24"/>
                </w:rPr>
              </m:ctrlPr>
            </m:sSubPr>
            <m:e>
              <m:r>
                <w:rPr>
                  <w:rFonts w:ascii="Cambria Math" w:hAnsi="Cambria Math"/>
                  <w:sz w:val="24"/>
                </w:rPr>
                <m:t>R</m:t>
              </m:r>
            </m:e>
            <m:sub>
              <m:r>
                <w:rPr>
                  <w:rFonts w:ascii="Cambria Math" w:hAnsi="Cambria Math"/>
                  <w:sz w:val="24"/>
                </w:rPr>
                <m:t>g</m:t>
              </m:r>
            </m:sub>
          </m:sSub>
          <m:r>
            <w:rPr>
              <w:rFonts w:ascii="Cambria Math" w:hAnsi="Cambria Math"/>
              <w:sz w:val="24"/>
            </w:rPr>
            <m:t>=1-</m:t>
          </m:r>
          <m:f>
            <m:fPr>
              <m:ctrlPr>
                <w:rPr>
                  <w:rFonts w:ascii="Cambria Math" w:hAnsi="Cambria Math"/>
                  <w:sz w:val="24"/>
                </w:rPr>
              </m:ctrlPr>
            </m:fPr>
            <m:num>
              <m:sSubSup>
                <m:sSubSupPr>
                  <m:ctrlPr>
                    <w:rPr>
                      <w:rFonts w:ascii="Cambria Math" w:hAnsi="Cambria Math"/>
                      <w:sz w:val="24"/>
                    </w:rPr>
                  </m:ctrlPr>
                </m:sSubSupPr>
                <m:e>
                  <m:r>
                    <w:rPr>
                      <w:rFonts w:ascii="Cambria Math" w:hAnsi="Cambria Math"/>
                      <w:sz w:val="24"/>
                    </w:rPr>
                    <m:t>I</m:t>
                  </m:r>
                </m:e>
                <m:sub>
                  <m:r>
                    <w:rPr>
                      <w:rFonts w:ascii="Cambria Math" w:hAnsi="Cambria Math"/>
                      <w:sz w:val="24"/>
                    </w:rPr>
                    <m:t>g,2030</m:t>
                  </m:r>
                </m:sub>
                <m:sup>
                  <m:r>
                    <m:rPr>
                      <m:sty m:val="p"/>
                    </m:rPr>
                    <w:rPr>
                      <w:rFonts w:ascii="Cambria Math" w:hAnsi="Cambria Math"/>
                      <w:sz w:val="24"/>
                    </w:rPr>
                    <m:t>Doxy</m:t>
                  </m:r>
                </m:sup>
              </m:sSubSup>
            </m:num>
            <m:den>
              <m:sSubSup>
                <m:sSubSupPr>
                  <m:ctrlPr>
                    <w:rPr>
                      <w:rFonts w:ascii="Cambria Math" w:hAnsi="Cambria Math"/>
                      <w:sz w:val="24"/>
                    </w:rPr>
                  </m:ctrlPr>
                </m:sSubSupPr>
                <m:e>
                  <m:r>
                    <w:rPr>
                      <w:rFonts w:ascii="Cambria Math" w:hAnsi="Cambria Math"/>
                      <w:sz w:val="24"/>
                    </w:rPr>
                    <m:t>I</m:t>
                  </m:r>
                </m:e>
                <m:sub>
                  <m:r>
                    <w:rPr>
                      <w:rFonts w:ascii="Cambria Math" w:hAnsi="Cambria Math"/>
                      <w:sz w:val="24"/>
                    </w:rPr>
                    <m:t>g,2030</m:t>
                  </m:r>
                </m:sub>
                <m:sup>
                  <m:r>
                    <m:rPr>
                      <m:sty m:val="p"/>
                    </m:rPr>
                    <w:rPr>
                      <w:rFonts w:ascii="Cambria Math" w:hAnsi="Cambria Math"/>
                      <w:sz w:val="24"/>
                    </w:rPr>
                    <m:t>No</m:t>
                  </m:r>
                  <m:r>
                    <m:rPr>
                      <m:nor/>
                    </m:rPr>
                    <w:rPr>
                      <w:sz w:val="24"/>
                    </w:rPr>
                    <m:t> </m:t>
                  </m:r>
                  <m:r>
                    <m:rPr>
                      <m:sty m:val="p"/>
                    </m:rPr>
                    <w:rPr>
                      <w:rFonts w:ascii="Cambria Math" w:hAnsi="Cambria Math"/>
                      <w:sz w:val="24"/>
                    </w:rPr>
                    <m:t>intervention</m:t>
                  </m:r>
                </m:sup>
              </m:sSubSup>
            </m:den>
          </m:f>
          <m:r>
            <w:rPr>
              <w:rFonts w:ascii="Cambria Math" w:hAnsi="Cambria Math"/>
              <w:sz w:val="24"/>
            </w:rPr>
            <m:t>,</m:t>
          </m:r>
          <m:r>
            <w:rPr>
              <w:rFonts w:ascii="Cambria Math" w:hAnsi="Cambria Math"/>
              <w:sz w:val="24"/>
            </w:rPr>
            <w:br/>
          </m:r>
        </m:oMath>
      </m:oMathPara>
    </w:p>
    <w:p w14:paraId="07C37404" w14:textId="77777777" w:rsidR="002E3B0F" w:rsidRPr="003E7CB7" w:rsidRDefault="002E3B0F" w:rsidP="002E3B0F">
      <w:pPr>
        <w:rPr>
          <w:sz w:val="24"/>
        </w:rPr>
      </w:pPr>
      <w:r w:rsidRPr="003E7CB7">
        <w:rPr>
          <w:sz w:val="24"/>
        </w:rPr>
        <w:t>where </w:t>
      </w:r>
      <m:oMath>
        <m:sSubSup>
          <m:sSubSupPr>
            <m:ctrlPr>
              <w:rPr>
                <w:rFonts w:ascii="Cambria Math" w:hAnsi="Cambria Math"/>
                <w:sz w:val="24"/>
              </w:rPr>
            </m:ctrlPr>
          </m:sSubSupPr>
          <m:e>
            <m:r>
              <w:rPr>
                <w:rFonts w:ascii="Cambria Math" w:hAnsi="Cambria Math"/>
                <w:sz w:val="24"/>
              </w:rPr>
              <m:t>I</m:t>
            </m:r>
          </m:e>
          <m:sub>
            <m:r>
              <w:rPr>
                <w:rFonts w:ascii="Cambria Math" w:hAnsi="Cambria Math"/>
                <w:sz w:val="24"/>
              </w:rPr>
              <m:t>g,2030</m:t>
            </m:r>
          </m:sub>
          <m:sup>
            <m:r>
              <m:rPr>
                <m:sty m:val="p"/>
              </m:rPr>
              <w:rPr>
                <w:rFonts w:ascii="Cambria Math" w:hAnsi="Cambria Math"/>
                <w:sz w:val="24"/>
              </w:rPr>
              <m:t>Doxy</m:t>
            </m:r>
          </m:sup>
        </m:sSubSup>
      </m:oMath>
      <w:r w:rsidRPr="003E7CB7">
        <w:rPr>
          <w:sz w:val="24"/>
        </w:rPr>
        <w:t> is the projected incidence in population </w:t>
      </w:r>
      <m:oMath>
        <m:r>
          <w:rPr>
            <w:rFonts w:ascii="Cambria Math" w:hAnsi="Cambria Math"/>
            <w:sz w:val="24"/>
          </w:rPr>
          <m:t>g</m:t>
        </m:r>
      </m:oMath>
      <w:r w:rsidRPr="003E7CB7">
        <w:rPr>
          <w:sz w:val="24"/>
        </w:rPr>
        <w:t> in 2030 under Doxy-PEP and </w:t>
      </w:r>
      <m:oMath>
        <m:sSubSup>
          <m:sSubSupPr>
            <m:ctrlPr>
              <w:rPr>
                <w:rFonts w:ascii="Cambria Math" w:hAnsi="Cambria Math"/>
                <w:sz w:val="24"/>
              </w:rPr>
            </m:ctrlPr>
          </m:sSubSupPr>
          <m:e>
            <m:r>
              <w:rPr>
                <w:rFonts w:ascii="Cambria Math" w:hAnsi="Cambria Math"/>
                <w:sz w:val="24"/>
              </w:rPr>
              <m:t>I</m:t>
            </m:r>
          </m:e>
          <m:sub>
            <m:r>
              <w:rPr>
                <w:rFonts w:ascii="Cambria Math" w:hAnsi="Cambria Math"/>
                <w:sz w:val="24"/>
              </w:rPr>
              <m:t>g,2030</m:t>
            </m:r>
          </m:sub>
          <m:sup>
            <m:r>
              <m:rPr>
                <m:sty m:val="p"/>
              </m:rPr>
              <w:rPr>
                <w:rFonts w:ascii="Cambria Math" w:hAnsi="Cambria Math"/>
                <w:sz w:val="24"/>
              </w:rPr>
              <m:t>No</m:t>
            </m:r>
            <m:r>
              <m:rPr>
                <m:nor/>
              </m:rPr>
              <w:rPr>
                <w:sz w:val="24"/>
              </w:rPr>
              <m:t> </m:t>
            </m:r>
            <m:r>
              <m:rPr>
                <m:sty m:val="p"/>
              </m:rPr>
              <w:rPr>
                <w:rFonts w:ascii="Cambria Math" w:hAnsi="Cambria Math"/>
                <w:sz w:val="24"/>
              </w:rPr>
              <m:t>intervention</m:t>
            </m:r>
          </m:sup>
        </m:sSubSup>
      </m:oMath>
      <w:r w:rsidRPr="003E7CB7">
        <w:rPr>
          <w:sz w:val="24"/>
        </w:rPr>
        <w:t> is the corresponding projected incidence in the absence of Doxy-PEP. We calculated this proportional reduction separately for MSM (</w:t>
      </w:r>
      <m:oMath>
        <m:sSub>
          <m:sSubPr>
            <m:ctrlPr>
              <w:rPr>
                <w:rFonts w:ascii="Cambria Math" w:hAnsi="Cambria Math"/>
                <w:sz w:val="24"/>
              </w:rPr>
            </m:ctrlPr>
          </m:sSubPr>
          <m:e>
            <m:r>
              <w:rPr>
                <w:rFonts w:ascii="Cambria Math" w:hAnsi="Cambria Math"/>
                <w:sz w:val="24"/>
              </w:rPr>
              <m:t>R</m:t>
            </m:r>
          </m:e>
          <m:sub>
            <m:r>
              <m:rPr>
                <m:sty m:val="p"/>
              </m:rPr>
              <w:rPr>
                <w:rFonts w:ascii="Cambria Math" w:hAnsi="Cambria Math"/>
                <w:sz w:val="24"/>
              </w:rPr>
              <m:t>MSM</m:t>
            </m:r>
          </m:sub>
        </m:sSub>
      </m:oMath>
      <w:r w:rsidRPr="003E7CB7">
        <w:rPr>
          <w:sz w:val="24"/>
        </w:rPr>
        <w:t>) and females (</w:t>
      </w:r>
      <m:oMath>
        <m:sSub>
          <m:sSubPr>
            <m:ctrlPr>
              <w:rPr>
                <w:rFonts w:ascii="Cambria Math" w:hAnsi="Cambria Math"/>
                <w:sz w:val="24"/>
              </w:rPr>
            </m:ctrlPr>
          </m:sSubPr>
          <m:e>
            <m:r>
              <w:rPr>
                <w:rFonts w:ascii="Cambria Math" w:hAnsi="Cambria Math"/>
                <w:sz w:val="24"/>
              </w:rPr>
              <m:t>R</m:t>
            </m:r>
          </m:e>
          <m:sub>
            <m:r>
              <m:rPr>
                <m:sty m:val="p"/>
              </m:rPr>
              <w:rPr>
                <w:rFonts w:ascii="Cambria Math" w:hAnsi="Cambria Math"/>
                <w:sz w:val="24"/>
              </w:rPr>
              <m:t>F</m:t>
            </m:r>
          </m:sub>
        </m:sSub>
      </m:oMath>
      <w:r w:rsidRPr="003E7CB7">
        <w:rPr>
          <w:sz w:val="24"/>
        </w:rPr>
        <w:t>).</w:t>
      </w:r>
    </w:p>
    <w:p w14:paraId="704660AB" w14:textId="77777777" w:rsidR="002E3B0F" w:rsidRPr="003E7CB7" w:rsidRDefault="002E3B0F" w:rsidP="002E3B0F">
      <w:pPr>
        <w:rPr>
          <w:sz w:val="24"/>
        </w:rPr>
      </w:pPr>
      <w:r w:rsidRPr="003E7CB7">
        <w:rPr>
          <w:sz w:val="24"/>
        </w:rPr>
        <w:t>Second, to account for stochastic variation in the model that could produce small increases in female incidence under Doxy-PEP even when the intervention has no true adverse effect, negative estimates of the female incidence reduction were set to zero:</w:t>
      </w:r>
    </w:p>
    <w:p w14:paraId="56F76832" w14:textId="77777777" w:rsidR="002E3B0F" w:rsidRPr="003E7CB7" w:rsidRDefault="00000000" w:rsidP="002E3B0F">
      <w:pPr>
        <w:rPr>
          <w:sz w:val="24"/>
        </w:rPr>
      </w:pPr>
      <m:oMathPara>
        <m:oMath>
          <m:sSubSup>
            <m:sSubSupPr>
              <m:ctrlPr>
                <w:rPr>
                  <w:rFonts w:ascii="Cambria Math" w:hAnsi="Cambria Math"/>
                  <w:sz w:val="24"/>
                </w:rPr>
              </m:ctrlPr>
            </m:sSubSupPr>
            <m:e>
              <m:r>
                <w:rPr>
                  <w:rFonts w:ascii="Cambria Math" w:hAnsi="Cambria Math"/>
                  <w:sz w:val="24"/>
                </w:rPr>
                <m:t>R</m:t>
              </m:r>
            </m:e>
            <m:sub>
              <m:r>
                <m:rPr>
                  <m:sty m:val="p"/>
                </m:rPr>
                <w:rPr>
                  <w:rFonts w:ascii="Cambria Math" w:hAnsi="Cambria Math"/>
                  <w:sz w:val="24"/>
                </w:rPr>
                <m:t>F</m:t>
              </m:r>
            </m:sub>
            <m:sup>
              <m:r>
                <w:rPr>
                  <w:rFonts w:ascii="Cambria Math" w:hAnsi="Cambria Math"/>
                  <w:sz w:val="24"/>
                </w:rPr>
                <m:t>*</m:t>
              </m:r>
            </m:sup>
          </m:sSubSup>
          <m:r>
            <w:rPr>
              <w:rFonts w:ascii="Cambria Math" w:hAnsi="Cambria Math"/>
              <w:sz w:val="24"/>
            </w:rPr>
            <m:t>=</m:t>
          </m:r>
          <m:r>
            <m:rPr>
              <m:sty m:val="p"/>
            </m:rPr>
            <w:rPr>
              <w:rFonts w:ascii="Cambria Math" w:hAnsi="Cambria Math"/>
              <w:sz w:val="24"/>
            </w:rPr>
            <m:t>max</m:t>
          </m:r>
          <m:r>
            <w:rPr>
              <w:rFonts w:ascii="Cambria Math" w:hAnsi="Cambria Math"/>
              <w:sz w:val="24"/>
            </w:rPr>
            <m:t>⁡</m:t>
          </m:r>
          <m:d>
            <m:dPr>
              <m:sepChr m:val=","/>
              <m:ctrlPr>
                <w:rPr>
                  <w:rFonts w:ascii="Cambria Math" w:hAnsi="Cambria Math"/>
                  <w:sz w:val="24"/>
                </w:rPr>
              </m:ctrlPr>
            </m:dPr>
            <m:e>
              <m:r>
                <w:rPr>
                  <w:rFonts w:ascii="Cambria Math" w:hAnsi="Cambria Math"/>
                  <w:sz w:val="24"/>
                </w:rPr>
                <m:t>0</m:t>
              </m:r>
            </m:e>
            <m:e>
              <m:sSub>
                <m:sSubPr>
                  <m:ctrlPr>
                    <w:rPr>
                      <w:rFonts w:ascii="Cambria Math" w:hAnsi="Cambria Math"/>
                      <w:sz w:val="24"/>
                    </w:rPr>
                  </m:ctrlPr>
                </m:sSubPr>
                <m:e>
                  <m:r>
                    <w:rPr>
                      <w:rFonts w:ascii="Cambria Math" w:hAnsi="Cambria Math"/>
                      <w:sz w:val="24"/>
                    </w:rPr>
                    <m:t>R</m:t>
                  </m:r>
                </m:e>
                <m:sub>
                  <m:r>
                    <m:rPr>
                      <m:sty m:val="p"/>
                    </m:rPr>
                    <w:rPr>
                      <w:rFonts w:ascii="Cambria Math" w:hAnsi="Cambria Math"/>
                      <w:sz w:val="24"/>
                    </w:rPr>
                    <m:t>F</m:t>
                  </m:r>
                </m:sub>
              </m:sSub>
            </m:e>
          </m:d>
          <m:r>
            <w:rPr>
              <w:rFonts w:ascii="Cambria Math" w:hAnsi="Cambria Math"/>
              <w:sz w:val="24"/>
            </w:rPr>
            <m:t>.</m:t>
          </m:r>
          <m:r>
            <w:rPr>
              <w:rFonts w:ascii="Cambria Math" w:hAnsi="Cambria Math"/>
              <w:sz w:val="24"/>
            </w:rPr>
            <w:br/>
          </m:r>
        </m:oMath>
      </m:oMathPara>
    </w:p>
    <w:p w14:paraId="6C652B8A" w14:textId="77777777" w:rsidR="002E3B0F" w:rsidRPr="003E7CB7" w:rsidRDefault="002E3B0F" w:rsidP="002E3B0F">
      <w:pPr>
        <w:rPr>
          <w:sz w:val="24"/>
        </w:rPr>
      </w:pPr>
      <w:r w:rsidRPr="003E7CB7">
        <w:rPr>
          <w:sz w:val="24"/>
        </w:rPr>
        <w:t>Third, we defined the spillover coefficient as the proportional reduction in female incidence relative to the proportional reduction in MSM incidence:</w:t>
      </w:r>
    </w:p>
    <w:p w14:paraId="00444420" w14:textId="77777777" w:rsidR="002E3B0F" w:rsidRPr="003E7CB7" w:rsidRDefault="002E3B0F" w:rsidP="002E3B0F">
      <w:pPr>
        <w:rPr>
          <w:sz w:val="24"/>
        </w:rPr>
      </w:pPr>
      <m:oMathPara>
        <m:oMath>
          <m:r>
            <w:rPr>
              <w:rFonts w:ascii="Cambria Math" w:hAnsi="Cambria Math"/>
              <w:sz w:val="24"/>
            </w:rPr>
            <m:t>S=</m:t>
          </m:r>
          <m:f>
            <m:fPr>
              <m:ctrlPr>
                <w:rPr>
                  <w:rFonts w:ascii="Cambria Math" w:hAnsi="Cambria Math"/>
                  <w:sz w:val="24"/>
                </w:rPr>
              </m:ctrlPr>
            </m:fPr>
            <m:num>
              <m:sSubSup>
                <m:sSubSupPr>
                  <m:ctrlPr>
                    <w:rPr>
                      <w:rFonts w:ascii="Cambria Math" w:hAnsi="Cambria Math"/>
                      <w:sz w:val="24"/>
                    </w:rPr>
                  </m:ctrlPr>
                </m:sSubSupPr>
                <m:e>
                  <m:r>
                    <w:rPr>
                      <w:rFonts w:ascii="Cambria Math" w:hAnsi="Cambria Math"/>
                      <w:sz w:val="24"/>
                    </w:rPr>
                    <m:t>R</m:t>
                  </m:r>
                </m:e>
                <m:sub>
                  <m:r>
                    <m:rPr>
                      <m:sty m:val="p"/>
                    </m:rPr>
                    <w:rPr>
                      <w:rFonts w:ascii="Cambria Math" w:hAnsi="Cambria Math"/>
                      <w:sz w:val="24"/>
                    </w:rPr>
                    <m:t>F</m:t>
                  </m:r>
                </m:sub>
                <m:sup>
                  <m:r>
                    <w:rPr>
                      <w:rFonts w:ascii="Cambria Math" w:hAnsi="Cambria Math"/>
                      <w:sz w:val="24"/>
                    </w:rPr>
                    <m:t>*</m:t>
                  </m:r>
                </m:sup>
              </m:sSubSup>
            </m:num>
            <m:den>
              <m:sSub>
                <m:sSubPr>
                  <m:ctrlPr>
                    <w:rPr>
                      <w:rFonts w:ascii="Cambria Math" w:hAnsi="Cambria Math"/>
                      <w:sz w:val="24"/>
                    </w:rPr>
                  </m:ctrlPr>
                </m:sSubPr>
                <m:e>
                  <m:r>
                    <w:rPr>
                      <w:rFonts w:ascii="Cambria Math" w:hAnsi="Cambria Math"/>
                      <w:sz w:val="24"/>
                    </w:rPr>
                    <m:t>R</m:t>
                  </m:r>
                </m:e>
                <m:sub>
                  <m:r>
                    <m:rPr>
                      <m:sty m:val="p"/>
                    </m:rPr>
                    <w:rPr>
                      <w:rFonts w:ascii="Cambria Math" w:hAnsi="Cambria Math"/>
                      <w:sz w:val="24"/>
                    </w:rPr>
                    <m:t>MSM</m:t>
                  </m:r>
                </m:sub>
              </m:sSub>
            </m:den>
          </m:f>
          <m:r>
            <w:rPr>
              <w:rFonts w:ascii="Cambria Math" w:hAnsi="Cambria Math"/>
              <w:sz w:val="24"/>
            </w:rPr>
            <m:t>.</m:t>
          </m:r>
          <m:r>
            <w:rPr>
              <w:rFonts w:ascii="Cambria Math" w:hAnsi="Cambria Math"/>
              <w:sz w:val="24"/>
            </w:rPr>
            <w:br/>
          </m:r>
        </m:oMath>
      </m:oMathPara>
    </w:p>
    <w:p w14:paraId="55F61DD2" w14:textId="77777777" w:rsidR="002E3B0F" w:rsidRPr="003E7CB7" w:rsidRDefault="002E3B0F" w:rsidP="002E3B0F">
      <w:pPr>
        <w:rPr>
          <w:sz w:val="24"/>
        </w:rPr>
      </w:pPr>
      <w:r w:rsidRPr="003E7CB7">
        <w:rPr>
          <w:sz w:val="24"/>
        </w:rPr>
        <w:t>The spillover coefficient quantifies the extent to which the population-level reduction among females tracks the direct reduction among MSM. A value of </w:t>
      </w:r>
      <m:oMath>
        <m:r>
          <w:rPr>
            <w:rFonts w:ascii="Cambria Math" w:hAnsi="Cambria Math"/>
            <w:sz w:val="24"/>
          </w:rPr>
          <m:t>S=0</m:t>
        </m:r>
      </m:oMath>
      <w:r w:rsidRPr="003E7CB7">
        <w:rPr>
          <w:sz w:val="24"/>
        </w:rPr>
        <w:t> indicates no detectable reduction in female incidence, values of </w:t>
      </w:r>
      <m:oMath>
        <m:r>
          <w:rPr>
            <w:rFonts w:ascii="Cambria Math" w:hAnsi="Cambria Math"/>
            <w:sz w:val="24"/>
          </w:rPr>
          <m:t>0&lt;S&lt;1</m:t>
        </m:r>
      </m:oMath>
      <w:r w:rsidRPr="003E7CB7">
        <w:rPr>
          <w:sz w:val="24"/>
        </w:rPr>
        <w:t>indicate a smaller proportional reduction among females than among MSM, </w:t>
      </w:r>
      <m:oMath>
        <m:r>
          <w:rPr>
            <w:rFonts w:ascii="Cambria Math" w:hAnsi="Cambria Math"/>
            <w:sz w:val="24"/>
          </w:rPr>
          <m:t>S=1</m:t>
        </m:r>
      </m:oMath>
      <w:r w:rsidRPr="003E7CB7">
        <w:rPr>
          <w:sz w:val="24"/>
        </w:rPr>
        <w:t> indicates proportional reductions of equal magnitude, and </w:t>
      </w:r>
      <m:oMath>
        <m:r>
          <w:rPr>
            <w:rFonts w:ascii="Cambria Math" w:hAnsi="Cambria Math"/>
            <w:sz w:val="24"/>
          </w:rPr>
          <m:t>S&gt;1</m:t>
        </m:r>
      </m:oMath>
      <w:r w:rsidRPr="003E7CB7">
        <w:rPr>
          <w:sz w:val="24"/>
        </w:rPr>
        <w:t> indicates a greater proportional reduction among females than among MSM. Because the coefficient is based on proportional reductions, it is non-negative under the truncation described above but is not bounded above by 1.</w:t>
      </w:r>
    </w:p>
    <w:p w14:paraId="5DE2E2D8" w14:textId="77777777" w:rsidR="002E3B0F" w:rsidRPr="003E7CB7" w:rsidRDefault="002E3B0F" w:rsidP="002E3B0F">
      <w:pPr>
        <w:pStyle w:val="Heading2"/>
      </w:pPr>
      <w:r w:rsidRPr="003E7CB7">
        <w:t>Epidemic divergence</w:t>
      </w:r>
    </w:p>
    <w:p w14:paraId="642573B9" w14:textId="77777777" w:rsidR="002E3B0F" w:rsidRPr="003E7CB7" w:rsidRDefault="002E3B0F" w:rsidP="002E3B0F">
      <w:pPr>
        <w:rPr>
          <w:sz w:val="24"/>
        </w:rPr>
      </w:pPr>
      <w:r w:rsidRPr="003E7CB7">
        <w:rPr>
          <w:sz w:val="24"/>
        </w:rPr>
        <w:t>Because the projected impact of Doxy-PEP may also depend on the underlying trajectory of the epidemic in the absence of intervention, we separately characterized the relative change in MSM and heterosexual incidence between 2022 and 2030. For each population, incidence growth was calculated as the fold change in incidence between 2022 and 2030:</w:t>
      </w:r>
    </w:p>
    <w:p w14:paraId="0BD578B2" w14:textId="77777777" w:rsidR="002E3B0F" w:rsidRPr="003E7CB7" w:rsidRDefault="00000000" w:rsidP="002E3B0F">
      <w:pPr>
        <w:rPr>
          <w:sz w:val="24"/>
        </w:rPr>
      </w:pPr>
      <m:oMathPara>
        <m:oMath>
          <m:sSub>
            <m:sSubPr>
              <m:ctrlPr>
                <w:rPr>
                  <w:rFonts w:ascii="Cambria Math" w:hAnsi="Cambria Math"/>
                  <w:sz w:val="24"/>
                </w:rPr>
              </m:ctrlPr>
            </m:sSubPr>
            <m:e>
              <m:r>
                <w:rPr>
                  <w:rFonts w:ascii="Cambria Math" w:hAnsi="Cambria Math"/>
                  <w:sz w:val="24"/>
                </w:rPr>
                <m:t>G</m:t>
              </m:r>
            </m:e>
            <m:sub>
              <m:r>
                <w:rPr>
                  <w:rFonts w:ascii="Cambria Math" w:hAnsi="Cambria Math"/>
                  <w:sz w:val="24"/>
                </w:rPr>
                <m:t>g</m:t>
              </m:r>
            </m:sub>
          </m:sSub>
          <m:r>
            <w:rPr>
              <w:rFonts w:ascii="Cambria Math" w:hAnsi="Cambria Math"/>
              <w:sz w:val="24"/>
            </w:rPr>
            <m:t>=</m:t>
          </m:r>
          <m:f>
            <m:fPr>
              <m:ctrlPr>
                <w:rPr>
                  <w:rFonts w:ascii="Cambria Math" w:hAnsi="Cambria Math"/>
                  <w:sz w:val="24"/>
                </w:rPr>
              </m:ctrlPr>
            </m:fPr>
            <m:num>
              <m:sSubSup>
                <m:sSubSupPr>
                  <m:ctrlPr>
                    <w:rPr>
                      <w:rFonts w:ascii="Cambria Math" w:hAnsi="Cambria Math"/>
                      <w:sz w:val="24"/>
                    </w:rPr>
                  </m:ctrlPr>
                </m:sSubSupPr>
                <m:e>
                  <m:r>
                    <w:rPr>
                      <w:rFonts w:ascii="Cambria Math" w:hAnsi="Cambria Math"/>
                      <w:sz w:val="24"/>
                    </w:rPr>
                    <m:t>I</m:t>
                  </m:r>
                </m:e>
                <m:sub>
                  <m:r>
                    <w:rPr>
                      <w:rFonts w:ascii="Cambria Math" w:hAnsi="Cambria Math"/>
                      <w:sz w:val="24"/>
                    </w:rPr>
                    <m:t>g,2030</m:t>
                  </m:r>
                </m:sub>
                <m:sup>
                  <m:r>
                    <m:rPr>
                      <m:sty m:val="p"/>
                    </m:rPr>
                    <w:rPr>
                      <w:rFonts w:ascii="Cambria Math" w:hAnsi="Cambria Math"/>
                      <w:sz w:val="24"/>
                    </w:rPr>
                    <m:t>No</m:t>
                  </m:r>
                  <m:r>
                    <m:rPr>
                      <m:nor/>
                    </m:rPr>
                    <w:rPr>
                      <w:sz w:val="24"/>
                    </w:rPr>
                    <m:t> </m:t>
                  </m:r>
                  <m:r>
                    <m:rPr>
                      <m:sty m:val="p"/>
                    </m:rPr>
                    <w:rPr>
                      <w:rFonts w:ascii="Cambria Math" w:hAnsi="Cambria Math"/>
                      <w:sz w:val="24"/>
                    </w:rPr>
                    <m:t>intervention</m:t>
                  </m:r>
                </m:sup>
              </m:sSubSup>
            </m:num>
            <m:den>
              <m:sSub>
                <m:sSubPr>
                  <m:ctrlPr>
                    <w:rPr>
                      <w:rFonts w:ascii="Cambria Math" w:hAnsi="Cambria Math"/>
                      <w:sz w:val="24"/>
                    </w:rPr>
                  </m:ctrlPr>
                </m:sSubPr>
                <m:e>
                  <m:r>
                    <w:rPr>
                      <w:rFonts w:ascii="Cambria Math" w:hAnsi="Cambria Math"/>
                      <w:sz w:val="24"/>
                    </w:rPr>
                    <m:t>I</m:t>
                  </m:r>
                </m:e>
                <m:sub>
                  <m:r>
                    <w:rPr>
                      <w:rFonts w:ascii="Cambria Math" w:hAnsi="Cambria Math"/>
                      <w:sz w:val="24"/>
                    </w:rPr>
                    <m:t>g,2022</m:t>
                  </m:r>
                </m:sub>
              </m:sSub>
            </m:den>
          </m:f>
          <m:r>
            <w:rPr>
              <w:rFonts w:ascii="Cambria Math" w:hAnsi="Cambria Math"/>
              <w:sz w:val="24"/>
            </w:rPr>
            <m:t>.</m:t>
          </m:r>
          <m:r>
            <w:rPr>
              <w:rFonts w:ascii="Cambria Math" w:hAnsi="Cambria Math"/>
              <w:sz w:val="24"/>
            </w:rPr>
            <w:br/>
          </m:r>
        </m:oMath>
      </m:oMathPara>
    </w:p>
    <w:p w14:paraId="1783FB24" w14:textId="77777777" w:rsidR="002E3B0F" w:rsidRPr="003E7CB7" w:rsidRDefault="002E3B0F" w:rsidP="002E3B0F">
      <w:pPr>
        <w:rPr>
          <w:sz w:val="24"/>
        </w:rPr>
      </w:pPr>
      <w:r w:rsidRPr="003E7CB7">
        <w:rPr>
          <w:sz w:val="24"/>
        </w:rPr>
        <w:t>We then defined an epidemic divergence factor as the natural logarithm of the ratio of heterosexual to MSM incidence growth:</w:t>
      </w:r>
    </w:p>
    <w:p w14:paraId="3D464994" w14:textId="77777777" w:rsidR="002E3B0F" w:rsidRPr="003E7CB7" w:rsidRDefault="002E3B0F" w:rsidP="002E3B0F">
      <w:pPr>
        <w:rPr>
          <w:sz w:val="24"/>
        </w:rPr>
      </w:pPr>
      <m:oMathPara>
        <m:oMath>
          <m:r>
            <w:rPr>
              <w:rFonts w:ascii="Cambria Math" w:hAnsi="Cambria Math"/>
              <w:sz w:val="24"/>
            </w:rPr>
            <m:t>D=</m:t>
          </m:r>
          <m:func>
            <m:funcPr>
              <m:ctrlPr>
                <w:rPr>
                  <w:rFonts w:ascii="Cambria Math" w:hAnsi="Cambria Math"/>
                  <w:sz w:val="24"/>
                </w:rPr>
              </m:ctrlPr>
            </m:funcPr>
            <m:fName>
              <m:r>
                <m:rPr>
                  <m:sty m:val="p"/>
                </m:rPr>
                <w:rPr>
                  <w:rFonts w:ascii="Cambria Math" w:hAnsi="Cambria Math"/>
                  <w:sz w:val="24"/>
                </w:rPr>
                <m:t>ln</m:t>
              </m:r>
            </m:fName>
            <m:e>
              <m:d>
                <m:dPr>
                  <m:ctrlPr>
                    <w:rPr>
                      <w:rFonts w:ascii="Cambria Math" w:hAnsi="Cambria Math"/>
                      <w:sz w:val="24"/>
                    </w:rPr>
                  </m:ctrlPr>
                </m:dPr>
                <m:e>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G</m:t>
                          </m:r>
                        </m:e>
                        <m:sub>
                          <m:r>
                            <m:rPr>
                              <m:sty m:val="p"/>
                            </m:rPr>
                            <w:rPr>
                              <w:rFonts w:ascii="Cambria Math" w:hAnsi="Cambria Math"/>
                              <w:sz w:val="24"/>
                            </w:rPr>
                            <m:t>HET</m:t>
                          </m:r>
                        </m:sub>
                      </m:sSub>
                    </m:num>
                    <m:den>
                      <m:sSub>
                        <m:sSubPr>
                          <m:ctrlPr>
                            <w:rPr>
                              <w:rFonts w:ascii="Cambria Math" w:hAnsi="Cambria Math"/>
                              <w:sz w:val="24"/>
                            </w:rPr>
                          </m:ctrlPr>
                        </m:sSubPr>
                        <m:e>
                          <m:r>
                            <w:rPr>
                              <w:rFonts w:ascii="Cambria Math" w:hAnsi="Cambria Math"/>
                              <w:sz w:val="24"/>
                            </w:rPr>
                            <m:t>G</m:t>
                          </m:r>
                        </m:e>
                        <m:sub>
                          <m:r>
                            <m:rPr>
                              <m:sty m:val="p"/>
                            </m:rPr>
                            <w:rPr>
                              <w:rFonts w:ascii="Cambria Math" w:hAnsi="Cambria Math"/>
                              <w:sz w:val="24"/>
                            </w:rPr>
                            <m:t>MSM</m:t>
                          </m:r>
                        </m:sub>
                      </m:sSub>
                    </m:den>
                  </m:f>
                </m:e>
              </m:d>
            </m:e>
          </m:func>
          <m:r>
            <w:rPr>
              <w:rFonts w:ascii="Cambria Math" w:hAnsi="Cambria Math"/>
              <w:sz w:val="24"/>
            </w:rPr>
            <m:t>,</m:t>
          </m:r>
          <m:r>
            <w:rPr>
              <w:rFonts w:ascii="Cambria Math" w:hAnsi="Cambria Math"/>
              <w:sz w:val="24"/>
            </w:rPr>
            <w:br/>
          </m:r>
        </m:oMath>
      </m:oMathPara>
    </w:p>
    <w:p w14:paraId="4C8180C4" w14:textId="77777777" w:rsidR="002E3B0F" w:rsidRPr="003E7CB7" w:rsidRDefault="002E3B0F" w:rsidP="002E3B0F">
      <w:pPr>
        <w:rPr>
          <w:sz w:val="24"/>
        </w:rPr>
      </w:pPr>
      <w:r w:rsidRPr="003E7CB7">
        <w:rPr>
          <w:sz w:val="24"/>
        </w:rPr>
        <w:lastRenderedPageBreak/>
        <w:t>where </w:t>
      </w:r>
      <m:oMath>
        <m:sSub>
          <m:sSubPr>
            <m:ctrlPr>
              <w:rPr>
                <w:rFonts w:ascii="Cambria Math" w:hAnsi="Cambria Math"/>
                <w:sz w:val="24"/>
              </w:rPr>
            </m:ctrlPr>
          </m:sSubPr>
          <m:e>
            <m:r>
              <w:rPr>
                <w:rFonts w:ascii="Cambria Math" w:hAnsi="Cambria Math"/>
                <w:sz w:val="24"/>
              </w:rPr>
              <m:t>G</m:t>
            </m:r>
          </m:e>
          <m:sub>
            <m:r>
              <m:rPr>
                <m:sty m:val="p"/>
              </m:rPr>
              <w:rPr>
                <w:rFonts w:ascii="Cambria Math" w:hAnsi="Cambria Math"/>
                <w:sz w:val="24"/>
              </w:rPr>
              <m:t>HET</m:t>
            </m:r>
          </m:sub>
        </m:sSub>
      </m:oMath>
      <w:r w:rsidRPr="003E7CB7">
        <w:rPr>
          <w:sz w:val="24"/>
        </w:rPr>
        <w:t> and </w:t>
      </w:r>
      <m:oMath>
        <m:sSub>
          <m:sSubPr>
            <m:ctrlPr>
              <w:rPr>
                <w:rFonts w:ascii="Cambria Math" w:hAnsi="Cambria Math"/>
                <w:sz w:val="24"/>
              </w:rPr>
            </m:ctrlPr>
          </m:sSubPr>
          <m:e>
            <m:r>
              <w:rPr>
                <w:rFonts w:ascii="Cambria Math" w:hAnsi="Cambria Math"/>
                <w:sz w:val="24"/>
              </w:rPr>
              <m:t>G</m:t>
            </m:r>
          </m:e>
          <m:sub>
            <m:r>
              <m:rPr>
                <m:sty m:val="p"/>
              </m:rPr>
              <w:rPr>
                <w:rFonts w:ascii="Cambria Math" w:hAnsi="Cambria Math"/>
                <w:sz w:val="24"/>
              </w:rPr>
              <m:t>MSM</m:t>
            </m:r>
          </m:sub>
        </m:sSub>
      </m:oMath>
      <w:r w:rsidRPr="003E7CB7">
        <w:rPr>
          <w:sz w:val="24"/>
        </w:rPr>
        <w:t> represent the 2022–2030 incidence fold changes among heterosexual individuals and MSM, respectively. A divergence factor of zero indicates proportional changes of equal magnitude in the two populations. Positive values indicate relatively greater growth, or a smaller decline, in heterosexual incidence compared with MSM incidence, whereas negative values indicate relatively greater growth, or a smaller decline, in MSM incidence compared with heterosexual incidence. We examined the associations of both the spillover coefficient and epidemic divergence factor with baseline MSA-level characteristics as exploratory analyses and did not interpret these associations as causal effects.</w:t>
      </w:r>
    </w:p>
    <w:p w14:paraId="1F35BC6B" w14:textId="77777777" w:rsidR="002E3B0F" w:rsidRDefault="002E3B0F" w:rsidP="002E3B0F"/>
    <w:p w14:paraId="752EE23E" w14:textId="77777777" w:rsidR="00916DB9" w:rsidRDefault="00916DB9" w:rsidP="002E3B0F"/>
    <w:p w14:paraId="2D00F7BF" w14:textId="77777777" w:rsidR="00916DB9" w:rsidRDefault="00916DB9" w:rsidP="00916DB9">
      <w:pPr>
        <w:pStyle w:val="Heading2"/>
        <w:numPr>
          <w:ilvl w:val="1"/>
          <w:numId w:val="14"/>
        </w:numPr>
        <w:ind w:left="432" w:hanging="432"/>
      </w:pPr>
      <w:r w:rsidRPr="00BF64DD">
        <w:t>Correlates of Variation in Doxy-PEP Spillover</w:t>
      </w:r>
    </w:p>
    <w:p w14:paraId="192D228C" w14:textId="77777777" w:rsidR="00916DB9" w:rsidRPr="00B7095C" w:rsidRDefault="00916DB9" w:rsidP="00916DB9">
      <w:r>
        <w:t xml:space="preserve">The projected </w:t>
      </w:r>
      <w:r w:rsidRPr="00B7095C">
        <w:t>Doxy-PEP impact at the total-population lev</w:t>
      </w:r>
      <w:r>
        <w:t xml:space="preserve">el in SHIELD </w:t>
      </w:r>
      <w:r w:rsidRPr="00B7095C">
        <w:t>reflects reductions in incidence among MSM, females, and heterosexual males. Whereas the impact among MSM represents the direct effect of Doxy-PEP through reduced susceptibility among users and subsequent reductions in transmission, the impact among females and heterosexual males is primarily a population-level spillover effect arising from reduced transmission from MSM to their sexual partners. To characterize the extent to which reductions among females tracked those observed among MSM, we defined a </w:t>
      </w:r>
      <w:r w:rsidRPr="00B7095C">
        <w:rPr>
          <w:b/>
          <w:bCs/>
        </w:rPr>
        <w:t>spillover coefficient</w:t>
      </w:r>
      <w:r w:rsidRPr="00B7095C">
        <w:t xml:space="preserve"> as the ratio of the projected reduction in incident infections among females to the corresponding projected reduction among MSM by 2030, comparing scenarios with and without Doxy-PEP. </w:t>
      </w:r>
      <w:r>
        <w:t>A spillover v</w:t>
      </w:r>
      <w:r w:rsidRPr="00B7095C">
        <w:t>alue of 0 indicate</w:t>
      </w:r>
      <w:r>
        <w:t>s</w:t>
      </w:r>
      <w:r w:rsidRPr="00B7095C">
        <w:t xml:space="preserve"> no reduction among females, value of 1 indicate</w:t>
      </w:r>
      <w:r>
        <w:t>s</w:t>
      </w:r>
      <w:r w:rsidRPr="00B7095C">
        <w:t xml:space="preserve"> reductions of similar magnitude among females and MSM, and </w:t>
      </w:r>
      <w:r>
        <w:t xml:space="preserve">a </w:t>
      </w:r>
      <w:r w:rsidRPr="00B7095C">
        <w:t>value &gt;1 indicate</w:t>
      </w:r>
      <w:r>
        <w:t xml:space="preserve">s </w:t>
      </w:r>
      <w:r w:rsidRPr="00B7095C">
        <w:t>greater reductions among females than among MSM.</w:t>
      </w:r>
    </w:p>
    <w:p w14:paraId="73930543" w14:textId="77777777" w:rsidR="00916DB9" w:rsidRPr="00BF64DD" w:rsidRDefault="00916DB9" w:rsidP="00916DB9">
      <w:r w:rsidRPr="00BF64DD">
        <w:t>We then explored associations between the spillover coefficient and baseline MSA-level characteristics that could plausibly be related to the magnitude of spillover, including the proportion of incident infections occurring among MSM, MSM incidence rate, female incidence rate, the MSM-to-female incidence rate ratio, the proportion of the male population identifying as MSM, and the rate of syphilis detection (diagnoses per incident infection), all measured in 2022.</w:t>
      </w:r>
    </w:p>
    <w:p w14:paraId="6A3DC237" w14:textId="77777777" w:rsidR="00916DB9" w:rsidRDefault="00916DB9" w:rsidP="00916DB9">
      <w:r w:rsidRPr="00BF64DD">
        <w:t xml:space="preserve">Changes in the underlying epidemic trajectory in the absence of intervention could also be associated with the projected magnitude of spillover. To capture differences in epidemic trajectories across MSAs, we defined a </w:t>
      </w:r>
      <w:r w:rsidRPr="00BF64DD">
        <w:rPr>
          <w:b/>
          <w:bCs/>
        </w:rPr>
        <w:t>divergence factor</w:t>
      </w:r>
      <w:r w:rsidRPr="00BF64DD">
        <w:t xml:space="preserve"> as the natural logarithm of the ratio of heterosexual to MSM incidence growth between 2022 and 2030. Incidence growth was measured as the fold change in incidence between 2022 and 2030 for each population. A divergence factor of zero indicates proportional changes in incidence of the same magnitude in the two populations; positive values indicate relatively greater growth</w:t>
      </w:r>
      <w:r>
        <w:t xml:space="preserve"> or</w:t>
      </w:r>
      <w:r w:rsidRPr="00BF64DD">
        <w:t xml:space="preserve"> smaller declines in heterosexual incidence than in MSM incidence, whereas negative values indicate the opposite pattern.</w:t>
      </w:r>
    </w:p>
    <w:p w14:paraId="5E50A0F4" w14:textId="77777777" w:rsidR="00916DB9" w:rsidRPr="00081899" w:rsidRDefault="00916DB9" w:rsidP="00916DB9">
      <w:pPr>
        <w:pStyle w:val="Heading2"/>
        <w:numPr>
          <w:ilvl w:val="1"/>
          <w:numId w:val="14"/>
        </w:numPr>
        <w:ind w:left="432" w:hanging="432"/>
      </w:pPr>
      <w:r w:rsidRPr="00081899">
        <w:t>Antibiotic cost per infection averted</w:t>
      </w:r>
    </w:p>
    <w:p w14:paraId="563B9CD6" w14:textId="77777777" w:rsidR="00916DB9" w:rsidRDefault="00916DB9" w:rsidP="00916DB9">
      <w:r w:rsidRPr="00E657BC">
        <w:t>To quantify the antibiotic exposure required to prevent syphilis infections, we report the number of Doxy-PEP person-years delivered per incident infection averted. Because Doxy-PEP is provided only to MSM, this measure uses drug exposure among MSM to quantify infections averted across the population, including infections among MSM and women. We report two measures: a cumulative measure, which captures total Doxy-PEP delivered and infections averted from 2022–2030, and a marginal measure, which compares each coverage level with the next lower level to show the additional infections averted per additional person-year of Doxy-PEP.</w:t>
      </w:r>
    </w:p>
    <w:p w14:paraId="47FCA2AC" w14:textId="77777777" w:rsidR="00916DB9" w:rsidRDefault="00916DB9" w:rsidP="00916DB9">
      <w:r>
        <w:rPr>
          <w:b/>
          <w:bCs/>
        </w:rPr>
        <w:t xml:space="preserve">Outcomes: </w:t>
      </w:r>
      <w:r w:rsidRPr="00060B99">
        <w:t>The primary outcomes of interest were syphilis incidence, expressed as annual incident case counts and incidence rates per 100,000 persons, and cumulative incidence from 2022 through 2030. Relative reductions against prespecified targets were evaluated using incident case counts. This conservative approach accounts for projected population growth over the study period, such that achieving a 50% reduction in incident case counts represents a more stringent criterion than achieving a 50% reduction in incidence rates. We also report absolute reductions in annual incidence rates per 100,000 persons and the cumulative number of incident infections over 2022–2030. Impact was additionally expressed as Doxy-PEP person-years delivered per incident infection averted, both cumulatively from 2022 through 2030 and marginally between adjacent coverage levels</w:t>
      </w:r>
      <w:r>
        <w:t>.</w:t>
      </w:r>
    </w:p>
    <w:p w14:paraId="41F96DA9" w14:textId="77777777" w:rsidR="00916DB9" w:rsidRPr="006805C6" w:rsidRDefault="00916DB9" w:rsidP="00916DB9">
      <w:r w:rsidRPr="006805C6">
        <w:lastRenderedPageBreak/>
        <w:t xml:space="preserve">Secondary outcomes included total syphilis diagnoses, P&amp;S syphilis diagnoses, and the syphilis detection rate, defined as the ratio of P&amp;S syphilis diagnoses to incident syphilis infections in the same year. </w:t>
      </w:r>
    </w:p>
    <w:p w14:paraId="18F0C9AF" w14:textId="77777777" w:rsidR="00916DB9" w:rsidRPr="009C1622" w:rsidRDefault="00916DB9" w:rsidP="00916DB9">
      <w:r w:rsidRPr="009C1622">
        <w:t>All outcomes were projected through 2030 under each modeled Doxy-PEP intervention scenario and the corresponding no-intervention scenario, without Doxy-PEP, for each MSA. Results are reported as medians with 95% uncertainty intervals</w:t>
      </w:r>
      <w:r>
        <w:t xml:space="preserve">, </w:t>
      </w:r>
      <w:r w:rsidRPr="009C1622">
        <w:t xml:space="preserve">defined by the 2.5th and 97.5th percentiles across </w:t>
      </w:r>
      <w:r>
        <w:t>400</w:t>
      </w:r>
      <w:r w:rsidRPr="009C1622">
        <w:t xml:space="preserve"> </w:t>
      </w:r>
      <w:r>
        <w:t>posterior</w:t>
      </w:r>
      <w:r w:rsidRPr="009C1622">
        <w:t xml:space="preserve"> simulations.</w:t>
      </w:r>
    </w:p>
    <w:p w14:paraId="6875F785" w14:textId="77777777" w:rsidR="00916DB9" w:rsidRPr="00B6089C" w:rsidRDefault="00916DB9" w:rsidP="00916DB9"/>
    <w:p w14:paraId="10A584F5" w14:textId="77777777" w:rsidR="00916DB9" w:rsidRPr="00E657BC" w:rsidRDefault="00916DB9" w:rsidP="00916DB9"/>
    <w:p w14:paraId="38EA641A" w14:textId="77777777" w:rsidR="00916DB9" w:rsidRDefault="00916DB9" w:rsidP="00916DB9">
      <w:r>
        <w:rPr>
          <w:b/>
          <w:bCs/>
        </w:rPr>
        <w:t>Discussion point: we focus key questin as a policy question to understand the potential for Doxy Pap to bend the sickness care of this is how policies made</w:t>
      </w:r>
      <w:r w:rsidRPr="004E0677">
        <w:rPr>
          <w:b/>
          <w:bCs/>
        </w:rPr>
        <w:t xml:space="preserve"> </w:t>
      </w:r>
      <w:r w:rsidRPr="002F2388">
        <w:t>Because incidence rose steeply in the absence of intervention, a given level of Doxy</w:t>
      </w:r>
      <w:r>
        <w:t>-</w:t>
      </w:r>
      <w:r w:rsidRPr="002F2388">
        <w:t xml:space="preserve">PEP </w:t>
      </w:r>
      <w:r>
        <w:t>can prevent</w:t>
      </w:r>
      <w:r w:rsidRPr="002F2388">
        <w:t xml:space="preserve"> a large fraction of projected infections while still leaving incidence at or above its 2022 level</w:t>
      </w:r>
      <w:r>
        <w:t>.</w:t>
      </w:r>
      <w:r w:rsidRPr="002F2388">
        <w:t xml:space="preserve"> </w:t>
      </w:r>
      <w:r>
        <w:t>T</w:t>
      </w:r>
      <w:r w:rsidRPr="002F2388">
        <w:t>he two framings answer different questions, and the gap between them widens with the growth rate of the underlying epidemic</w:t>
      </w:r>
    </w:p>
    <w:p w14:paraId="7B8B6079" w14:textId="77777777" w:rsidR="00916DB9" w:rsidRDefault="00916DB9" w:rsidP="002E3B0F"/>
    <w:p w14:paraId="4CAE0A7F" w14:textId="05E47917" w:rsidR="000F27CD" w:rsidRDefault="000F27CD" w:rsidP="000F27CD">
      <w:pPr>
        <w:spacing w:before="0" w:after="0"/>
      </w:pPr>
      <w:r>
        <w:br w:type="page"/>
      </w:r>
      <w:r w:rsidRPr="000F27CD">
        <w:rPr>
          <w:b/>
          <w:bCs/>
        </w:rPr>
        <w:lastRenderedPageBreak/>
        <w:t>Constraints on extrapolation.</w:t>
      </w:r>
      <w:r w:rsidRPr="000F27CD">
        <w:t xml:space="preserve"> </w:t>
      </w:r>
    </w:p>
    <w:p w14:paraId="407147C1" w14:textId="22A5C61D" w:rsidR="000F27CD" w:rsidRPr="000F27CD" w:rsidRDefault="000F27CD" w:rsidP="000F27CD">
      <w:pPr>
        <w:spacing w:before="0" w:after="0"/>
      </w:pPr>
      <w:r w:rsidRPr="000F27CD">
        <w:t>Extrapolation beyond the calibration period is constrained in two ways. Each simulation samples a modifier of the post-calibration slope, allowing future trends to be steeper or shallower than those observed historically. Each also samples a calendar year after which parameters cease to improve on baseline trends, preventing secular improvement from continuing indefinitely. Testing, viral suppression, and PrEP coverage are additionally subject to upper bounds that cannot be exceeded absent an explicit intervention.</w:t>
      </w:r>
    </w:p>
    <w:p w14:paraId="54DA9A05" w14:textId="77777777" w:rsidR="000F27CD" w:rsidRPr="000F27CD" w:rsidRDefault="000F27CD" w:rsidP="000F27CD">
      <w:pPr>
        <w:numPr>
          <w:ilvl w:val="0"/>
          <w:numId w:val="9"/>
        </w:numPr>
        <w:spacing w:before="0" w:after="0"/>
      </w:pPr>
      <w:r w:rsidRPr="000F27CD">
        <w:t>These constraints determine how much improvement the model projects in the care cascade over the coming decade in the absence of any policy change, and therefore how much room for improvement remains at baseline. If the model fits a rising trend in viral suppression through the calibration period, that trend is projected forward — but bounded, so that suppression approaches rather than passes a plausible maximum. The value of that bound shapes the baseline trajectory: a higher ceiling permits continued gains through the projection period, while a lower one causes the trajectory to flatten sooner.</w:t>
      </w:r>
    </w:p>
    <w:p w14:paraId="615382AA" w14:textId="77777777" w:rsidR="000F27CD" w:rsidRPr="000F27CD" w:rsidRDefault="000F27CD" w:rsidP="000F27CD">
      <w:pPr>
        <w:numPr>
          <w:ilvl w:val="0"/>
          <w:numId w:val="9"/>
        </w:numPr>
        <w:spacing w:before="0" w:after="0"/>
      </w:pPr>
      <w:r w:rsidRPr="000F27CD">
        <w:t>Because these constraints apply to the continuation and disruption scenarios alike, they discipline both arms of every comparison rather than only the counterfactual. Their effect on the contrast between arms is nonetheless not neutral. A disruption scenario moves the affected parameter away from its ceiling, so the bound is more likely to constrain the continuation scenario than the disruption scenario; a conservatively low ceiling therefore compresses projected divergence between the two and, if anything, understates the projected impact of disruption. We regard this as the appropriate direction of error for an analysis whose purpose is to estimate the consequences of withdrawing services, and we report the ceilings used so that readers can judge their plausibility</w:t>
      </w:r>
    </w:p>
    <w:p w14:paraId="515A4EC5" w14:textId="5BC88D39" w:rsidR="000F27CD" w:rsidRDefault="000F27CD">
      <w:pPr>
        <w:spacing w:before="0" w:after="0"/>
      </w:pPr>
    </w:p>
    <w:p w14:paraId="009C8E05" w14:textId="1100FA3C" w:rsidR="000F27CD" w:rsidRDefault="000F27CD">
      <w:pPr>
        <w:spacing w:before="0" w:after="0"/>
      </w:pPr>
      <w:r>
        <w:br w:type="page"/>
      </w:r>
    </w:p>
    <w:p w14:paraId="6D8C8DE9" w14:textId="442D1F3D" w:rsidR="000F27CD" w:rsidRDefault="000F27CD">
      <w:pPr>
        <w:spacing w:before="0" w:after="0"/>
      </w:pPr>
      <w:r>
        <w:br w:type="page"/>
      </w:r>
    </w:p>
    <w:p w14:paraId="1214457F" w14:textId="2EBAE6EA" w:rsidR="000F27CD" w:rsidRDefault="000F27CD">
      <w:pPr>
        <w:spacing w:before="0" w:after="0"/>
      </w:pPr>
      <w:r>
        <w:lastRenderedPageBreak/>
        <w:br w:type="page"/>
      </w:r>
    </w:p>
    <w:p w14:paraId="53396750" w14:textId="77777777" w:rsidR="00AE5FAF" w:rsidRDefault="00AE5FAF" w:rsidP="00194ABA">
      <w:pPr>
        <w:pStyle w:val="NoSpacing"/>
      </w:pPr>
    </w:p>
    <w:p w14:paraId="039C994A" w14:textId="77777777" w:rsidR="00AE5FAF" w:rsidRDefault="00AE5FAF" w:rsidP="00194ABA">
      <w:pPr>
        <w:pStyle w:val="NoSpacing"/>
      </w:pPr>
    </w:p>
    <w:p w14:paraId="231EAE19" w14:textId="0AB1B317" w:rsidR="00A00577" w:rsidRPr="00A00577" w:rsidRDefault="00AE5FAF" w:rsidP="00A00577">
      <w:pPr>
        <w:pStyle w:val="EndNoteBibliography"/>
        <w:spacing w:after="0"/>
        <w:rPr>
          <w:noProof/>
        </w:rPr>
      </w:pPr>
      <w:r>
        <w:fldChar w:fldCharType="begin"/>
      </w:r>
      <w:r>
        <w:instrText xml:space="preserve"> ADDIN EN.REFLIST </w:instrText>
      </w:r>
      <w:r>
        <w:fldChar w:fldCharType="separate"/>
      </w:r>
      <w:r w:rsidR="00A00577" w:rsidRPr="00A00577">
        <w:rPr>
          <w:noProof/>
        </w:rPr>
        <w:t>1.</w:t>
      </w:r>
      <w:r w:rsidR="00A00577" w:rsidRPr="00A00577">
        <w:rPr>
          <w:noProof/>
        </w:rPr>
        <w:tab/>
        <w:t xml:space="preserve">Hicks CB, Clement M. Syphilis: epidemiology, pathophysiology, and clinical manifestations in patients without HIV. UpToDate, Alphen aan den Rijn, Netherlands: Wolters Kluwer </w:t>
      </w:r>
      <w:hyperlink r:id="rId10" w:history="1">
        <w:r w:rsidR="00A00577" w:rsidRPr="00A00577">
          <w:rPr>
            <w:rStyle w:val="Hyperlink"/>
            <w:noProof/>
          </w:rPr>
          <w:t>https://www</w:t>
        </w:r>
      </w:hyperlink>
      <w:r w:rsidR="00A00577" w:rsidRPr="00A00577">
        <w:rPr>
          <w:noProof/>
        </w:rPr>
        <w:t xml:space="preserve"> uptodate com/contents/syphilis-epidemiology-pathophysiology-and-clinical-manifestations-in-patients-without-hiv (Accessed 23 November 2023). 2021.</w:t>
      </w:r>
    </w:p>
    <w:p w14:paraId="6ECA8E24" w14:textId="77777777" w:rsidR="00A00577" w:rsidRPr="00A00577" w:rsidRDefault="00A00577" w:rsidP="00A00577">
      <w:pPr>
        <w:pStyle w:val="EndNoteBibliography"/>
        <w:spacing w:after="0"/>
        <w:rPr>
          <w:noProof/>
        </w:rPr>
      </w:pPr>
      <w:r w:rsidRPr="00A00577">
        <w:rPr>
          <w:noProof/>
        </w:rPr>
        <w:t>2.</w:t>
      </w:r>
      <w:r w:rsidRPr="00A00577">
        <w:rPr>
          <w:noProof/>
        </w:rPr>
        <w:tab/>
        <w:t>Singh AE, Romanowski B. Syphilis: review with emphasis on clinical, epidemiologic, and some biologic features. Clin Microbiol Rev. 1999;12(2):187-209.</w:t>
      </w:r>
    </w:p>
    <w:p w14:paraId="2F7779F9" w14:textId="77777777" w:rsidR="00A00577" w:rsidRPr="00A00577" w:rsidRDefault="00A00577" w:rsidP="00A00577">
      <w:pPr>
        <w:pStyle w:val="EndNoteBibliography"/>
        <w:spacing w:after="0"/>
        <w:rPr>
          <w:noProof/>
        </w:rPr>
      </w:pPr>
      <w:r w:rsidRPr="00A00577">
        <w:rPr>
          <w:noProof/>
        </w:rPr>
        <w:t>3.</w:t>
      </w:r>
      <w:r w:rsidRPr="00A00577">
        <w:rPr>
          <w:noProof/>
        </w:rPr>
        <w:tab/>
        <w:t>Gross G, Tyring SK. Sexually transmitted infections and sexually transmitted diseases: Springer Science &amp; Business Media; 2011.</w:t>
      </w:r>
    </w:p>
    <w:p w14:paraId="60A29E77" w14:textId="0CE33DD3" w:rsidR="00A00577" w:rsidRPr="00A00577" w:rsidRDefault="00A00577" w:rsidP="00A00577">
      <w:pPr>
        <w:pStyle w:val="EndNoteBibliography"/>
        <w:spacing w:after="0"/>
        <w:rPr>
          <w:noProof/>
        </w:rPr>
      </w:pPr>
      <w:r w:rsidRPr="00A00577">
        <w:rPr>
          <w:noProof/>
        </w:rPr>
        <w:t>4.</w:t>
      </w:r>
      <w:r w:rsidRPr="00A00577">
        <w:rPr>
          <w:noProof/>
        </w:rPr>
        <w:tab/>
        <w:t>De Voux A, Kidd S, Torrone EA. Reported cases of neurosyphilis among early syphilis cases</w:t>
      </w:r>
      <w:r w:rsidR="00243894">
        <w:rPr>
          <w:noProof/>
        </w:rPr>
        <w:t>–</w:t>
      </w:r>
      <w:r w:rsidRPr="00A00577">
        <w:rPr>
          <w:noProof/>
        </w:rPr>
        <w:t>United States, 2009 to 2015. Sexually transmitted diseases. 2018;45(1):39-41.</w:t>
      </w:r>
    </w:p>
    <w:p w14:paraId="54FE9424" w14:textId="77777777" w:rsidR="00A00577" w:rsidRPr="00A00577" w:rsidRDefault="00A00577" w:rsidP="00A00577">
      <w:pPr>
        <w:pStyle w:val="EndNoteBibliography"/>
        <w:spacing w:after="0"/>
        <w:rPr>
          <w:noProof/>
        </w:rPr>
      </w:pPr>
      <w:r w:rsidRPr="00A00577">
        <w:rPr>
          <w:noProof/>
        </w:rPr>
        <w:t>5.</w:t>
      </w:r>
      <w:r w:rsidRPr="00A00577">
        <w:rPr>
          <w:noProof/>
        </w:rPr>
        <w:tab/>
        <w:t>Quilter LA, de Voux A, Amiya RM, Davies E, Hennessy RR, Kerani RP, et al. Prevalence of self-reported neurologic and ocular symptoms in early syphilis cases. Clinical Infectious Diseases. 2021;72(6):961-7.</w:t>
      </w:r>
    </w:p>
    <w:p w14:paraId="6994CD19" w14:textId="77777777" w:rsidR="00A00577" w:rsidRPr="00A00577" w:rsidRDefault="00A00577" w:rsidP="00A00577">
      <w:pPr>
        <w:pStyle w:val="EndNoteBibliography"/>
        <w:spacing w:after="0"/>
        <w:rPr>
          <w:noProof/>
        </w:rPr>
      </w:pPr>
      <w:r w:rsidRPr="00A00577">
        <w:rPr>
          <w:noProof/>
        </w:rPr>
        <w:t>6.</w:t>
      </w:r>
      <w:r w:rsidRPr="00A00577">
        <w:rPr>
          <w:noProof/>
        </w:rPr>
        <w:tab/>
        <w:t>Henriques BL, Cortez AL, Nunes NN, Vidal JE, Avelino</w:t>
      </w:r>
      <w:r w:rsidRPr="00A00577">
        <w:rPr>
          <w:rFonts w:ascii="Cambria Math" w:hAnsi="Cambria Math" w:cs="Cambria Math"/>
          <w:noProof/>
        </w:rPr>
        <w:t>‐</w:t>
      </w:r>
      <w:r w:rsidRPr="00A00577">
        <w:rPr>
          <w:noProof/>
        </w:rPr>
        <w:t>Silva VI. Clinical outcomes of HIV–syphilis coinfection among patients with no neurological symptoms: a retrospective cohort study. HIV medicine. 2022;23(10):1041-50.</w:t>
      </w:r>
    </w:p>
    <w:p w14:paraId="14259FBC" w14:textId="77777777" w:rsidR="00A00577" w:rsidRPr="00A00577" w:rsidRDefault="00A00577" w:rsidP="00A00577">
      <w:pPr>
        <w:pStyle w:val="EndNoteBibliography"/>
        <w:spacing w:after="0"/>
        <w:rPr>
          <w:noProof/>
        </w:rPr>
      </w:pPr>
      <w:r w:rsidRPr="00A00577">
        <w:rPr>
          <w:noProof/>
        </w:rPr>
        <w:t>7.</w:t>
      </w:r>
      <w:r w:rsidRPr="00A00577">
        <w:rPr>
          <w:noProof/>
        </w:rPr>
        <w:tab/>
        <w:t>Lukehart SA, Hook III EW, Baker-Zander SA, Collier AC, Critchlow CW, Handsfield HH. Invasion of the central nervous system by Treponema pallidum: implications for diagnosis and treatment. Annals of internal medicine. 1988;109(11):855-62.</w:t>
      </w:r>
    </w:p>
    <w:p w14:paraId="5EEBEA08" w14:textId="77777777" w:rsidR="00A00577" w:rsidRPr="00A00577" w:rsidRDefault="00A00577" w:rsidP="00A00577">
      <w:pPr>
        <w:pStyle w:val="EndNoteBibliography"/>
        <w:spacing w:after="0"/>
        <w:rPr>
          <w:noProof/>
        </w:rPr>
      </w:pPr>
      <w:r w:rsidRPr="00A00577">
        <w:rPr>
          <w:noProof/>
        </w:rPr>
        <w:t>8.</w:t>
      </w:r>
      <w:r w:rsidRPr="00A00577">
        <w:rPr>
          <w:noProof/>
        </w:rPr>
        <w:tab/>
        <w:t>Van Eijk R, Wolters EC, Tutuarima J, Hische E, Bos J, Van Trotsenburg L, et al. Effect of early and late syphilis on central nervous system: cerebrospinal fluid changes and neurological deficit. Sexually Transmitted Infections. 1987;63(2):77-82.</w:t>
      </w:r>
    </w:p>
    <w:p w14:paraId="78E75BA7" w14:textId="77777777" w:rsidR="00A00577" w:rsidRPr="00A00577" w:rsidRDefault="00A00577" w:rsidP="00A00577">
      <w:pPr>
        <w:pStyle w:val="EndNoteBibliography"/>
        <w:spacing w:after="0"/>
        <w:rPr>
          <w:noProof/>
        </w:rPr>
      </w:pPr>
      <w:r w:rsidRPr="00A00577">
        <w:rPr>
          <w:noProof/>
        </w:rPr>
        <w:t>9.</w:t>
      </w:r>
      <w:r w:rsidRPr="00A00577">
        <w:rPr>
          <w:noProof/>
        </w:rPr>
        <w:tab/>
        <w:t>Golden MR, Marra CM, Holmes KK. Update on syphilis: resurgence of an old problem. Jama. 2003;290(11):1510-4.</w:t>
      </w:r>
    </w:p>
    <w:p w14:paraId="43D48DFB" w14:textId="77777777" w:rsidR="00A00577" w:rsidRPr="00A00577" w:rsidRDefault="00A00577" w:rsidP="00A00577">
      <w:pPr>
        <w:pStyle w:val="EndNoteBibliography"/>
        <w:spacing w:after="0"/>
        <w:rPr>
          <w:noProof/>
        </w:rPr>
      </w:pPr>
      <w:r w:rsidRPr="00A00577">
        <w:rPr>
          <w:noProof/>
        </w:rPr>
        <w:t>10.</w:t>
      </w:r>
      <w:r w:rsidRPr="00A00577">
        <w:rPr>
          <w:noProof/>
        </w:rPr>
        <w:tab/>
        <w:t>Clark EG, Danbolt N. The Oslo study of the natural history of untreated syphilis: an epidemiologic investigation based on a restudy of the Boeck-Bruusgaard material a review and appraisal. Journal of chronic diseases. 1955;2(3):311-44.</w:t>
      </w:r>
    </w:p>
    <w:p w14:paraId="6BDF0C9F" w14:textId="77777777" w:rsidR="00A00577" w:rsidRPr="00A00577" w:rsidRDefault="00A00577" w:rsidP="00A00577">
      <w:pPr>
        <w:pStyle w:val="EndNoteBibliography"/>
        <w:spacing w:after="0"/>
        <w:rPr>
          <w:noProof/>
        </w:rPr>
      </w:pPr>
      <w:r w:rsidRPr="00A00577">
        <w:rPr>
          <w:noProof/>
        </w:rPr>
        <w:t>11.</w:t>
      </w:r>
      <w:r w:rsidRPr="00A00577">
        <w:rPr>
          <w:noProof/>
        </w:rPr>
        <w:tab/>
        <w:t>Alexander LJ, SCHOCH AG. Prevention of syphilis: Penicillin calcium in oil and white wax, usp, bismuth ethylcamphorate and oxophenarsine hydrochloride in treatment, during incubation stage, of persons exposed to syphilis. Archives of dermatology and syphilology. 1949;59(1):1-10.</w:t>
      </w:r>
    </w:p>
    <w:p w14:paraId="3F6E193C" w14:textId="77777777" w:rsidR="00A00577" w:rsidRPr="00A00577" w:rsidRDefault="00A00577" w:rsidP="00A00577">
      <w:pPr>
        <w:pStyle w:val="EndNoteBibliography"/>
        <w:spacing w:after="0"/>
        <w:rPr>
          <w:noProof/>
        </w:rPr>
      </w:pPr>
      <w:r w:rsidRPr="00A00577">
        <w:rPr>
          <w:noProof/>
        </w:rPr>
        <w:t>12.</w:t>
      </w:r>
      <w:r w:rsidRPr="00A00577">
        <w:rPr>
          <w:noProof/>
        </w:rPr>
        <w:tab/>
        <w:t>Gray RT, Hoare A, Prestage GP, Donovan B, Kaldor JM, Wilson DP. Frequent testing of highly sexually active gay men is required to control syphilis. Sexually transmitted diseases. 2010:298-305.</w:t>
      </w:r>
    </w:p>
    <w:p w14:paraId="6344986C" w14:textId="77777777" w:rsidR="00A00577" w:rsidRPr="00A00577" w:rsidRDefault="00A00577" w:rsidP="00A00577">
      <w:pPr>
        <w:pStyle w:val="EndNoteBibliography"/>
        <w:spacing w:after="0"/>
        <w:rPr>
          <w:noProof/>
        </w:rPr>
      </w:pPr>
      <w:r w:rsidRPr="00A00577">
        <w:rPr>
          <w:noProof/>
        </w:rPr>
        <w:t>13.</w:t>
      </w:r>
      <w:r w:rsidRPr="00A00577">
        <w:rPr>
          <w:noProof/>
        </w:rPr>
        <w:tab/>
        <w:t>Peel J, Chow EP, Denham I, Schmidt T, Buchanan A, Fairley CK, et al. Clinical presentation of incident syphilis among men who have sex with men taking HIV pre-exposure prophylaxis in Melbourne, Australia. Clinical Infectious Diseases. 2021;73(4):e934-e7.</w:t>
      </w:r>
    </w:p>
    <w:p w14:paraId="461B6CFD" w14:textId="77777777" w:rsidR="00A00577" w:rsidRPr="00A00577" w:rsidRDefault="00A00577" w:rsidP="00A00577">
      <w:pPr>
        <w:pStyle w:val="EndNoteBibliography"/>
        <w:spacing w:after="0"/>
        <w:rPr>
          <w:noProof/>
        </w:rPr>
      </w:pPr>
      <w:r w:rsidRPr="00A00577">
        <w:rPr>
          <w:noProof/>
        </w:rPr>
        <w:t>14.</w:t>
      </w:r>
      <w:r w:rsidRPr="00A00577">
        <w:rPr>
          <w:noProof/>
        </w:rPr>
        <w:tab/>
        <w:t>Berzkalns A, Ramchandani MS, Cannon CA, Kerani RP, Dombrowski JC, Golden MR, editors. The syphilis epidemic among heterosexuals is accelerating: evidence from King County, Washington. Open Forum Infectious Diseases; 2023: Oxford University Press US.</w:t>
      </w:r>
    </w:p>
    <w:p w14:paraId="65B044D3" w14:textId="77777777" w:rsidR="00A00577" w:rsidRPr="00A00577" w:rsidRDefault="00A00577" w:rsidP="00A00577">
      <w:pPr>
        <w:pStyle w:val="EndNoteBibliography"/>
        <w:spacing w:after="0"/>
        <w:rPr>
          <w:noProof/>
        </w:rPr>
      </w:pPr>
      <w:r w:rsidRPr="00A00577">
        <w:rPr>
          <w:noProof/>
        </w:rPr>
        <w:t>15.</w:t>
      </w:r>
      <w:r w:rsidRPr="00A00577">
        <w:rPr>
          <w:noProof/>
        </w:rPr>
        <w:tab/>
        <w:t>An Q, Wejnert C, Bernstein K, Paz-Bailey G, Group NS. Syphilis screening and diagnosis among men who have sex with men, 2008–2014, 20 US cities. JAIDS Journal of Acquired Immune Deficiency Syndromes. 2017;75:S363-S9.</w:t>
      </w:r>
    </w:p>
    <w:p w14:paraId="5F27D912" w14:textId="77777777" w:rsidR="00A00577" w:rsidRPr="00A00577" w:rsidRDefault="00A00577" w:rsidP="00A00577">
      <w:pPr>
        <w:pStyle w:val="EndNoteBibliography"/>
        <w:spacing w:after="0"/>
        <w:rPr>
          <w:noProof/>
        </w:rPr>
      </w:pPr>
      <w:r w:rsidRPr="00A00577">
        <w:rPr>
          <w:noProof/>
        </w:rPr>
        <w:t>16.</w:t>
      </w:r>
      <w:r w:rsidRPr="00A00577">
        <w:rPr>
          <w:noProof/>
        </w:rPr>
        <w:tab/>
        <w:t>Peterman TA, Kahn RH, Ciesielski CA, Ortiz-Rios E, Furness BW, Blank S, et al. Misclassification of the stages of syphilis: implications for surveillance. Sexually transmitted diseases. 2005;32(3):144-9.</w:t>
      </w:r>
    </w:p>
    <w:p w14:paraId="1D1B3651" w14:textId="73F3B0D9" w:rsidR="00A00577" w:rsidRPr="00A00577" w:rsidRDefault="00A00577" w:rsidP="00A00577">
      <w:pPr>
        <w:pStyle w:val="EndNoteBibliography"/>
        <w:spacing w:after="0"/>
        <w:rPr>
          <w:noProof/>
        </w:rPr>
      </w:pPr>
      <w:r w:rsidRPr="00A00577">
        <w:rPr>
          <w:noProof/>
        </w:rPr>
        <w:t>17.</w:t>
      </w:r>
      <w:r w:rsidRPr="00A00577">
        <w:rPr>
          <w:noProof/>
        </w:rPr>
        <w:tab/>
        <w:t>Robinson CL, Young L, Bisgard K, Mickey T, Taylor MM. Syphilis time to treatment at publicly funded sexually transmitted disease clinics versus non–sexually transmitted disease clinics</w:t>
      </w:r>
      <w:r w:rsidR="00243894">
        <w:rPr>
          <w:noProof/>
        </w:rPr>
        <w:t>–</w:t>
      </w:r>
      <w:r w:rsidRPr="00A00577">
        <w:rPr>
          <w:noProof/>
        </w:rPr>
        <w:t>Maricopa and Pima Counties, Arizona, 2009–2012. Sexually transmitted diseases. 2016;43(1):30-3.</w:t>
      </w:r>
    </w:p>
    <w:p w14:paraId="4CFE809D" w14:textId="77777777" w:rsidR="00A00577" w:rsidRPr="00A00577" w:rsidRDefault="00A00577" w:rsidP="00A00577">
      <w:pPr>
        <w:pStyle w:val="EndNoteBibliography"/>
        <w:spacing w:after="0"/>
        <w:rPr>
          <w:noProof/>
        </w:rPr>
      </w:pPr>
      <w:r w:rsidRPr="00A00577">
        <w:rPr>
          <w:noProof/>
        </w:rPr>
        <w:lastRenderedPageBreak/>
        <w:t>18.</w:t>
      </w:r>
      <w:r w:rsidRPr="00A00577">
        <w:rPr>
          <w:noProof/>
        </w:rPr>
        <w:tab/>
        <w:t>Chen SY, Johnson M, Sunenshine R, England B, Komatsu K, Taylor M. Missed and delayed syphilis treatment and partner elicitation: a comparison between STD clinic and non-STD clinic patients. Sexually transmitted diseases. 2009;36(7):445-51.</w:t>
      </w:r>
    </w:p>
    <w:p w14:paraId="7566EC7E" w14:textId="30410DD6" w:rsidR="00A00577" w:rsidRPr="00A00577" w:rsidRDefault="00A00577" w:rsidP="00A00577">
      <w:pPr>
        <w:pStyle w:val="EndNoteBibliography"/>
        <w:spacing w:after="0"/>
        <w:rPr>
          <w:noProof/>
        </w:rPr>
      </w:pPr>
      <w:r w:rsidRPr="00A00577">
        <w:rPr>
          <w:noProof/>
        </w:rPr>
        <w:t>19.</w:t>
      </w:r>
      <w:r w:rsidRPr="00A00577">
        <w:rPr>
          <w:noProof/>
        </w:rPr>
        <w:tab/>
        <w:t xml:space="preserve">March of Dimes. SINGLETONS &amp; MULTIPLES 2023 [Available from: </w:t>
      </w:r>
      <w:hyperlink r:id="rId11" w:history="1">
        <w:r w:rsidRPr="00A00577">
          <w:rPr>
            <w:rStyle w:val="Hyperlink"/>
            <w:noProof/>
          </w:rPr>
          <w:t>https://www.marchofdimes.org/peristats/data?reg=99&amp;top=7&amp;stop=72&amp;lev=1&amp;slev=1&amp;obj=1</w:t>
        </w:r>
      </w:hyperlink>
      <w:r w:rsidRPr="00A00577">
        <w:rPr>
          <w:noProof/>
        </w:rPr>
        <w:t>.</w:t>
      </w:r>
    </w:p>
    <w:p w14:paraId="6B24E06F" w14:textId="77777777" w:rsidR="00A00577" w:rsidRPr="00A00577" w:rsidRDefault="00A00577" w:rsidP="00A00577">
      <w:pPr>
        <w:pStyle w:val="EndNoteBibliography"/>
        <w:rPr>
          <w:noProof/>
        </w:rPr>
      </w:pPr>
      <w:r w:rsidRPr="00A00577">
        <w:rPr>
          <w:noProof/>
        </w:rPr>
        <w:t>20.</w:t>
      </w:r>
      <w:r w:rsidRPr="00A00577">
        <w:rPr>
          <w:noProof/>
        </w:rPr>
        <w:tab/>
        <w:t>Mathews T, Hamilton BE. Trend analysis of the sex ratio at birth in the United States. National vital statistics reports. 2005;53(20):1-17.</w:t>
      </w:r>
    </w:p>
    <w:p w14:paraId="5BDD3BB3" w14:textId="088B82C8" w:rsidR="003A1C2A" w:rsidRDefault="00AE5FAF" w:rsidP="00A00577">
      <w:pPr>
        <w:pStyle w:val="NoSpacing"/>
      </w:pPr>
      <w:r>
        <w:fldChar w:fldCharType="end"/>
      </w:r>
    </w:p>
    <w:sectPr w:rsidR="003A1C2A" w:rsidSect="004964DF">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Parastu Kasaie" w:date="2026-06-29T12:13:00Z" w:initials="PK">
    <w:p w14:paraId="3FD429F0" w14:textId="77777777" w:rsidR="009D6B98" w:rsidRDefault="00E47E23" w:rsidP="009D6B98">
      <w:r>
        <w:rPr>
          <w:rStyle w:val="CommentReference"/>
        </w:rPr>
        <w:annotationRef/>
      </w:r>
      <w:r w:rsidR="009D6B98">
        <w:rPr>
          <w:sz w:val="20"/>
          <w:szCs w:val="20"/>
        </w:rPr>
        <w:t>limitation: no updated quantification study exists post-2005 and that your estimates predate the 2018 CSTE case definition revision.</w:t>
      </w:r>
    </w:p>
  </w:comment>
  <w:comment w:id="1" w:author="Parastu Kasaie" w:date="2026-06-29T12:36:00Z" w:initials="PK">
    <w:p w14:paraId="5B4E740C" w14:textId="3B48DACD" w:rsidR="00266A95" w:rsidRDefault="00266A95" w:rsidP="00266A95">
      <w:r>
        <w:rPr>
          <w:rStyle w:val="CommentReference"/>
        </w:rPr>
        <w:annotationRef/>
      </w:r>
      <w:r>
        <w:rPr>
          <w:sz w:val="20"/>
          <w:szCs w:val="20"/>
        </w:rPr>
        <w:t>limiation: We note that Robinson et al. (2016) reported that 8% of cases had no documented treatment within the observation window. In the model, this proportion is not enforced as a permanent never-treated fraction. Instead, all diagnosed individuals who do not receive immediate treatment are subject to the exponential delayed treatment rate (r = 1.91/year), meaning that over time virtually all individuals will eventually receive treatment. The 8% figure likely reflects loss to follow-up or incomplete documentation within the surveillance observation period rather than true lifetime treatment failure. The fate of these individuals in practice remains uncertain; by allowing them to receive treatment after a delay, our model may overestimate treatment coverage relative to real-world conditions. We consider this a limitation and explore its potential impact in sensitivity analyses.</w:t>
      </w:r>
    </w:p>
    <w:p w14:paraId="6BC6DBA8" w14:textId="77777777" w:rsidR="00266A95" w:rsidRDefault="00266A95" w:rsidP="00266A95"/>
    <w:p w14:paraId="29833090" w14:textId="77777777" w:rsidR="00266A95" w:rsidRDefault="00266A95" w:rsidP="00266A95"/>
  </w:comment>
  <w:comment w:id="2" w:author="Parastu Kasaie" w:date="2026-05-11T15:31:00Z" w:initials="PK">
    <w:p w14:paraId="4FD6AB95" w14:textId="77777777" w:rsidR="00EA0894" w:rsidRDefault="00EA0894" w:rsidP="00EA0894">
      <w:r>
        <w:rPr>
          <w:rStyle w:val="CommentReference"/>
        </w:rPr>
        <w:annotationRef/>
      </w:r>
      <w:r>
        <w:rPr>
          <w:sz w:val="20"/>
          <w:szCs w:val="20"/>
        </w:rPr>
        <w:t>@Zoe: can you help with the references?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FD429F0" w15:done="0"/>
  <w15:commentEx w15:paraId="29833090" w15:done="0"/>
  <w15:commentEx w15:paraId="4FD6AB9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3E79D56" w16cex:dateUtc="2026-06-29T16:13:00Z"/>
  <w16cex:commentExtensible w16cex:durableId="1E3B593F" w16cex:dateUtc="2026-06-29T16:36:00Z"/>
  <w16cex:commentExtensible w16cex:durableId="742888CD" w16cex:dateUtc="2026-05-11T19: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FD429F0" w16cid:durableId="63E79D56"/>
  <w16cid:commentId w16cid:paraId="29833090" w16cid:durableId="1E3B593F"/>
  <w16cid:commentId w16cid:paraId="4FD6AB95" w16cid:durableId="742888C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TIX Two Text">
    <w:panose1 w:val="00000000000000000000"/>
    <w:charset w:val="00"/>
    <w:family w:val="auto"/>
    <w:pitch w:val="variable"/>
    <w:sig w:usb0="A00002FF" w:usb1="0000001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511E6"/>
    <w:multiLevelType w:val="multilevel"/>
    <w:tmpl w:val="932A2ED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DE11F9A"/>
    <w:multiLevelType w:val="multilevel"/>
    <w:tmpl w:val="A9046BC0"/>
    <w:styleLink w:val="CurrentList9"/>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14532D6"/>
    <w:multiLevelType w:val="hybridMultilevel"/>
    <w:tmpl w:val="F154D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5C1646"/>
    <w:multiLevelType w:val="hybridMultilevel"/>
    <w:tmpl w:val="3E301A8E"/>
    <w:lvl w:ilvl="0" w:tplc="04090003">
      <w:start w:val="1"/>
      <w:numFmt w:val="bullet"/>
      <w:lvlText w:val="o"/>
      <w:lvlJc w:val="left"/>
      <w:pPr>
        <w:ind w:left="360" w:hanging="360"/>
      </w:pPr>
      <w:rPr>
        <w:rFonts w:ascii="Courier New" w:hAnsi="Courier New"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9A57A91"/>
    <w:multiLevelType w:val="multilevel"/>
    <w:tmpl w:val="B4080AC4"/>
    <w:lvl w:ilvl="0">
      <w:start w:val="1"/>
      <w:numFmt w:val="decimal"/>
      <w:lvlText w:val="%1"/>
      <w:lvlJc w:val="left"/>
      <w:pPr>
        <w:ind w:left="0" w:firstLine="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1AE4654D"/>
    <w:multiLevelType w:val="multilevel"/>
    <w:tmpl w:val="2A4A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279D4"/>
    <w:multiLevelType w:val="multilevel"/>
    <w:tmpl w:val="1AB4A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D963E3"/>
    <w:multiLevelType w:val="multilevel"/>
    <w:tmpl w:val="A2D2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41416"/>
    <w:multiLevelType w:val="hybridMultilevel"/>
    <w:tmpl w:val="9E607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251CB9"/>
    <w:multiLevelType w:val="hybridMultilevel"/>
    <w:tmpl w:val="31C821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7F42BE"/>
    <w:multiLevelType w:val="hybridMultilevel"/>
    <w:tmpl w:val="6EEA6A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9475B9"/>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F1035DD"/>
    <w:multiLevelType w:val="hybridMultilevel"/>
    <w:tmpl w:val="5AC25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377A93"/>
    <w:multiLevelType w:val="hybridMultilevel"/>
    <w:tmpl w:val="6F0E0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A51283"/>
    <w:multiLevelType w:val="hybridMultilevel"/>
    <w:tmpl w:val="DDE8C10C"/>
    <w:lvl w:ilvl="0" w:tplc="12F22558">
      <w:start w:val="1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54789F"/>
    <w:multiLevelType w:val="hybridMultilevel"/>
    <w:tmpl w:val="DF3A6FA2"/>
    <w:lvl w:ilvl="0" w:tplc="D9BA3050">
      <w:start w:val="2"/>
      <w:numFmt w:val="bullet"/>
      <w:lvlText w:val=""/>
      <w:lvlJc w:val="left"/>
      <w:pPr>
        <w:ind w:left="720" w:hanging="360"/>
      </w:pPr>
      <w:rPr>
        <w:rFonts w:ascii="Wingdings" w:eastAsia="Times New Roman" w:hAnsi="Wingding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E136CE"/>
    <w:multiLevelType w:val="multilevel"/>
    <w:tmpl w:val="5612665A"/>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7" w15:restartNumberingAfterBreak="0">
    <w:nsid w:val="4EB41E8F"/>
    <w:multiLevelType w:val="multilevel"/>
    <w:tmpl w:val="0409001D"/>
    <w:styleLink w:val="CurrentList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4FC868D2"/>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52B646A2"/>
    <w:multiLevelType w:val="hybridMultilevel"/>
    <w:tmpl w:val="12301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925A8F"/>
    <w:multiLevelType w:val="multilevel"/>
    <w:tmpl w:val="04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82A0F9F"/>
    <w:multiLevelType w:val="multilevel"/>
    <w:tmpl w:val="5BD46A0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59803CB2"/>
    <w:multiLevelType w:val="multilevel"/>
    <w:tmpl w:val="0409001D"/>
    <w:styleLink w:val="CurrentLi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9C5341D"/>
    <w:multiLevelType w:val="multilevel"/>
    <w:tmpl w:val="091CD27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5B4123BF"/>
    <w:multiLevelType w:val="multilevel"/>
    <w:tmpl w:val="0409001D"/>
    <w:styleLink w:val="CurrentList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5E8B3D2F"/>
    <w:multiLevelType w:val="hybridMultilevel"/>
    <w:tmpl w:val="EF66B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C24E9B"/>
    <w:multiLevelType w:val="multilevel"/>
    <w:tmpl w:val="0409001D"/>
    <w:styleLink w:val="CurrentLi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89A326E"/>
    <w:multiLevelType w:val="hybridMultilevel"/>
    <w:tmpl w:val="140A09E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8AC689E"/>
    <w:multiLevelType w:val="multilevel"/>
    <w:tmpl w:val="98BE3634"/>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A290146"/>
    <w:multiLevelType w:val="hybridMultilevel"/>
    <w:tmpl w:val="0DA48A62"/>
    <w:lvl w:ilvl="0" w:tplc="14CEA03C">
      <w:numFmt w:val="bullet"/>
      <w:lvlText w:val=""/>
      <w:lvlJc w:val="left"/>
      <w:pPr>
        <w:ind w:left="720" w:hanging="360"/>
      </w:pPr>
      <w:rPr>
        <w:rFonts w:ascii="Wingdings" w:eastAsia="Times New Roman" w:hAnsi="Wingdings" w:cstheme="minorBidi"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B2D73A3"/>
    <w:multiLevelType w:val="multilevel"/>
    <w:tmpl w:val="92CE5DFA"/>
    <w:lvl w:ilvl="0">
      <w:start w:val="1"/>
      <w:numFmt w:val="bullet"/>
      <w:lvlText w:val=""/>
      <w:lvlJc w:val="left"/>
      <w:pPr>
        <w:ind w:left="72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6B544A9C"/>
    <w:multiLevelType w:val="multilevel"/>
    <w:tmpl w:val="7840B5DC"/>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6F6D75BA"/>
    <w:multiLevelType w:val="multilevel"/>
    <w:tmpl w:val="3BFC7FE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72AE5E7B"/>
    <w:multiLevelType w:val="hybridMultilevel"/>
    <w:tmpl w:val="A238DD84"/>
    <w:lvl w:ilvl="0" w:tplc="2EBAF1CE">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5B2B9D"/>
    <w:multiLevelType w:val="hybridMultilevel"/>
    <w:tmpl w:val="073A9D04"/>
    <w:lvl w:ilvl="0" w:tplc="12F22558">
      <w:start w:val="1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AE2289"/>
    <w:multiLevelType w:val="multilevel"/>
    <w:tmpl w:val="5612665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6" w15:restartNumberingAfterBreak="0">
    <w:nsid w:val="79E347BC"/>
    <w:multiLevelType w:val="hybridMultilevel"/>
    <w:tmpl w:val="7A349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DD06608"/>
    <w:multiLevelType w:val="multilevel"/>
    <w:tmpl w:val="4696472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604456592">
    <w:abstractNumId w:val="31"/>
  </w:num>
  <w:num w:numId="2" w16cid:durableId="2001957101">
    <w:abstractNumId w:val="4"/>
  </w:num>
  <w:num w:numId="3" w16cid:durableId="756487531">
    <w:abstractNumId w:val="4"/>
  </w:num>
  <w:num w:numId="4" w16cid:durableId="1135559157">
    <w:abstractNumId w:val="4"/>
  </w:num>
  <w:num w:numId="5" w16cid:durableId="230774828">
    <w:abstractNumId w:val="4"/>
  </w:num>
  <w:num w:numId="6" w16cid:durableId="400568982">
    <w:abstractNumId w:val="4"/>
  </w:num>
  <w:num w:numId="7" w16cid:durableId="1014537">
    <w:abstractNumId w:val="4"/>
  </w:num>
  <w:num w:numId="8" w16cid:durableId="445197601">
    <w:abstractNumId w:val="21"/>
  </w:num>
  <w:num w:numId="9" w16cid:durableId="2111774303">
    <w:abstractNumId w:val="18"/>
  </w:num>
  <w:num w:numId="10" w16cid:durableId="288127067">
    <w:abstractNumId w:val="0"/>
  </w:num>
  <w:num w:numId="11" w16cid:durableId="1778138607">
    <w:abstractNumId w:val="11"/>
  </w:num>
  <w:num w:numId="12" w16cid:durableId="408889406">
    <w:abstractNumId w:val="37"/>
  </w:num>
  <w:num w:numId="13" w16cid:durableId="383061604">
    <w:abstractNumId w:val="20"/>
  </w:num>
  <w:num w:numId="14" w16cid:durableId="138503700">
    <w:abstractNumId w:val="16"/>
  </w:num>
  <w:num w:numId="15" w16cid:durableId="172427451">
    <w:abstractNumId w:val="12"/>
  </w:num>
  <w:num w:numId="16" w16cid:durableId="1140881269">
    <w:abstractNumId w:val="8"/>
  </w:num>
  <w:num w:numId="17" w16cid:durableId="1586838538">
    <w:abstractNumId w:val="29"/>
  </w:num>
  <w:num w:numId="18" w16cid:durableId="834227946">
    <w:abstractNumId w:val="9"/>
  </w:num>
  <w:num w:numId="19" w16cid:durableId="711271178">
    <w:abstractNumId w:val="36"/>
  </w:num>
  <w:num w:numId="20" w16cid:durableId="848829694">
    <w:abstractNumId w:val="15"/>
  </w:num>
  <w:num w:numId="21" w16cid:durableId="198050067">
    <w:abstractNumId w:val="32"/>
  </w:num>
  <w:num w:numId="22" w16cid:durableId="587929768">
    <w:abstractNumId w:val="35"/>
  </w:num>
  <w:num w:numId="23" w16cid:durableId="1091009125">
    <w:abstractNumId w:val="22"/>
  </w:num>
  <w:num w:numId="24" w16cid:durableId="114838979">
    <w:abstractNumId w:val="26"/>
  </w:num>
  <w:num w:numId="25" w16cid:durableId="1933272943">
    <w:abstractNumId w:val="24"/>
  </w:num>
  <w:num w:numId="26" w16cid:durableId="873807237">
    <w:abstractNumId w:val="17"/>
  </w:num>
  <w:num w:numId="27" w16cid:durableId="524633828">
    <w:abstractNumId w:val="23"/>
  </w:num>
  <w:num w:numId="28" w16cid:durableId="153225628">
    <w:abstractNumId w:val="1"/>
  </w:num>
  <w:num w:numId="29" w16cid:durableId="788280535">
    <w:abstractNumId w:val="28"/>
  </w:num>
  <w:num w:numId="30" w16cid:durableId="769935800">
    <w:abstractNumId w:val="25"/>
  </w:num>
  <w:num w:numId="31" w16cid:durableId="172186327">
    <w:abstractNumId w:val="13"/>
  </w:num>
  <w:num w:numId="32" w16cid:durableId="29838514">
    <w:abstractNumId w:val="2"/>
  </w:num>
  <w:num w:numId="33" w16cid:durableId="1966277518">
    <w:abstractNumId w:val="27"/>
  </w:num>
  <w:num w:numId="34" w16cid:durableId="158429092">
    <w:abstractNumId w:val="6"/>
  </w:num>
  <w:num w:numId="35" w16cid:durableId="65030470">
    <w:abstractNumId w:val="30"/>
  </w:num>
  <w:num w:numId="36" w16cid:durableId="1288076451">
    <w:abstractNumId w:val="19"/>
  </w:num>
  <w:num w:numId="37" w16cid:durableId="1229730405">
    <w:abstractNumId w:val="3"/>
  </w:num>
  <w:num w:numId="38" w16cid:durableId="1558273473">
    <w:abstractNumId w:val="5"/>
  </w:num>
  <w:num w:numId="39" w16cid:durableId="1719084139">
    <w:abstractNumId w:val="7"/>
  </w:num>
  <w:num w:numId="40" w16cid:durableId="1703164975">
    <w:abstractNumId w:val="10"/>
  </w:num>
  <w:num w:numId="41" w16cid:durableId="1263341541">
    <w:abstractNumId w:val="34"/>
  </w:num>
  <w:num w:numId="42" w16cid:durableId="289214295">
    <w:abstractNumId w:val="14"/>
  </w:num>
  <w:num w:numId="43" w16cid:durableId="975717653">
    <w:abstractNumId w:val="3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Parastu Kasaie">
    <w15:presenceInfo w15:providerId="None" w15:userId="Parastu Kasaie"/>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rzs0t9aq90fz3epr5zx0p99vxx0ftpxw0s0&quot;&gt;My EndNote Library&lt;record-ids&gt;&lt;item&gt;629&lt;/item&gt;&lt;item&gt;1247&lt;/item&gt;&lt;item&gt;1249&lt;/item&gt;&lt;item&gt;1250&lt;/item&gt;&lt;item&gt;1256&lt;/item&gt;&lt;item&gt;1263&lt;/item&gt;&lt;item&gt;1277&lt;/item&gt;&lt;item&gt;2216&lt;/item&gt;&lt;item&gt;2487&lt;/item&gt;&lt;item&gt;2604&lt;/item&gt;&lt;item&gt;2605&lt;/item&gt;&lt;item&gt;2606&lt;/item&gt;&lt;item&gt;2607&lt;/item&gt;&lt;item&gt;2608&lt;/item&gt;&lt;item&gt;2616&lt;/item&gt;&lt;item&gt;2617&lt;/item&gt;&lt;/record-ids&gt;&lt;/item&gt;&lt;/Libraries&gt;"/>
  </w:docVars>
  <w:rsids>
    <w:rsidRoot w:val="003A1C2A"/>
    <w:rsid w:val="00001E58"/>
    <w:rsid w:val="00003219"/>
    <w:rsid w:val="00005221"/>
    <w:rsid w:val="00007464"/>
    <w:rsid w:val="00014C90"/>
    <w:rsid w:val="00016F2B"/>
    <w:rsid w:val="000319FB"/>
    <w:rsid w:val="000347E0"/>
    <w:rsid w:val="00035AA8"/>
    <w:rsid w:val="00041913"/>
    <w:rsid w:val="00052732"/>
    <w:rsid w:val="00070153"/>
    <w:rsid w:val="00087033"/>
    <w:rsid w:val="000926FF"/>
    <w:rsid w:val="000A1117"/>
    <w:rsid w:val="000A2592"/>
    <w:rsid w:val="000A3760"/>
    <w:rsid w:val="000A5851"/>
    <w:rsid w:val="000D1457"/>
    <w:rsid w:val="000E0038"/>
    <w:rsid w:val="000E3942"/>
    <w:rsid w:val="000F25CF"/>
    <w:rsid w:val="000F27CD"/>
    <w:rsid w:val="000F3743"/>
    <w:rsid w:val="001031DC"/>
    <w:rsid w:val="00120DEA"/>
    <w:rsid w:val="0012458F"/>
    <w:rsid w:val="00124F20"/>
    <w:rsid w:val="00125D0B"/>
    <w:rsid w:val="00131383"/>
    <w:rsid w:val="0013273D"/>
    <w:rsid w:val="001328D5"/>
    <w:rsid w:val="00136A75"/>
    <w:rsid w:val="00136D4F"/>
    <w:rsid w:val="0014274A"/>
    <w:rsid w:val="00150EBB"/>
    <w:rsid w:val="00157241"/>
    <w:rsid w:val="001679DA"/>
    <w:rsid w:val="00171037"/>
    <w:rsid w:val="001917E4"/>
    <w:rsid w:val="00194ABA"/>
    <w:rsid w:val="00195C08"/>
    <w:rsid w:val="001A0FA9"/>
    <w:rsid w:val="001B116A"/>
    <w:rsid w:val="001B592A"/>
    <w:rsid w:val="001C4D0A"/>
    <w:rsid w:val="001C77F5"/>
    <w:rsid w:val="001D1453"/>
    <w:rsid w:val="001D54AE"/>
    <w:rsid w:val="001E3F66"/>
    <w:rsid w:val="001F0C9E"/>
    <w:rsid w:val="001F57A9"/>
    <w:rsid w:val="0020314A"/>
    <w:rsid w:val="00210E56"/>
    <w:rsid w:val="00211AC3"/>
    <w:rsid w:val="00212777"/>
    <w:rsid w:val="00215279"/>
    <w:rsid w:val="00216989"/>
    <w:rsid w:val="002200AC"/>
    <w:rsid w:val="00230170"/>
    <w:rsid w:val="00233EF9"/>
    <w:rsid w:val="00243894"/>
    <w:rsid w:val="00243B21"/>
    <w:rsid w:val="002467A1"/>
    <w:rsid w:val="0025757A"/>
    <w:rsid w:val="0026118A"/>
    <w:rsid w:val="002615E2"/>
    <w:rsid w:val="0026236C"/>
    <w:rsid w:val="00264B6B"/>
    <w:rsid w:val="00266A95"/>
    <w:rsid w:val="00272BD6"/>
    <w:rsid w:val="00275853"/>
    <w:rsid w:val="00283F29"/>
    <w:rsid w:val="002854D3"/>
    <w:rsid w:val="002968B8"/>
    <w:rsid w:val="002A4DC3"/>
    <w:rsid w:val="002A5777"/>
    <w:rsid w:val="002C15FC"/>
    <w:rsid w:val="002C45E7"/>
    <w:rsid w:val="002D2D91"/>
    <w:rsid w:val="002D5D6D"/>
    <w:rsid w:val="002D77B3"/>
    <w:rsid w:val="002E124A"/>
    <w:rsid w:val="002E3795"/>
    <w:rsid w:val="002E3B0F"/>
    <w:rsid w:val="002E75B3"/>
    <w:rsid w:val="002F3C6B"/>
    <w:rsid w:val="002F6145"/>
    <w:rsid w:val="002F7E79"/>
    <w:rsid w:val="003041BD"/>
    <w:rsid w:val="00311096"/>
    <w:rsid w:val="00314C61"/>
    <w:rsid w:val="00320651"/>
    <w:rsid w:val="003256B3"/>
    <w:rsid w:val="003275A5"/>
    <w:rsid w:val="0033114F"/>
    <w:rsid w:val="00332850"/>
    <w:rsid w:val="00332EC6"/>
    <w:rsid w:val="003356EB"/>
    <w:rsid w:val="00340A73"/>
    <w:rsid w:val="00341861"/>
    <w:rsid w:val="0034623C"/>
    <w:rsid w:val="00351EAA"/>
    <w:rsid w:val="003525F2"/>
    <w:rsid w:val="00356E6F"/>
    <w:rsid w:val="00373933"/>
    <w:rsid w:val="00375AD9"/>
    <w:rsid w:val="003823F0"/>
    <w:rsid w:val="0038713A"/>
    <w:rsid w:val="003A1C2A"/>
    <w:rsid w:val="003A4FA9"/>
    <w:rsid w:val="003A5EE9"/>
    <w:rsid w:val="003B61C7"/>
    <w:rsid w:val="003B6A07"/>
    <w:rsid w:val="003C03FC"/>
    <w:rsid w:val="003C156D"/>
    <w:rsid w:val="003C42C3"/>
    <w:rsid w:val="003C453B"/>
    <w:rsid w:val="003D10CC"/>
    <w:rsid w:val="003D456E"/>
    <w:rsid w:val="003E266F"/>
    <w:rsid w:val="003E7A8C"/>
    <w:rsid w:val="003F60A8"/>
    <w:rsid w:val="0040313B"/>
    <w:rsid w:val="0041733A"/>
    <w:rsid w:val="0042619D"/>
    <w:rsid w:val="00444F85"/>
    <w:rsid w:val="0044689F"/>
    <w:rsid w:val="00463E0A"/>
    <w:rsid w:val="0047217C"/>
    <w:rsid w:val="00472A79"/>
    <w:rsid w:val="004769F4"/>
    <w:rsid w:val="0047730A"/>
    <w:rsid w:val="00484719"/>
    <w:rsid w:val="00486C4F"/>
    <w:rsid w:val="004964DF"/>
    <w:rsid w:val="004A1D63"/>
    <w:rsid w:val="004A56F5"/>
    <w:rsid w:val="004B23CE"/>
    <w:rsid w:val="004B3B29"/>
    <w:rsid w:val="004C26A0"/>
    <w:rsid w:val="004D7267"/>
    <w:rsid w:val="004E0689"/>
    <w:rsid w:val="004E4CCA"/>
    <w:rsid w:val="004E5B52"/>
    <w:rsid w:val="004F1880"/>
    <w:rsid w:val="005076A4"/>
    <w:rsid w:val="00521928"/>
    <w:rsid w:val="005225F1"/>
    <w:rsid w:val="005229D6"/>
    <w:rsid w:val="00525982"/>
    <w:rsid w:val="00534CE3"/>
    <w:rsid w:val="0053543C"/>
    <w:rsid w:val="00541A8D"/>
    <w:rsid w:val="0054233E"/>
    <w:rsid w:val="0055106D"/>
    <w:rsid w:val="00551C79"/>
    <w:rsid w:val="00556CDB"/>
    <w:rsid w:val="00556E6F"/>
    <w:rsid w:val="00570F59"/>
    <w:rsid w:val="00582055"/>
    <w:rsid w:val="00587DE1"/>
    <w:rsid w:val="005A429C"/>
    <w:rsid w:val="005A5A3E"/>
    <w:rsid w:val="005B6054"/>
    <w:rsid w:val="005C30EB"/>
    <w:rsid w:val="005C7EA4"/>
    <w:rsid w:val="005D56E9"/>
    <w:rsid w:val="005E00D2"/>
    <w:rsid w:val="005E074A"/>
    <w:rsid w:val="005E2400"/>
    <w:rsid w:val="005E47B7"/>
    <w:rsid w:val="005F6131"/>
    <w:rsid w:val="005F68F0"/>
    <w:rsid w:val="006068D7"/>
    <w:rsid w:val="006119F7"/>
    <w:rsid w:val="00615269"/>
    <w:rsid w:val="00624099"/>
    <w:rsid w:val="00625032"/>
    <w:rsid w:val="006337E6"/>
    <w:rsid w:val="006338C7"/>
    <w:rsid w:val="006365C6"/>
    <w:rsid w:val="006452AA"/>
    <w:rsid w:val="006466B1"/>
    <w:rsid w:val="006509C6"/>
    <w:rsid w:val="00651C6B"/>
    <w:rsid w:val="00652524"/>
    <w:rsid w:val="00652A18"/>
    <w:rsid w:val="006619DE"/>
    <w:rsid w:val="00664DB7"/>
    <w:rsid w:val="006672FB"/>
    <w:rsid w:val="00672FBE"/>
    <w:rsid w:val="00677A3F"/>
    <w:rsid w:val="006802CE"/>
    <w:rsid w:val="00680F7F"/>
    <w:rsid w:val="00687393"/>
    <w:rsid w:val="00691EE3"/>
    <w:rsid w:val="00694E1B"/>
    <w:rsid w:val="006A3165"/>
    <w:rsid w:val="006B2C3E"/>
    <w:rsid w:val="006C6AD4"/>
    <w:rsid w:val="006D43BB"/>
    <w:rsid w:val="006D56A3"/>
    <w:rsid w:val="006D5DB8"/>
    <w:rsid w:val="006E431F"/>
    <w:rsid w:val="006E74F1"/>
    <w:rsid w:val="006F0889"/>
    <w:rsid w:val="007033C2"/>
    <w:rsid w:val="00706A13"/>
    <w:rsid w:val="00707BA6"/>
    <w:rsid w:val="00720FBE"/>
    <w:rsid w:val="00722537"/>
    <w:rsid w:val="007250BC"/>
    <w:rsid w:val="007256DC"/>
    <w:rsid w:val="0072613B"/>
    <w:rsid w:val="00731380"/>
    <w:rsid w:val="00736061"/>
    <w:rsid w:val="00751A02"/>
    <w:rsid w:val="0075353A"/>
    <w:rsid w:val="00760A8A"/>
    <w:rsid w:val="007700EB"/>
    <w:rsid w:val="00773917"/>
    <w:rsid w:val="00775CB6"/>
    <w:rsid w:val="007803F2"/>
    <w:rsid w:val="00783728"/>
    <w:rsid w:val="00785448"/>
    <w:rsid w:val="00790981"/>
    <w:rsid w:val="007922C4"/>
    <w:rsid w:val="007A531E"/>
    <w:rsid w:val="007A7243"/>
    <w:rsid w:val="007B0375"/>
    <w:rsid w:val="007B171E"/>
    <w:rsid w:val="007B1911"/>
    <w:rsid w:val="007B1AFA"/>
    <w:rsid w:val="007B201F"/>
    <w:rsid w:val="007B2E1D"/>
    <w:rsid w:val="007B40CA"/>
    <w:rsid w:val="007E1E03"/>
    <w:rsid w:val="007E7BFD"/>
    <w:rsid w:val="007F6FE2"/>
    <w:rsid w:val="00814A1A"/>
    <w:rsid w:val="00815A8F"/>
    <w:rsid w:val="00820355"/>
    <w:rsid w:val="00834BEF"/>
    <w:rsid w:val="00842126"/>
    <w:rsid w:val="00851C2B"/>
    <w:rsid w:val="00876123"/>
    <w:rsid w:val="00876D6E"/>
    <w:rsid w:val="00890D34"/>
    <w:rsid w:val="00896929"/>
    <w:rsid w:val="008B3E13"/>
    <w:rsid w:val="008C2D31"/>
    <w:rsid w:val="008D4547"/>
    <w:rsid w:val="008D67FA"/>
    <w:rsid w:val="008E186D"/>
    <w:rsid w:val="008E5126"/>
    <w:rsid w:val="008E6A9A"/>
    <w:rsid w:val="008F2DB3"/>
    <w:rsid w:val="009054B5"/>
    <w:rsid w:val="00916431"/>
    <w:rsid w:val="00916DB9"/>
    <w:rsid w:val="00920D35"/>
    <w:rsid w:val="009478C7"/>
    <w:rsid w:val="009546DC"/>
    <w:rsid w:val="009A3381"/>
    <w:rsid w:val="009A38A0"/>
    <w:rsid w:val="009B709D"/>
    <w:rsid w:val="009C1812"/>
    <w:rsid w:val="009C1D81"/>
    <w:rsid w:val="009C5FF2"/>
    <w:rsid w:val="009D6712"/>
    <w:rsid w:val="009D6B98"/>
    <w:rsid w:val="009D6FCB"/>
    <w:rsid w:val="009E0871"/>
    <w:rsid w:val="009E17D0"/>
    <w:rsid w:val="009E1A87"/>
    <w:rsid w:val="009E4BDC"/>
    <w:rsid w:val="009E74E3"/>
    <w:rsid w:val="009F0F99"/>
    <w:rsid w:val="009F4DB4"/>
    <w:rsid w:val="00A00577"/>
    <w:rsid w:val="00A02831"/>
    <w:rsid w:val="00A43AFC"/>
    <w:rsid w:val="00A53A89"/>
    <w:rsid w:val="00A54C22"/>
    <w:rsid w:val="00A54C2A"/>
    <w:rsid w:val="00A56138"/>
    <w:rsid w:val="00A57964"/>
    <w:rsid w:val="00A6274A"/>
    <w:rsid w:val="00A72894"/>
    <w:rsid w:val="00A744BE"/>
    <w:rsid w:val="00A75DED"/>
    <w:rsid w:val="00A910E0"/>
    <w:rsid w:val="00A92CF2"/>
    <w:rsid w:val="00AA09DA"/>
    <w:rsid w:val="00AA44F0"/>
    <w:rsid w:val="00AA4963"/>
    <w:rsid w:val="00AC2530"/>
    <w:rsid w:val="00AC46FF"/>
    <w:rsid w:val="00AD552E"/>
    <w:rsid w:val="00AD7AAA"/>
    <w:rsid w:val="00AD7CBE"/>
    <w:rsid w:val="00AE2923"/>
    <w:rsid w:val="00AE5FAF"/>
    <w:rsid w:val="00AE7EC9"/>
    <w:rsid w:val="00AF3A72"/>
    <w:rsid w:val="00B02033"/>
    <w:rsid w:val="00B24D5D"/>
    <w:rsid w:val="00B33669"/>
    <w:rsid w:val="00B37507"/>
    <w:rsid w:val="00B379CA"/>
    <w:rsid w:val="00B4543B"/>
    <w:rsid w:val="00B522DF"/>
    <w:rsid w:val="00B568B2"/>
    <w:rsid w:val="00B72DBC"/>
    <w:rsid w:val="00B82CC6"/>
    <w:rsid w:val="00B84DD6"/>
    <w:rsid w:val="00B8542E"/>
    <w:rsid w:val="00B925DC"/>
    <w:rsid w:val="00BA02CC"/>
    <w:rsid w:val="00BA071C"/>
    <w:rsid w:val="00BA6233"/>
    <w:rsid w:val="00BB2F26"/>
    <w:rsid w:val="00BC08BB"/>
    <w:rsid w:val="00BC64F0"/>
    <w:rsid w:val="00BC7533"/>
    <w:rsid w:val="00BD3169"/>
    <w:rsid w:val="00BD39CA"/>
    <w:rsid w:val="00BD76F9"/>
    <w:rsid w:val="00BE27B3"/>
    <w:rsid w:val="00BF1615"/>
    <w:rsid w:val="00BF1F35"/>
    <w:rsid w:val="00BF3365"/>
    <w:rsid w:val="00BF3A5B"/>
    <w:rsid w:val="00BF4A2C"/>
    <w:rsid w:val="00BF556D"/>
    <w:rsid w:val="00C0204C"/>
    <w:rsid w:val="00C106F4"/>
    <w:rsid w:val="00C10C8B"/>
    <w:rsid w:val="00C12DFD"/>
    <w:rsid w:val="00C13E73"/>
    <w:rsid w:val="00C15372"/>
    <w:rsid w:val="00C260D5"/>
    <w:rsid w:val="00C31505"/>
    <w:rsid w:val="00C44C42"/>
    <w:rsid w:val="00C44F4C"/>
    <w:rsid w:val="00C477D9"/>
    <w:rsid w:val="00C547CB"/>
    <w:rsid w:val="00C5584D"/>
    <w:rsid w:val="00C61F32"/>
    <w:rsid w:val="00C67A94"/>
    <w:rsid w:val="00C74E4C"/>
    <w:rsid w:val="00C76616"/>
    <w:rsid w:val="00C80FDF"/>
    <w:rsid w:val="00C91146"/>
    <w:rsid w:val="00C920F9"/>
    <w:rsid w:val="00C94A56"/>
    <w:rsid w:val="00C94B78"/>
    <w:rsid w:val="00C94DC7"/>
    <w:rsid w:val="00C96346"/>
    <w:rsid w:val="00CA419E"/>
    <w:rsid w:val="00CA683A"/>
    <w:rsid w:val="00CA6FDD"/>
    <w:rsid w:val="00CB7969"/>
    <w:rsid w:val="00CE162F"/>
    <w:rsid w:val="00CE164B"/>
    <w:rsid w:val="00CE675B"/>
    <w:rsid w:val="00CE7C83"/>
    <w:rsid w:val="00CF1867"/>
    <w:rsid w:val="00CF1CED"/>
    <w:rsid w:val="00CF50D3"/>
    <w:rsid w:val="00CF62EA"/>
    <w:rsid w:val="00D06A56"/>
    <w:rsid w:val="00D07F8B"/>
    <w:rsid w:val="00D1437B"/>
    <w:rsid w:val="00D14400"/>
    <w:rsid w:val="00D233AA"/>
    <w:rsid w:val="00D23B42"/>
    <w:rsid w:val="00D34DB3"/>
    <w:rsid w:val="00D40555"/>
    <w:rsid w:val="00D5326A"/>
    <w:rsid w:val="00D57FBC"/>
    <w:rsid w:val="00D72732"/>
    <w:rsid w:val="00D72BA1"/>
    <w:rsid w:val="00D94EFA"/>
    <w:rsid w:val="00D974CB"/>
    <w:rsid w:val="00DA03A1"/>
    <w:rsid w:val="00DA6AB9"/>
    <w:rsid w:val="00DD2A3A"/>
    <w:rsid w:val="00DE4B5D"/>
    <w:rsid w:val="00DF3ACF"/>
    <w:rsid w:val="00E0273B"/>
    <w:rsid w:val="00E058EB"/>
    <w:rsid w:val="00E11200"/>
    <w:rsid w:val="00E12B4F"/>
    <w:rsid w:val="00E17F9C"/>
    <w:rsid w:val="00E23E7C"/>
    <w:rsid w:val="00E2405D"/>
    <w:rsid w:val="00E2551C"/>
    <w:rsid w:val="00E362EE"/>
    <w:rsid w:val="00E46BF8"/>
    <w:rsid w:val="00E47E23"/>
    <w:rsid w:val="00E62B76"/>
    <w:rsid w:val="00E81A42"/>
    <w:rsid w:val="00EA0894"/>
    <w:rsid w:val="00EA21A9"/>
    <w:rsid w:val="00EA390A"/>
    <w:rsid w:val="00EA45B2"/>
    <w:rsid w:val="00EB6FAD"/>
    <w:rsid w:val="00EB761F"/>
    <w:rsid w:val="00EC51DD"/>
    <w:rsid w:val="00ED07C2"/>
    <w:rsid w:val="00ED71D4"/>
    <w:rsid w:val="00EE28F7"/>
    <w:rsid w:val="00EE6031"/>
    <w:rsid w:val="00EE6D7B"/>
    <w:rsid w:val="00EF140C"/>
    <w:rsid w:val="00F01CB4"/>
    <w:rsid w:val="00F033AC"/>
    <w:rsid w:val="00F129A2"/>
    <w:rsid w:val="00F15686"/>
    <w:rsid w:val="00F27696"/>
    <w:rsid w:val="00F413DD"/>
    <w:rsid w:val="00F4521D"/>
    <w:rsid w:val="00F56FBD"/>
    <w:rsid w:val="00F659AA"/>
    <w:rsid w:val="00F7626E"/>
    <w:rsid w:val="00F84227"/>
    <w:rsid w:val="00F8449A"/>
    <w:rsid w:val="00F932C4"/>
    <w:rsid w:val="00F96C16"/>
    <w:rsid w:val="00FA4889"/>
    <w:rsid w:val="00FA5AF3"/>
    <w:rsid w:val="00FB4101"/>
    <w:rsid w:val="00FB4A7A"/>
    <w:rsid w:val="00FC0F42"/>
    <w:rsid w:val="00FD7CD5"/>
    <w:rsid w:val="00FE0333"/>
    <w:rsid w:val="00FE7D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8955A"/>
  <w15:chartTrackingRefBased/>
  <w15:docId w15:val="{AFEF3BDC-92AF-104B-A529-AB7E1AD9F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2CC6"/>
    <w:pPr>
      <w:spacing w:before="120" w:after="120"/>
    </w:pPr>
    <w:rPr>
      <w:rFonts w:asciiTheme="minorBidi" w:hAnsiTheme="minorBidi" w:cs="Times New Roman"/>
      <w:kern w:val="0"/>
      <w:sz w:val="22"/>
      <w14:ligatures w14:val="none"/>
    </w:rPr>
  </w:style>
  <w:style w:type="paragraph" w:styleId="Heading1">
    <w:name w:val="heading 1"/>
    <w:basedOn w:val="Normal"/>
    <w:next w:val="Normal"/>
    <w:link w:val="Heading1Char"/>
    <w:autoRedefine/>
    <w:uiPriority w:val="9"/>
    <w:qFormat/>
    <w:rsid w:val="00444F85"/>
    <w:pPr>
      <w:keepNext/>
      <w:keepLines/>
      <w:numPr>
        <w:numId w:val="29"/>
      </w:numPr>
      <w:outlineLvl w:val="0"/>
    </w:pPr>
    <w:rPr>
      <w:rFonts w:eastAsiaTheme="majorEastAsia" w:cstheme="majorBidi"/>
      <w:b/>
      <w:color w:val="000000" w:themeColor="text1"/>
      <w:sz w:val="28"/>
      <w:szCs w:val="40"/>
    </w:rPr>
  </w:style>
  <w:style w:type="paragraph" w:styleId="Heading2">
    <w:name w:val="heading 2"/>
    <w:basedOn w:val="Normal"/>
    <w:next w:val="Normal"/>
    <w:link w:val="Heading2Char"/>
    <w:autoRedefine/>
    <w:uiPriority w:val="9"/>
    <w:unhideWhenUsed/>
    <w:qFormat/>
    <w:rsid w:val="00625032"/>
    <w:pPr>
      <w:keepNext/>
      <w:keepLines/>
      <w:numPr>
        <w:ilvl w:val="1"/>
        <w:numId w:val="29"/>
      </w:numPr>
      <w:spacing w:before="160" w:after="80"/>
      <w:ind w:left="432"/>
      <w:outlineLvl w:val="1"/>
    </w:pPr>
    <w:rPr>
      <w:rFonts w:eastAsiaTheme="majorEastAsia" w:cstheme="majorBidi"/>
      <w:b/>
      <w:color w:val="000000" w:themeColor="text1"/>
      <w:sz w:val="24"/>
      <w:szCs w:val="32"/>
    </w:rPr>
  </w:style>
  <w:style w:type="paragraph" w:styleId="Heading3">
    <w:name w:val="heading 3"/>
    <w:basedOn w:val="Normal"/>
    <w:next w:val="Normal"/>
    <w:link w:val="Heading3Char"/>
    <w:autoRedefine/>
    <w:uiPriority w:val="9"/>
    <w:unhideWhenUsed/>
    <w:qFormat/>
    <w:rsid w:val="00444F85"/>
    <w:pPr>
      <w:keepNext/>
      <w:keepLines/>
      <w:numPr>
        <w:ilvl w:val="2"/>
        <w:numId w:val="29"/>
      </w:numPr>
      <w:spacing w:before="160" w:after="80"/>
      <w:ind w:left="504"/>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444F85"/>
    <w:pPr>
      <w:keepNext/>
      <w:keepLines/>
      <w:spacing w:before="80" w:after="40"/>
      <w:outlineLvl w:val="3"/>
    </w:pPr>
    <w:rPr>
      <w:rFonts w:asciiTheme="minorHAnsi" w:eastAsiaTheme="majorEastAsia" w:hAnsiTheme="minorHAnsi" w:cstheme="majorBidi"/>
      <w:b/>
      <w:iCs/>
      <w:color w:val="0F4761" w:themeColor="accent1" w:themeShade="BF"/>
    </w:rPr>
  </w:style>
  <w:style w:type="paragraph" w:styleId="Heading5">
    <w:name w:val="heading 5"/>
    <w:basedOn w:val="Normal"/>
    <w:next w:val="Normal"/>
    <w:link w:val="Heading5Char"/>
    <w:uiPriority w:val="9"/>
    <w:semiHidden/>
    <w:unhideWhenUsed/>
    <w:qFormat/>
    <w:rsid w:val="00444F8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E5B52"/>
    <w:pPr>
      <w:keepNext/>
      <w:keepLines/>
      <w:numPr>
        <w:ilvl w:val="5"/>
        <w:numId w:val="14"/>
      </w:numPr>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E5B52"/>
    <w:pPr>
      <w:keepNext/>
      <w:keepLines/>
      <w:numPr>
        <w:ilvl w:val="6"/>
        <w:numId w:val="14"/>
      </w:numPr>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E5B52"/>
    <w:pPr>
      <w:keepNext/>
      <w:keepLines/>
      <w:numPr>
        <w:ilvl w:val="7"/>
        <w:numId w:val="14"/>
      </w:numPr>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E5B52"/>
    <w:pPr>
      <w:keepNext/>
      <w:keepLines/>
      <w:numPr>
        <w:ilvl w:val="8"/>
        <w:numId w:val="14"/>
      </w:numPr>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CurrentList1">
    <w:name w:val="Current List1"/>
    <w:uiPriority w:val="99"/>
    <w:rsid w:val="004E5B52"/>
    <w:pPr>
      <w:numPr>
        <w:numId w:val="9"/>
      </w:numPr>
    </w:pPr>
  </w:style>
  <w:style w:type="character" w:customStyle="1" w:styleId="Heading1Char">
    <w:name w:val="Heading 1 Char"/>
    <w:basedOn w:val="DefaultParagraphFont"/>
    <w:link w:val="Heading1"/>
    <w:uiPriority w:val="9"/>
    <w:rsid w:val="004E5B52"/>
    <w:rPr>
      <w:rFonts w:asciiTheme="minorBidi" w:eastAsiaTheme="majorEastAsia" w:hAnsiTheme="minorBidi" w:cstheme="majorBidi"/>
      <w:b/>
      <w:color w:val="000000" w:themeColor="text1"/>
      <w:kern w:val="0"/>
      <w:sz w:val="28"/>
      <w:szCs w:val="40"/>
      <w14:ligatures w14:val="none"/>
    </w:rPr>
  </w:style>
  <w:style w:type="character" w:customStyle="1" w:styleId="Heading2Char">
    <w:name w:val="Heading 2 Char"/>
    <w:basedOn w:val="DefaultParagraphFont"/>
    <w:link w:val="Heading2"/>
    <w:uiPriority w:val="9"/>
    <w:rsid w:val="00625032"/>
    <w:rPr>
      <w:rFonts w:asciiTheme="minorBidi" w:eastAsiaTheme="majorEastAsia" w:hAnsiTheme="minorBidi" w:cstheme="majorBidi"/>
      <w:b/>
      <w:color w:val="000000" w:themeColor="text1"/>
      <w:kern w:val="0"/>
      <w:szCs w:val="32"/>
      <w14:ligatures w14:val="none"/>
    </w:rPr>
  </w:style>
  <w:style w:type="character" w:customStyle="1" w:styleId="Heading3Char">
    <w:name w:val="Heading 3 Char"/>
    <w:basedOn w:val="DefaultParagraphFont"/>
    <w:link w:val="Heading3"/>
    <w:uiPriority w:val="9"/>
    <w:rsid w:val="00444F85"/>
    <w:rPr>
      <w:rFonts w:asciiTheme="minorBidi" w:eastAsiaTheme="majorEastAsia" w:hAnsiTheme="minorBidi" w:cstheme="majorBidi"/>
      <w:b/>
      <w:color w:val="000000" w:themeColor="text1"/>
      <w:kern w:val="0"/>
      <w:sz w:val="22"/>
      <w:szCs w:val="28"/>
      <w14:ligatures w14:val="none"/>
    </w:rPr>
  </w:style>
  <w:style w:type="character" w:customStyle="1" w:styleId="Heading4Char">
    <w:name w:val="Heading 4 Char"/>
    <w:basedOn w:val="DefaultParagraphFont"/>
    <w:link w:val="Heading4"/>
    <w:uiPriority w:val="9"/>
    <w:rsid w:val="00B4543B"/>
    <w:rPr>
      <w:rFonts w:eastAsiaTheme="majorEastAsia" w:cstheme="majorBidi"/>
      <w:b/>
      <w:iCs/>
      <w:color w:val="0F4761" w:themeColor="accent1" w:themeShade="BF"/>
      <w:kern w:val="0"/>
      <w:sz w:val="22"/>
      <w14:ligatures w14:val="none"/>
    </w:rPr>
  </w:style>
  <w:style w:type="character" w:customStyle="1" w:styleId="Heading5Char">
    <w:name w:val="Heading 5 Char"/>
    <w:basedOn w:val="DefaultParagraphFont"/>
    <w:link w:val="Heading5"/>
    <w:uiPriority w:val="9"/>
    <w:semiHidden/>
    <w:rsid w:val="004E5B52"/>
    <w:rPr>
      <w:rFonts w:eastAsiaTheme="majorEastAsia" w:cstheme="majorBidi"/>
      <w:color w:val="0F4761" w:themeColor="accent1" w:themeShade="BF"/>
      <w:kern w:val="0"/>
      <w:sz w:val="22"/>
      <w14:ligatures w14:val="none"/>
    </w:rPr>
  </w:style>
  <w:style w:type="character" w:customStyle="1" w:styleId="Heading6Char">
    <w:name w:val="Heading 6 Char"/>
    <w:basedOn w:val="DefaultParagraphFont"/>
    <w:link w:val="Heading6"/>
    <w:uiPriority w:val="9"/>
    <w:semiHidden/>
    <w:rsid w:val="004E5B52"/>
    <w:rPr>
      <w:rFonts w:eastAsiaTheme="majorEastAsia" w:cstheme="majorBidi"/>
      <w:i/>
      <w:iCs/>
      <w:color w:val="595959" w:themeColor="text1" w:themeTint="A6"/>
      <w:kern w:val="0"/>
      <w:sz w:val="22"/>
      <w14:ligatures w14:val="none"/>
    </w:rPr>
  </w:style>
  <w:style w:type="character" w:customStyle="1" w:styleId="Heading7Char">
    <w:name w:val="Heading 7 Char"/>
    <w:basedOn w:val="DefaultParagraphFont"/>
    <w:link w:val="Heading7"/>
    <w:uiPriority w:val="9"/>
    <w:semiHidden/>
    <w:rsid w:val="004E5B52"/>
    <w:rPr>
      <w:rFonts w:eastAsiaTheme="majorEastAsia" w:cstheme="majorBidi"/>
      <w:color w:val="595959" w:themeColor="text1" w:themeTint="A6"/>
      <w:kern w:val="0"/>
      <w:sz w:val="22"/>
      <w14:ligatures w14:val="none"/>
    </w:rPr>
  </w:style>
  <w:style w:type="character" w:customStyle="1" w:styleId="Heading8Char">
    <w:name w:val="Heading 8 Char"/>
    <w:basedOn w:val="DefaultParagraphFont"/>
    <w:link w:val="Heading8"/>
    <w:uiPriority w:val="9"/>
    <w:semiHidden/>
    <w:rsid w:val="004E5B52"/>
    <w:rPr>
      <w:rFonts w:eastAsiaTheme="majorEastAsia" w:cstheme="majorBidi"/>
      <w:i/>
      <w:iCs/>
      <w:color w:val="272727" w:themeColor="text1" w:themeTint="D8"/>
      <w:kern w:val="0"/>
      <w:sz w:val="22"/>
      <w14:ligatures w14:val="none"/>
    </w:rPr>
  </w:style>
  <w:style w:type="character" w:customStyle="1" w:styleId="Heading9Char">
    <w:name w:val="Heading 9 Char"/>
    <w:basedOn w:val="DefaultParagraphFont"/>
    <w:link w:val="Heading9"/>
    <w:uiPriority w:val="9"/>
    <w:semiHidden/>
    <w:rsid w:val="004E5B52"/>
    <w:rPr>
      <w:rFonts w:eastAsiaTheme="majorEastAsia" w:cstheme="majorBidi"/>
      <w:color w:val="272727" w:themeColor="text1" w:themeTint="D8"/>
      <w:kern w:val="0"/>
      <w:sz w:val="22"/>
      <w14:ligatures w14:val="none"/>
    </w:rPr>
  </w:style>
  <w:style w:type="paragraph" w:styleId="Title">
    <w:name w:val="Title"/>
    <w:basedOn w:val="Normal"/>
    <w:next w:val="Normal"/>
    <w:link w:val="TitleChar"/>
    <w:uiPriority w:val="10"/>
    <w:qFormat/>
    <w:rsid w:val="004E5B5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B52"/>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4E5B5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B52"/>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4E5B5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E5B52"/>
    <w:rPr>
      <w:rFonts w:asciiTheme="minorBidi" w:hAnsiTheme="minorBidi" w:cs="Times New Roman"/>
      <w:i/>
      <w:iCs/>
      <w:color w:val="404040" w:themeColor="text1" w:themeTint="BF"/>
      <w:kern w:val="0"/>
      <w:sz w:val="22"/>
      <w14:ligatures w14:val="none"/>
    </w:rPr>
  </w:style>
  <w:style w:type="paragraph" w:styleId="ListParagraph">
    <w:name w:val="List Paragraph"/>
    <w:basedOn w:val="Normal"/>
    <w:link w:val="ListParagraphChar"/>
    <w:uiPriority w:val="34"/>
    <w:qFormat/>
    <w:rsid w:val="004E5B52"/>
    <w:pPr>
      <w:ind w:left="720"/>
      <w:contextualSpacing/>
    </w:pPr>
  </w:style>
  <w:style w:type="character" w:styleId="IntenseEmphasis">
    <w:name w:val="Intense Emphasis"/>
    <w:basedOn w:val="DefaultParagraphFont"/>
    <w:uiPriority w:val="21"/>
    <w:qFormat/>
    <w:rsid w:val="004E5B52"/>
    <w:rPr>
      <w:i/>
      <w:iCs/>
      <w:color w:val="0F4761" w:themeColor="accent1" w:themeShade="BF"/>
    </w:rPr>
  </w:style>
  <w:style w:type="paragraph" w:styleId="IntenseQuote">
    <w:name w:val="Intense Quote"/>
    <w:basedOn w:val="Normal"/>
    <w:next w:val="Normal"/>
    <w:link w:val="IntenseQuoteChar"/>
    <w:uiPriority w:val="30"/>
    <w:qFormat/>
    <w:rsid w:val="004E5B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5B52"/>
    <w:rPr>
      <w:rFonts w:asciiTheme="minorBidi" w:hAnsiTheme="minorBidi" w:cs="Times New Roman"/>
      <w:i/>
      <w:iCs/>
      <w:color w:val="0F4761" w:themeColor="accent1" w:themeShade="BF"/>
      <w:kern w:val="0"/>
      <w:sz w:val="22"/>
      <w14:ligatures w14:val="none"/>
    </w:rPr>
  </w:style>
  <w:style w:type="character" w:styleId="IntenseReference">
    <w:name w:val="Intense Reference"/>
    <w:basedOn w:val="DefaultParagraphFont"/>
    <w:uiPriority w:val="32"/>
    <w:qFormat/>
    <w:rsid w:val="004E5B52"/>
    <w:rPr>
      <w:b/>
      <w:bCs/>
      <w:smallCaps/>
      <w:color w:val="0F4761" w:themeColor="accent1" w:themeShade="BF"/>
      <w:spacing w:val="5"/>
    </w:rPr>
  </w:style>
  <w:style w:type="numbering" w:customStyle="1" w:styleId="CurrentList2">
    <w:name w:val="Current List2"/>
    <w:uiPriority w:val="99"/>
    <w:rsid w:val="004E5B52"/>
    <w:pPr>
      <w:numPr>
        <w:numId w:val="11"/>
      </w:numPr>
    </w:pPr>
  </w:style>
  <w:style w:type="numbering" w:customStyle="1" w:styleId="CurrentList3">
    <w:name w:val="Current List3"/>
    <w:uiPriority w:val="99"/>
    <w:rsid w:val="004E5B52"/>
    <w:pPr>
      <w:numPr>
        <w:numId w:val="13"/>
      </w:numPr>
    </w:pPr>
  </w:style>
  <w:style w:type="paragraph" w:styleId="NoSpacing">
    <w:name w:val="No Spacing"/>
    <w:uiPriority w:val="1"/>
    <w:qFormat/>
    <w:rsid w:val="004E5B52"/>
    <w:rPr>
      <w:rFonts w:asciiTheme="minorBidi" w:hAnsiTheme="minorBidi" w:cs="Times New Roman"/>
      <w:kern w:val="0"/>
      <w:sz w:val="22"/>
      <w14:ligatures w14:val="none"/>
    </w:rPr>
  </w:style>
  <w:style w:type="table" w:styleId="PlainTable5">
    <w:name w:val="Plain Table 5"/>
    <w:basedOn w:val="TableNormal"/>
    <w:uiPriority w:val="45"/>
    <w:rsid w:val="003A1C2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4">
    <w:name w:val="Grid Table 1 Light Accent 4"/>
    <w:basedOn w:val="TableNormal"/>
    <w:uiPriority w:val="46"/>
    <w:rsid w:val="003A1C2A"/>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3A1C2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9D6B98"/>
    <w:pPr>
      <w:spacing w:after="200"/>
    </w:pPr>
    <w:rPr>
      <w:iCs/>
      <w:color w:val="000000" w:themeColor="text1"/>
      <w:sz w:val="18"/>
      <w:szCs w:val="18"/>
    </w:rPr>
  </w:style>
  <w:style w:type="table" w:styleId="TableGrid">
    <w:name w:val="Table Grid"/>
    <w:basedOn w:val="TableNormal"/>
    <w:uiPriority w:val="39"/>
    <w:rsid w:val="005E47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E47B7"/>
    <w:rPr>
      <w:b/>
      <w:bCs/>
    </w:rPr>
  </w:style>
  <w:style w:type="character" w:styleId="CommentReference">
    <w:name w:val="annotation reference"/>
    <w:basedOn w:val="DefaultParagraphFont"/>
    <w:uiPriority w:val="99"/>
    <w:semiHidden/>
    <w:unhideWhenUsed/>
    <w:rsid w:val="00EA0894"/>
    <w:rPr>
      <w:sz w:val="16"/>
      <w:szCs w:val="16"/>
    </w:rPr>
  </w:style>
  <w:style w:type="paragraph" w:styleId="CommentText">
    <w:name w:val="annotation text"/>
    <w:basedOn w:val="Normal"/>
    <w:link w:val="CommentTextChar"/>
    <w:uiPriority w:val="99"/>
    <w:semiHidden/>
    <w:unhideWhenUsed/>
    <w:rsid w:val="00EA0894"/>
    <w:rPr>
      <w:sz w:val="20"/>
      <w:szCs w:val="20"/>
    </w:rPr>
  </w:style>
  <w:style w:type="character" w:customStyle="1" w:styleId="CommentTextChar">
    <w:name w:val="Comment Text Char"/>
    <w:basedOn w:val="DefaultParagraphFont"/>
    <w:link w:val="CommentText"/>
    <w:uiPriority w:val="99"/>
    <w:semiHidden/>
    <w:rsid w:val="00EA0894"/>
    <w:rPr>
      <w:rFonts w:asciiTheme="minorBidi" w:hAnsiTheme="minorBidi"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A0894"/>
    <w:rPr>
      <w:b/>
      <w:bCs/>
    </w:rPr>
  </w:style>
  <w:style w:type="character" w:customStyle="1" w:styleId="CommentSubjectChar">
    <w:name w:val="Comment Subject Char"/>
    <w:basedOn w:val="CommentTextChar"/>
    <w:link w:val="CommentSubject"/>
    <w:uiPriority w:val="99"/>
    <w:semiHidden/>
    <w:rsid w:val="00EA0894"/>
    <w:rPr>
      <w:rFonts w:asciiTheme="minorBidi" w:hAnsiTheme="minorBidi" w:cs="Times New Roman"/>
      <w:b/>
      <w:bCs/>
      <w:kern w:val="0"/>
      <w:sz w:val="20"/>
      <w:szCs w:val="20"/>
      <w14:ligatures w14:val="none"/>
    </w:rPr>
  </w:style>
  <w:style w:type="paragraph" w:customStyle="1" w:styleId="EndNoteBibliographyTitle">
    <w:name w:val="EndNote Bibliography Title"/>
    <w:basedOn w:val="Normal"/>
    <w:link w:val="EndNoteBibliographyTitleChar"/>
    <w:rsid w:val="00194ABA"/>
    <w:pPr>
      <w:spacing w:after="0"/>
      <w:jc w:val="center"/>
    </w:pPr>
    <w:rPr>
      <w:rFonts w:ascii="Arial" w:hAnsi="Arial" w:cs="Arial"/>
    </w:rPr>
  </w:style>
  <w:style w:type="character" w:customStyle="1" w:styleId="EndNoteBibliographyTitleChar">
    <w:name w:val="EndNote Bibliography Title Char"/>
    <w:basedOn w:val="DefaultParagraphFont"/>
    <w:link w:val="EndNoteBibliographyTitle"/>
    <w:rsid w:val="00194ABA"/>
    <w:rPr>
      <w:rFonts w:ascii="Arial" w:hAnsi="Arial" w:cs="Arial"/>
      <w:kern w:val="0"/>
      <w:sz w:val="22"/>
      <w14:ligatures w14:val="none"/>
    </w:rPr>
  </w:style>
  <w:style w:type="paragraph" w:customStyle="1" w:styleId="EndNoteBibliography">
    <w:name w:val="EndNote Bibliography"/>
    <w:basedOn w:val="Normal"/>
    <w:link w:val="EndNoteBibliographyChar"/>
    <w:rsid w:val="00194ABA"/>
    <w:rPr>
      <w:rFonts w:ascii="Arial" w:hAnsi="Arial" w:cs="Arial"/>
    </w:rPr>
  </w:style>
  <w:style w:type="character" w:customStyle="1" w:styleId="EndNoteBibliographyChar">
    <w:name w:val="EndNote Bibliography Char"/>
    <w:basedOn w:val="DefaultParagraphFont"/>
    <w:link w:val="EndNoteBibliography"/>
    <w:rsid w:val="00194ABA"/>
    <w:rPr>
      <w:rFonts w:ascii="Arial" w:hAnsi="Arial" w:cs="Arial"/>
      <w:kern w:val="0"/>
      <w:sz w:val="22"/>
      <w14:ligatures w14:val="none"/>
    </w:rPr>
  </w:style>
  <w:style w:type="character" w:customStyle="1" w:styleId="ListParagraphChar">
    <w:name w:val="List Paragraph Char"/>
    <w:basedOn w:val="DefaultParagraphFont"/>
    <w:link w:val="ListParagraph"/>
    <w:uiPriority w:val="34"/>
    <w:rsid w:val="00AE5FAF"/>
    <w:rPr>
      <w:rFonts w:asciiTheme="minorBidi" w:hAnsiTheme="minorBidi" w:cs="Times New Roman"/>
      <w:kern w:val="0"/>
      <w:sz w:val="22"/>
      <w14:ligatures w14:val="none"/>
    </w:rPr>
  </w:style>
  <w:style w:type="character" w:styleId="Hyperlink">
    <w:name w:val="Hyperlink"/>
    <w:basedOn w:val="DefaultParagraphFont"/>
    <w:uiPriority w:val="99"/>
    <w:unhideWhenUsed/>
    <w:rsid w:val="00AE5FAF"/>
    <w:rPr>
      <w:color w:val="467886" w:themeColor="hyperlink"/>
      <w:u w:val="single"/>
    </w:rPr>
  </w:style>
  <w:style w:type="character" w:styleId="UnresolvedMention">
    <w:name w:val="Unresolved Mention"/>
    <w:basedOn w:val="DefaultParagraphFont"/>
    <w:uiPriority w:val="99"/>
    <w:semiHidden/>
    <w:unhideWhenUsed/>
    <w:rsid w:val="00AE5FAF"/>
    <w:rPr>
      <w:color w:val="605E5C"/>
      <w:shd w:val="clear" w:color="auto" w:fill="E1DFDD"/>
    </w:rPr>
  </w:style>
  <w:style w:type="character" w:customStyle="1" w:styleId="apple-converted-space">
    <w:name w:val="apple-converted-space"/>
    <w:basedOn w:val="DefaultParagraphFont"/>
    <w:rsid w:val="00C44C42"/>
  </w:style>
  <w:style w:type="numbering" w:customStyle="1" w:styleId="CurrentList4">
    <w:name w:val="Current List4"/>
    <w:uiPriority w:val="99"/>
    <w:rsid w:val="00444F85"/>
    <w:pPr>
      <w:numPr>
        <w:numId w:val="22"/>
      </w:numPr>
    </w:pPr>
  </w:style>
  <w:style w:type="numbering" w:customStyle="1" w:styleId="CurrentList5">
    <w:name w:val="Current List5"/>
    <w:uiPriority w:val="99"/>
    <w:rsid w:val="00444F85"/>
    <w:pPr>
      <w:numPr>
        <w:numId w:val="23"/>
      </w:numPr>
    </w:pPr>
  </w:style>
  <w:style w:type="numbering" w:customStyle="1" w:styleId="CurrentList6">
    <w:name w:val="Current List6"/>
    <w:uiPriority w:val="99"/>
    <w:rsid w:val="00444F85"/>
    <w:pPr>
      <w:numPr>
        <w:numId w:val="24"/>
      </w:numPr>
    </w:pPr>
  </w:style>
  <w:style w:type="numbering" w:customStyle="1" w:styleId="CurrentList7">
    <w:name w:val="Current List7"/>
    <w:uiPriority w:val="99"/>
    <w:rsid w:val="00444F85"/>
    <w:pPr>
      <w:numPr>
        <w:numId w:val="25"/>
      </w:numPr>
    </w:pPr>
  </w:style>
  <w:style w:type="numbering" w:customStyle="1" w:styleId="CurrentList8">
    <w:name w:val="Current List8"/>
    <w:uiPriority w:val="99"/>
    <w:rsid w:val="00444F85"/>
    <w:pPr>
      <w:numPr>
        <w:numId w:val="26"/>
      </w:numPr>
    </w:pPr>
  </w:style>
  <w:style w:type="numbering" w:customStyle="1" w:styleId="CurrentList9">
    <w:name w:val="Current List9"/>
    <w:uiPriority w:val="99"/>
    <w:rsid w:val="00444F85"/>
    <w:pPr>
      <w:numPr>
        <w:numId w:val="28"/>
      </w:numPr>
    </w:pPr>
  </w:style>
  <w:style w:type="paragraph" w:customStyle="1" w:styleId="p1">
    <w:name w:val="p1"/>
    <w:basedOn w:val="Normal"/>
    <w:rsid w:val="00AA4963"/>
    <w:pPr>
      <w:spacing w:before="0" w:after="0"/>
    </w:pPr>
    <w:rPr>
      <w:rFonts w:ascii="STIX Two Text" w:hAnsi="STIX Two Text"/>
      <w:color w:val="141413"/>
      <w:sz w:val="15"/>
      <w:szCs w:val="15"/>
    </w:rPr>
  </w:style>
  <w:style w:type="character" w:styleId="FollowedHyperlink">
    <w:name w:val="FollowedHyperlink"/>
    <w:basedOn w:val="DefaultParagraphFont"/>
    <w:uiPriority w:val="99"/>
    <w:semiHidden/>
    <w:unhideWhenUsed/>
    <w:rsid w:val="00E46BF8"/>
    <w:rPr>
      <w:color w:val="96607D" w:themeColor="followedHyperlink"/>
      <w:u w:val="single"/>
    </w:rPr>
  </w:style>
  <w:style w:type="paragraph" w:styleId="NormalWeb">
    <w:name w:val="Normal (Web)"/>
    <w:basedOn w:val="Normal"/>
    <w:uiPriority w:val="99"/>
    <w:semiHidden/>
    <w:unhideWhenUsed/>
    <w:rsid w:val="009D6B98"/>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hyperlink" Target="https://www.marchofdimes.org/peristats/data?reg=99&amp;top=7&amp;stop=72&amp;lev=1&amp;slev=1&amp;obj=1" TargetMode="External"/><Relationship Id="rId5" Type="http://schemas.openxmlformats.org/officeDocument/2006/relationships/image" Target="media/image1.png"/><Relationship Id="rId10" Type="http://schemas.openxmlformats.org/officeDocument/2006/relationships/hyperlink" Target="https://www" TargetMode="External"/><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2521</TotalTime>
  <Pages>24</Pages>
  <Words>14689</Words>
  <Characters>83730</Characters>
  <Application>Microsoft Office Word</Application>
  <DocSecurity>0</DocSecurity>
  <Lines>697</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Parastu Kasaie</dc:creator>
  <cp:keywords/>
  <dc:description/>
  <cp:lastModifiedBy>Parastu Kasaie</cp:lastModifiedBy>
  <cp:revision>263</cp:revision>
  <dcterms:created xsi:type="dcterms:W3CDTF">2026-05-06T17:35:00Z</dcterms:created>
  <dcterms:modified xsi:type="dcterms:W3CDTF">2026-09-10T14:42:00Z</dcterms:modified>
</cp:coreProperties>
</file>