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Study 1 — draft insertions</w:t>
      </w:r>
    </w:p>
    <w:p>
      <w:pPr>
        <w:spacing w:after="160" w:line="260"/>
      </w:pPr>
      <w:r>
        <w:rPr>
          <w:i/>
          <w:iCs/>
          <w:color w:val="7A2E2E"/>
          <w:sz w:val="19"/>
          <w:szCs w:val="19"/>
        </w:rPr>
        <w:t xml:space="preserve">Drafted 2026-09-09 from tables/1-notInt.csv, 2-impact-cov30-2030.csv, 3-efficiency.csv, 4-spillover-cov30.csv and 5-spillover-associations-cov30.csv. Every figure quoted below was read from those files, not retyped from the manuscript. Paste into Study 1.docx; nothing here overwrites existing text.</w:t>
      </w:r>
    </w:p>
    <w:p>
      <w:pPr>
        <w:pStyle w:val="Heading1"/>
        <w:spacing w:after="140" w:before="280"/>
      </w:pPr>
      <w:r>
        <w:t xml:space="preserve">Part 1. Table captions</w:t>
      </w:r>
    </w:p>
    <w:p>
      <w:pPr>
        <w:spacing w:after="180" w:line="280"/>
      </w:pPr>
      <w:r>
        <w:rPr>
          <w:b/>
          <w:bCs/>
        </w:rPr>
        <w:t xml:space="preserve">Table 1. </w:t>
      </w:r>
      <w:r>
        <w:t xml:space="preserve">Projected syphilis epidemiology in the ten modelled MSAs in the absence of Doxy-PEP, 2022–2030. Columns show the population incidence rate per 100,000 persons in 2022 and 2030 and the fold-change between them; the total diagnosis rate per 100,000 persons in each year; the detection ratio, defined as P&amp;S diagnoses per incident infection in the same year; and the MSM share of incident infections. All values are medians across 400 posterior simulations, with 95% credible intervals in the row beneath each estimate. The fold-change is computed within each simulation before summarising, so it is a median of ratios rather than a ratio of medians.</w:t>
      </w:r>
    </w:p>
    <w:p>
      <w:pPr>
        <w:spacing w:after="180" w:line="280"/>
      </w:pPr>
      <w:r>
        <w:rPr>
          <w:b/>
          <w:bCs/>
        </w:rPr>
        <w:t xml:space="preserve">Table 2. </w:t>
      </w:r>
      <w:r>
        <w:t xml:space="preserve">Projected impact of Doxy-PEP reaching 30% coverage among MSM by 2030. Rows are grouped by MSA and population (total, MSM, heterosexual men, women). Columns show incident cases and incidence rates per 100,000 in 2022 and 2030 under no intervention and under 30% coverage; the percentage of incidence averted in 2030 relative to the no-intervention counterfactual in the same year; the corresponding absolute reduction in incidence rate per 100,000; and the cumulative number of infections averted between 2022 and 2030. Percentages averted and rate differences are single-year quantities for 2030; the final column is cumulative over the whole scale-up window and is therefore substantially smaller as a proportion, because coverage ramps from zero in 2023. Denominators are stratum-specific: rates on an MSM row are per 100,000 MSM, and on a female row per 100,000 women. Values are medians across 400 posterior simulations with 95% credible intervals beneath.</w:t>
      </w:r>
    </w:p>
    <w:p>
      <w:pPr>
        <w:spacing w:after="180" w:line="280"/>
      </w:pPr>
      <w:r>
        <w:rPr>
          <w:b/>
          <w:bCs/>
        </w:rPr>
        <w:t xml:space="preserve">Table 3. </w:t>
      </w:r>
      <w:r>
        <w:t xml:space="preserve">Doxy-PEP efficiency, expressed as person-years of doxycycline per incident infection averted, by MSA, population and coverage level. Doxy-PEP is delivered only to MSM, so cumulative Doxy-PEP person-years are the same denominator for all three populations; the female row therefore expresses the antibiotic cost, in drug given to men, of preventing an infection in a woman. Cumulative columns accumulate all drug delivered and all infections averted from 2022 to 2030 and describe programme-to-date efficiency. Marginal columns compare each coverage level with the level below it — the lowest rung against no intervention — and describe what the last ten percentage points of coverage bought per additional person-year they cost; at 10% coverage the marginal and cumulative values are therefore identical by construction. No single-year efficiency measure is reported: doxycycline delivered in one year continues to prevent infections in later years, so a same-year ratio attributes benefit to the wrong year. Values are medians across 400 posterior simulations.</w:t>
      </w:r>
    </w:p>
    <w:p>
      <w:pPr>
        <w:spacing w:after="180" w:line="280"/>
      </w:pPr>
      <w:r>
        <w:rPr>
          <w:b/>
          <w:bCs/>
        </w:rPr>
        <w:t xml:space="preserve">Table 4. </w:t>
      </w:r>
      <w:r>
        <w:t xml:space="preserve">Projected spillover ratio and candidate correlates, by MSA, at 30% Doxy-PEP coverage in 2030. The spillover ratio is the projected percentage reduction in incidence among women divided by the corresponding reduction among MSM. Candidate correlates are measured in 2022 under no intervention and are therefore properties of the epidemic Doxy-PEP enters rather than consequences of it: the MSM share of incident infections in 2022 and 2030; the MSM and female incidence rates and their ratio; the MSM share of the male population; and the detection ratio among MSM. The final three columns describe the untreated epidemic trajectory: the fold-change in incident cases among MSM and among heterosexuals between 2022 and 2030, and the divergence factor, defined as the natural logarithm of their ratio. All correlates are scale-free, so that between-MSA comparisons are not driven by differences in city size. MSAs are ordered by descending spillover ratio.</w:t>
      </w:r>
    </w:p>
    <w:p>
      <w:pPr>
        <w:spacing w:after="180" w:line="280"/>
      </w:pPr>
      <w:r>
        <w:rPr>
          <w:b/>
          <w:bCs/>
        </w:rPr>
        <w:t xml:space="preserve">Table 5. </w:t>
      </w:r>
      <w:r>
        <w:t xml:space="preserve">Association between the projected spillover ratio and candidate MSA-level correlates. Each row reports the Spearman rank correlation between the spillover ratio at 30% coverage in 2030 and one candidate correlate measured in 2022, across the ten modelled MSAs, together with the mechanism that would produce an association in that direction. Correlations are descriptive and are intended to identify candidate explanations rather than to test hypotheses: the ten MSAs constitute the full set of modelled settings rather than a sample from a wider population of cities, and several correlates are algebraically related to one another, so no p-values or confidence intervals are reported. Parameter uncertainty in these associations is addressed separately in the posterior sensitivity analysis.</w:t>
      </w:r>
    </w:p>
    <w:p>
      <w:pPr>
        <w:pStyle w:val="Heading1"/>
        <w:spacing w:after="140" w:before="280"/>
      </w:pPr>
      <w:r>
        <w:t xml:space="preserve">Part 2. Results — Doxy-PEP efficiency</w:t>
      </w:r>
    </w:p>
    <w:p>
      <w:pPr>
        <w:spacing w:after="160" w:line="260"/>
      </w:pPr>
      <w:r>
        <w:rPr>
          <w:i/>
          <w:iCs/>
          <w:color w:val="7A2E2E"/>
          <w:sz w:val="19"/>
          <w:szCs w:val="19"/>
        </w:rPr>
        <w:t xml:space="preserve">Suggested placement: after the “Doxy-PEP Impact” section and before “Correlates of Doxy-PEP Impact”, so the antibiotic cost of the benefit is quantified before its determinants are explored.</w:t>
      </w:r>
    </w:p>
    <w:p>
      <w:pPr>
        <w:pStyle w:val="Heading2"/>
        <w:spacing w:after="120" w:before="220"/>
      </w:pPr>
      <w:r>
        <w:t xml:space="preserve">Antibiotic cost per infection averted</w:t>
      </w:r>
    </w:p>
    <w:p>
      <w:pPr>
        <w:spacing w:after="140" w:line="300"/>
      </w:pPr>
      <w:r>
        <w:t xml:space="preserve">To quantify the antibiotic exposure required to achieve these reductions, we expressed impact as the number of Doxy-PEP person-years delivered per incident syphilis infection averted (Table 3). Because Doxy-PEP is offered only to MSM, cumulative person-years of doxycycline form a common denominator for all three populations, so the same measure can be read as the cost of preventing an infection anywhere in the population, the cost of preventing one among MSM, or the cost, in drug given to men, of preventing one among women. Two versions are reported. The cumulative measure accumulates all drug delivered and all infections averted between 2022 and 2030 and describes the efficiency of a programme to date; the marginal measure compares each coverage level with the one below it and describes what the last ten percentage points of coverage bought per additional person-year of drug they required.</w:t>
      </w:r>
    </w:p>
    <w:p>
      <w:pPr>
        <w:spacing w:after="140" w:line="300"/>
      </w:pPr>
      <w:r>
        <w:t xml:space="preserve">At the total-population level, Doxy-PEP was projected to be most efficient at low coverage and to become progressively less efficient as coverage increased. At 10% coverage, a median of 3.2 person-years of doxycycline (range across MSAs 1.7–14.4) was required per infection averted, rising to 5.3 person-years (2.2–21.0) at 50% coverage. The marginal measure deteriorated considerably faster: the first ten percentage points of coverage averted one infection for every 3.2 person-years of drug, whereas the increment from 40% to 50% coverage required 10.1 person-years (3.3–32.7) per additional infection averted. Across the modelled range, average efficiency fell by a factor of 1.7 while marginal efficiency fell by a factor of 3.2, indicating that the aggregate figure understates the antibiotic cost of expanding an existing programme. Pooled across all ten MSAs, 30% coverage corresponded to approximately 1.94 million person-years of doxycycline and 493,000 infections averted, or 3.9 person-years per infection averted.</w:t>
      </w:r>
    </w:p>
    <w:p>
      <w:pPr>
        <w:spacing w:after="140" w:line="300"/>
      </w:pPr>
      <w:r>
        <w:t xml:space="preserve">Efficiency differed substantially between populations, but in a manner that was remarkably stable across coverage levels. At 30% coverage, a median of 8.8 person-years of doxycycline (3.8–42.0) was required per infection averted among MSM, compared with 17.5 person-years (6.1–108.7) per infection averted among women. Preventing an infection in a woman therefore required approximately twice as much antibiotic as preventing one among MSM, consistent with the indirect nature of that benefit. This ratio was essentially invariant to coverage, ranging only from 2.02 at 10% coverage to 1.94 at 50%. The corresponding comparison between the total population and MSM was similarly stable at approximately 2.1 across all coverage levels, indicating that accounting for spillover roughly halves the estimated antibiotic cost per infection averted, and that this improvement is a structural feature of the modelled transmission networks rather than something that changes as programmes scale.</w:t>
      </w:r>
    </w:p>
    <w:p>
      <w:pPr>
        <w:spacing w:after="140" w:line="300"/>
      </w:pPr>
      <w:r>
        <w:t xml:space="preserve">Between-MSA variation in efficiency was considerably larger than variation across coverage levels. At 30% coverage, the total-population cost ranged approximately nine-fold, from 1.9 person-years per infection averted in Houston to 17.7 in Chicago. The same ordering was broadly preserved within each population, and the MSAs in which Doxy-PEP was least efficient were those in which the heterosexual epidemic had grown furthest beyond the MSM epidemic by 2030.</w:t>
      </w:r>
    </w:p>
    <w:p>
      <w:pPr>
        <w:pStyle w:val="Heading1"/>
        <w:spacing w:after="140" w:before="280"/>
      </w:pPr>
      <w:r>
        <w:t xml:space="preserve">Part 3. Points to resolve</w:t>
      </w:r>
    </w:p>
    <w:p>
      <w:pPr>
        <w:spacing w:after="160" w:line="260"/>
      </w:pPr>
      <w:r>
        <w:rPr>
          <w:i/>
          <w:iCs/>
          <w:color w:val="7A2E2E"/>
          <w:sz w:val="19"/>
          <w:szCs w:val="19"/>
        </w:rPr>
        <w:t xml:space="preserve">Not for insertion — items identified while drafting.</w:t>
      </w:r>
    </w:p>
    <w:p>
      <w:pPr>
        <w:spacing w:after="140" w:line="300"/>
      </w:pPr>
      <w:r>
        <w:t xml:space="preserve">P049 closes with “(Table 3)”, but the spillover correlates are in Table 4. Table 3 is the efficiency table.</w:t>
      </w:r>
    </w:p>
    <w:p>
      <w:pPr>
        <w:spacing w:after="140" w:line="300"/>
      </w:pPr>
      <w:r>
        <w:t xml:space="preserve">Table 5 (spillover associations) is written to 5-spillover-associations-cov30.csv but has not yet been inserted into the document; the caption above is ready for it.</w:t>
      </w:r>
    </w:p>
    <w:p>
      <w:pPr>
        <w:spacing w:after="140" w:line="300"/>
      </w:pPr>
      <w:r>
        <w:t xml:space="preserve">The Outcomes paragraph (P011–P013) does not yet mention the efficiency outcome. Suggested addition: “We additionally expressed impact as Doxy-PEP person-years delivered per incident infection averted, both cumulatively from 2022 and marginally between adjacent coverage levels.”</w:t>
      </w:r>
    </w:p>
    <w:p>
      <w:pPr>
        <w:spacing w:after="140" w:line="300"/>
      </w:pPr>
      <w:r>
        <w:t xml:space="preserve">Table 2 column headers currently read “per 100,0000 population” in the embedded table; the code has been corrected but the CSV and the pasted table were generated beforehand and need regenerating.</w:t>
      </w:r>
    </w:p>
    <w:p>
      <w:pPr>
        <w:spacing w:after="140" w:line="300"/>
      </w:pPr>
      <w:r>
        <w:t xml:space="preserve">P039 states that Chicago and LA did not reach a 50% total-population reduction “at any modeled coverage level”. Figure 3 covers only 10–50%; the supplementary critical-coverage figure runs to 100% and can support a stronger claim if they still fail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2026-09-09T18:11:39.910Z</dcterms:created>
  <dcterms:modified xsi:type="dcterms:W3CDTF">2026-09-09T18:11:39.927Z</dcterms:modified>
</cp:coreProperties>
</file>

<file path=docProps/custom.xml><?xml version="1.0" encoding="utf-8"?>
<Properties xmlns="http://schemas.openxmlformats.org/officeDocument/2006/custom-properties" xmlns:vt="http://schemas.openxmlformats.org/officeDocument/2006/docPropsVTypes"/>
</file>