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BF4660" w14:textId="77777777" w:rsidR="00C150BB" w:rsidRDefault="00000000">
      <w:pPr>
        <w:spacing w:after="80"/>
        <w:jc w:val="center"/>
      </w:pPr>
      <w:r>
        <w:rPr>
          <w:b/>
          <w:bCs/>
          <w:color w:val="1F3864"/>
          <w:sz w:val="36"/>
          <w:szCs w:val="36"/>
        </w:rPr>
        <w:t>Modeling Doxy-PEP Coverage</w:t>
      </w:r>
    </w:p>
    <w:p w14:paraId="6FFB8D90" w14:textId="77777777" w:rsidR="00C150BB" w:rsidRDefault="00000000">
      <w:pPr>
        <w:spacing w:after="80"/>
        <w:jc w:val="center"/>
      </w:pPr>
      <w:r>
        <w:rPr>
          <w:color w:val="404040"/>
          <w:sz w:val="26"/>
          <w:szCs w:val="26"/>
        </w:rPr>
        <w:t>Math Review and Literature-Based Parameter Estimates</w:t>
      </w:r>
    </w:p>
    <w:p w14:paraId="2072D276" w14:textId="77777777" w:rsidR="00C150BB" w:rsidRDefault="00000000">
      <w:pPr>
        <w:pBdr>
          <w:bottom w:val="single" w:sz="6" w:space="8" w:color="2E75B6"/>
        </w:pBdr>
        <w:spacing w:after="240"/>
        <w:jc w:val="center"/>
      </w:pPr>
      <w:r>
        <w:rPr>
          <w:i/>
          <w:iCs/>
          <w:color w:val="666666"/>
          <w:sz w:val="20"/>
          <w:szCs w:val="20"/>
        </w:rPr>
        <w:t>For US MSM population</w:t>
      </w:r>
    </w:p>
    <w:p w14:paraId="7000CA29" w14:textId="77777777" w:rsidR="00C150BB" w:rsidRDefault="00000000">
      <w:pPr>
        <w:pStyle w:val="Heading1"/>
        <w:spacing w:before="320" w:after="160"/>
      </w:pPr>
      <w:r>
        <w:t>Part 1: Coverage Model Math Review</w:t>
      </w:r>
    </w:p>
    <w:p w14:paraId="69588A2B" w14:textId="77777777" w:rsidR="00C150BB" w:rsidRDefault="00000000">
      <w:pPr>
        <w:pStyle w:val="Heading2"/>
        <w:spacing w:before="320"/>
      </w:pPr>
      <w:r>
        <w:t>Simplified Setup</w:t>
      </w:r>
    </w:p>
    <w:p w14:paraId="04B97675" w14:textId="77777777" w:rsidR="00C150BB" w:rsidRDefault="00000000">
      <w:pPr>
        <w:spacing w:after="120"/>
      </w:pPr>
      <w:r>
        <w:t>Definitions:</w:t>
      </w:r>
    </w:p>
    <w:p w14:paraId="5A020A05" w14:textId="77777777" w:rsidR="00C150BB" w:rsidRDefault="00000000" w:rsidP="005B735D">
      <w:pPr>
        <w:pStyle w:val="ListParagraph"/>
        <w:numPr>
          <w:ilvl w:val="0"/>
          <w:numId w:val="2"/>
        </w:numPr>
        <w:spacing w:after="80"/>
      </w:pPr>
      <w:r w:rsidRPr="005B735D">
        <w:rPr>
          <w:b/>
          <w:bCs/>
        </w:rPr>
        <w:t>C</w:t>
      </w:r>
      <w:r w:rsidRPr="005B735D">
        <w:rPr>
          <w:rFonts w:ascii="Segoe UI Symbol" w:hAnsi="Segoe UI Symbol" w:cs="Segoe UI Symbol"/>
          <w:b/>
          <w:bCs/>
        </w:rPr>
        <w:t>ₜ</w:t>
      </w:r>
      <w:r>
        <w:t xml:space="preserve"> = fraction of population on treatment at time t (coverage)</w:t>
      </w:r>
    </w:p>
    <w:p w14:paraId="1B473F68" w14:textId="77777777" w:rsidR="005B735D" w:rsidRDefault="00000000" w:rsidP="005B735D">
      <w:pPr>
        <w:pStyle w:val="ListParagraph"/>
        <w:numPr>
          <w:ilvl w:val="0"/>
          <w:numId w:val="2"/>
        </w:numPr>
        <w:spacing w:after="80"/>
      </w:pPr>
      <w:r w:rsidRPr="005B735D">
        <w:rPr>
          <w:b/>
          <w:bCs/>
        </w:rPr>
        <w:t xml:space="preserve">u </w:t>
      </w:r>
      <w:r>
        <w:t xml:space="preserve">= fraction of </w:t>
      </w:r>
      <w:r w:rsidR="005B735D">
        <w:t xml:space="preserve">eligible </w:t>
      </w:r>
      <w:r>
        <w:t>population starting treatment per year (annual uptake)</w:t>
      </w:r>
      <w:r w:rsidR="005B735D">
        <w:t xml:space="preserve"> </w:t>
      </w:r>
    </w:p>
    <w:p w14:paraId="1758273D" w14:textId="6E78500A" w:rsidR="005B735D" w:rsidRDefault="00000000" w:rsidP="005B735D">
      <w:pPr>
        <w:pStyle w:val="ListParagraph"/>
        <w:numPr>
          <w:ilvl w:val="0"/>
          <w:numId w:val="2"/>
        </w:numPr>
        <w:spacing w:after="80"/>
      </w:pPr>
      <w:r w:rsidRPr="005B735D">
        <w:rPr>
          <w:b/>
          <w:bCs/>
        </w:rPr>
        <w:t>λ</w:t>
      </w:r>
      <w:r>
        <w:t xml:space="preserve"> = discontinuation </w:t>
      </w:r>
      <w:r w:rsidR="00B35D4A">
        <w:t>proportion</w:t>
      </w:r>
      <w:r>
        <w:t xml:space="preserve"> at 1 year (</w:t>
      </w:r>
      <w:r w:rsidR="005B735D" w:rsidRPr="005B735D">
        <w:t>What fraction of people who started the year on treatment have discontinued by year-end</w:t>
      </w:r>
      <w:r w:rsidR="005B735D">
        <w:t>?</w:t>
      </w:r>
      <w:r>
        <w:t>)</w:t>
      </w:r>
      <w:r w:rsidR="005B735D">
        <w:t xml:space="preserve"> [0-1]</w:t>
      </w:r>
    </w:p>
    <w:p w14:paraId="2BE61A51" w14:textId="77777777" w:rsidR="005B735D" w:rsidRPr="005B735D" w:rsidRDefault="005B735D" w:rsidP="005B735D">
      <w:pPr>
        <w:pStyle w:val="ListParagraph"/>
        <w:numPr>
          <w:ilvl w:val="0"/>
          <w:numId w:val="2"/>
        </w:numPr>
        <w:spacing w:after="80"/>
      </w:pPr>
      <w:r w:rsidRPr="005B735D">
        <w:rPr>
          <w:b/>
          <w:bCs/>
        </w:rPr>
        <w:t xml:space="preserve">P </w:t>
      </w:r>
      <w:r w:rsidRPr="005B735D">
        <w:t>= 1-year persistence (fraction still on treatment at 1 year)</w:t>
      </w:r>
    </w:p>
    <w:p w14:paraId="358C5005" w14:textId="77777777" w:rsidR="005B735D" w:rsidRPr="005B735D" w:rsidRDefault="005B735D" w:rsidP="005B735D">
      <w:pPr>
        <w:pStyle w:val="ListParagraph"/>
        <w:numPr>
          <w:ilvl w:val="0"/>
          <w:numId w:val="2"/>
        </w:numPr>
        <w:spacing w:after="80"/>
      </w:pPr>
      <w:r w:rsidRPr="005B735D">
        <w:rPr>
          <w:b/>
          <w:bCs/>
        </w:rPr>
        <w:t xml:space="preserve">r </w:t>
      </w:r>
      <w:r w:rsidRPr="005B735D">
        <w:t>= continuous-time hazard rate of discontinuation (per year)</w:t>
      </w:r>
    </w:p>
    <w:p w14:paraId="62E6AB4D" w14:textId="77777777" w:rsidR="005B735D" w:rsidRDefault="005B735D" w:rsidP="005B735D">
      <w:pPr>
        <w:spacing w:after="80"/>
      </w:pPr>
    </w:p>
    <w:p w14:paraId="4646A0DC" w14:textId="77777777" w:rsidR="005B735D" w:rsidRDefault="005B735D" w:rsidP="005B735D">
      <w:pPr>
        <w:pStyle w:val="Heading2"/>
        <w:spacing w:before="320"/>
      </w:pPr>
      <w:r>
        <w:t>Converting Between Persistence, λ, and Hazard Rate</w:t>
      </w:r>
    </w:p>
    <w:p w14:paraId="1E95E361" w14:textId="77777777" w:rsidR="005B735D" w:rsidRDefault="005B735D" w:rsidP="005B735D">
      <w:pPr>
        <w:spacing w:after="120"/>
      </w:pPr>
      <w:r>
        <w:t>If discontinuation happens continuously throughout the year at a constant hazard rate r, the probability of still being on treatment at time t follows an exponential survival function:</w:t>
      </w:r>
    </w:p>
    <w:p w14:paraId="7740B057" w14:textId="77777777" w:rsidR="005B735D" w:rsidRDefault="005B735D" w:rsidP="005B735D">
      <w:pPr>
        <w:spacing w:before="140" w:after="140"/>
        <w:jc w:val="center"/>
      </w:pPr>
      <w:r>
        <w:rPr>
          <w:rFonts w:ascii="Cambria Math" w:eastAsia="Cambria Math" w:hAnsi="Cambria Math" w:cs="Cambria Math"/>
          <w:b/>
          <w:bCs/>
          <w:sz w:val="24"/>
          <w:szCs w:val="24"/>
        </w:rPr>
        <w:t>S(t) = exp(−r · t)</w:t>
      </w:r>
    </w:p>
    <w:p w14:paraId="07B9EAFA" w14:textId="43AE6530" w:rsidR="005B735D" w:rsidRDefault="005B735D" w:rsidP="005B735D">
      <w:pPr>
        <w:spacing w:after="120"/>
      </w:pPr>
      <w:r>
        <w:t>At t = 1 year, this gives persistence:</w:t>
      </w:r>
    </w:p>
    <w:p w14:paraId="0278258E" w14:textId="77777777" w:rsidR="005B735D" w:rsidRDefault="005B735D" w:rsidP="005B735D">
      <w:pPr>
        <w:spacing w:before="140" w:after="140"/>
        <w:jc w:val="center"/>
      </w:pPr>
      <w:r>
        <w:rPr>
          <w:rFonts w:ascii="Cambria Math" w:eastAsia="Cambria Math" w:hAnsi="Cambria Math" w:cs="Cambria Math"/>
          <w:b/>
          <w:bCs/>
          <w:sz w:val="24"/>
          <w:szCs w:val="24"/>
        </w:rPr>
        <w:t>P = exp(−r)</w:t>
      </w:r>
    </w:p>
    <w:p w14:paraId="56457CEB" w14:textId="77777777" w:rsidR="005B735D" w:rsidRDefault="005B735D" w:rsidP="005B735D">
      <w:pPr>
        <w:spacing w:before="140" w:after="140"/>
        <w:jc w:val="center"/>
      </w:pPr>
      <w:r>
        <w:rPr>
          <w:rFonts w:ascii="Cambria Math" w:eastAsia="Cambria Math" w:hAnsi="Cambria Math" w:cs="Cambria Math"/>
          <w:b/>
          <w:bCs/>
          <w:sz w:val="24"/>
          <w:szCs w:val="24"/>
        </w:rPr>
        <w:t>λ_annual = 1 − exp(−r) = 1 − P</w:t>
      </w:r>
    </w:p>
    <w:p w14:paraId="42D63663" w14:textId="77777777" w:rsidR="005B735D" w:rsidRPr="005B735D" w:rsidRDefault="005B735D" w:rsidP="005B735D">
      <w:pPr>
        <w:spacing w:before="140" w:after="140"/>
        <w:jc w:val="center"/>
      </w:pPr>
      <w:r>
        <w:rPr>
          <w:rFonts w:ascii="Cambria Math" w:eastAsia="Cambria Math" w:hAnsi="Cambria Math" w:cs="Cambria Math"/>
          <w:b/>
          <w:bCs/>
          <w:sz w:val="24"/>
          <w:szCs w:val="24"/>
        </w:rPr>
        <w:t>r = −ln(P)</w:t>
      </w:r>
    </w:p>
    <w:p w14:paraId="2EF15DD7" w14:textId="77777777" w:rsidR="005B735D" w:rsidRDefault="005B735D" w:rsidP="005B735D">
      <w:pPr>
        <w:pStyle w:val="Heading2"/>
        <w:spacing w:before="320"/>
      </w:pPr>
      <w:r>
        <w:t>Why Discrete λ and Continuous r Are Not Interchangeable</w:t>
      </w:r>
    </w:p>
    <w:p w14:paraId="7CA9CDD4" w14:textId="77777777" w:rsidR="005B735D" w:rsidRDefault="005B735D" w:rsidP="005B735D">
      <w:pPr>
        <w:spacing w:after="120"/>
      </w:pPr>
      <w:r>
        <w:t>At P = 0.28:</w:t>
      </w:r>
    </w:p>
    <w:p w14:paraId="194A3E38" w14:textId="77777777" w:rsidR="005B735D" w:rsidRDefault="005B735D" w:rsidP="005B735D">
      <w:pPr>
        <w:spacing w:after="80"/>
        <w:ind w:left="360" w:hanging="200"/>
      </w:pPr>
      <w:r>
        <w:t>•  λ_annual = 1 − P = 0.72 (annual probability)</w:t>
      </w:r>
    </w:p>
    <w:p w14:paraId="5041BC17" w14:textId="77777777" w:rsidR="005B735D" w:rsidRDefault="005B735D" w:rsidP="005B735D">
      <w:pPr>
        <w:spacing w:after="80"/>
        <w:ind w:left="360" w:hanging="200"/>
      </w:pPr>
      <w:r>
        <w:t>•  r = −ln(0.28) = 1.27 per year (continuous hazard)</w:t>
      </w:r>
    </w:p>
    <w:p w14:paraId="04D99EB8" w14:textId="77777777" w:rsidR="005B735D" w:rsidRDefault="005B735D" w:rsidP="005B735D">
      <w:pPr>
        <w:spacing w:after="120"/>
      </w:pPr>
      <w:r>
        <w:t>These describe the same underlying process but on different scales:</w:t>
      </w:r>
    </w:p>
    <w:p w14:paraId="2BAA9C96" w14:textId="77777777" w:rsidR="005B735D" w:rsidRDefault="005B735D" w:rsidP="005B735D">
      <w:pPr>
        <w:spacing w:after="80"/>
        <w:ind w:left="360" w:hanging="200"/>
      </w:pPr>
      <w:r>
        <w:t>•  λ_annual is a cumulative probability over a 1-year interval, bounded between 0 and 1</w:t>
      </w:r>
    </w:p>
    <w:p w14:paraId="4B45F29E" w14:textId="77777777" w:rsidR="005B735D" w:rsidRDefault="005B735D" w:rsidP="005B735D">
      <w:pPr>
        <w:spacing w:after="80"/>
        <w:ind w:left="360" w:hanging="200"/>
      </w:pPr>
      <w:r>
        <w:t xml:space="preserve">•  r is an instantaneous rate (of exponential distribution) that can exceed 1  </w:t>
      </w:r>
    </w:p>
    <w:p w14:paraId="55798637" w14:textId="77777777" w:rsidR="005B735D" w:rsidRDefault="005B735D" w:rsidP="005B735D">
      <w:pPr>
        <w:spacing w:after="120"/>
        <w:rPr>
          <w:b/>
          <w:bCs/>
        </w:rPr>
      </w:pPr>
      <w:r>
        <w:rPr>
          <w:b/>
          <w:bCs/>
        </w:rPr>
        <w:t xml:space="preserve">For a continuous-time compartmental model, we should use r. </w:t>
      </w:r>
    </w:p>
    <w:p w14:paraId="321EDE9F" w14:textId="77777777" w:rsidR="005B735D" w:rsidRPr="005B735D" w:rsidRDefault="005B735D" w:rsidP="005B735D">
      <w:pPr>
        <w:spacing w:after="120"/>
      </w:pPr>
      <w:r w:rsidRPr="005B735D">
        <w:br w:type="page"/>
      </w:r>
    </w:p>
    <w:p w14:paraId="654F5027" w14:textId="77777777" w:rsidR="005B735D" w:rsidRDefault="005B735D" w:rsidP="005B735D">
      <w:pPr>
        <w:pStyle w:val="Heading2"/>
        <w:spacing w:before="320"/>
      </w:pPr>
      <w:r>
        <w:lastRenderedPageBreak/>
        <w:t>The Compartmental Model (Continuous Time)</w:t>
      </w:r>
    </w:p>
    <w:p w14:paraId="2EC2D291" w14:textId="77777777" w:rsidR="005B735D" w:rsidRPr="005B735D" w:rsidRDefault="005B735D" w:rsidP="005B735D">
      <w:pPr>
        <w:spacing w:after="80"/>
      </w:pPr>
      <w:r w:rsidRPr="005B735D">
        <w:t>In a continuous-time ODE, the discontinuation flow is modeled as a first-order rate:</w:t>
      </w:r>
    </w:p>
    <w:p w14:paraId="0314DBD2" w14:textId="77777777" w:rsidR="005B735D" w:rsidRDefault="00000000" w:rsidP="005B735D">
      <w:pPr>
        <w:spacing w:after="80"/>
        <w:rPr>
          <w:lang w:bidi="fa-IR"/>
        </w:rPr>
      </w:pPr>
      <m:oMathPara>
        <m:oMath>
          <m:f>
            <m:fPr>
              <m:ctrlPr>
                <w:rPr>
                  <w:rFonts w:ascii="Cambria Math" w:hAnsi="Cambria Math"/>
                </w:rPr>
              </m:ctrlPr>
            </m:fPr>
            <m:num>
              <m:r>
                <w:rPr>
                  <w:rFonts w:ascii="Cambria Math" w:hAnsi="Cambria Math"/>
                </w:rPr>
                <m:t>dC</m:t>
              </m:r>
            </m:num>
            <m:den>
              <m:r>
                <w:rPr>
                  <w:rFonts w:ascii="Cambria Math" w:hAnsi="Cambria Math"/>
                </w:rPr>
                <m:t>dt</m:t>
              </m:r>
            </m:den>
          </m:f>
          <m:r>
            <w:rPr>
              <w:rFonts w:ascii="Cambria Math" w:hAnsi="Cambria Math"/>
            </w:rPr>
            <m:t>=u_ODE-r⋅C</m:t>
          </m:r>
        </m:oMath>
      </m:oMathPara>
    </w:p>
    <w:p w14:paraId="5CDE7902" w14:textId="77777777" w:rsidR="005B735D" w:rsidRDefault="005B735D" w:rsidP="005B735D">
      <w:pPr>
        <w:spacing w:after="80"/>
      </w:pPr>
    </w:p>
    <w:p w14:paraId="5DD52BD3" w14:textId="77777777" w:rsidR="005B735D" w:rsidRPr="005B735D" w:rsidRDefault="005B735D" w:rsidP="005B735D">
      <w:pPr>
        <w:spacing w:after="80"/>
      </w:pPr>
      <w:r w:rsidRPr="005B735D">
        <w:t>where:</w:t>
      </w:r>
    </w:p>
    <w:p w14:paraId="55FF1F48" w14:textId="3B11386D" w:rsidR="005B735D" w:rsidRDefault="005B735D" w:rsidP="005B735D">
      <w:pPr>
        <w:spacing w:after="80"/>
        <w:ind w:left="360" w:hanging="200"/>
      </w:pPr>
      <w:r>
        <w:t xml:space="preserve">•  u_ODE = </w:t>
      </w:r>
      <w:r w:rsidR="002743F9">
        <w:t>uptake</w:t>
      </w:r>
      <w:r>
        <w:t xml:space="preserve"> rate (new starters per unit time, as fraction of N_elig)</w:t>
      </w:r>
    </w:p>
    <w:p w14:paraId="376000FF" w14:textId="77777777" w:rsidR="005B735D" w:rsidRDefault="005B735D" w:rsidP="005B735D">
      <w:pPr>
        <w:spacing w:after="80"/>
        <w:ind w:left="360" w:hanging="200"/>
      </w:pPr>
      <w:r>
        <w:t>•  r = continuous discontinuation hazard (per year)</w:t>
      </w:r>
    </w:p>
    <w:p w14:paraId="7913096E" w14:textId="77777777" w:rsidR="005B735D" w:rsidRDefault="005B735D" w:rsidP="005B735D">
      <w:pPr>
        <w:spacing w:after="80"/>
        <w:ind w:left="360" w:hanging="200"/>
      </w:pPr>
      <w:r>
        <w:t>•  r · C = rate of people leaving the compartment at any instant</w:t>
      </w:r>
    </w:p>
    <w:p w14:paraId="6A5DB626" w14:textId="77777777" w:rsidR="005B735D" w:rsidRDefault="005B735D" w:rsidP="005B735D">
      <w:pPr>
        <w:spacing w:after="80"/>
        <w:rPr>
          <w:b/>
          <w:bCs/>
        </w:rPr>
      </w:pPr>
    </w:p>
    <w:p w14:paraId="2821ACF1" w14:textId="77777777" w:rsidR="005B735D" w:rsidRPr="005B735D" w:rsidRDefault="005B735D" w:rsidP="005B735D">
      <w:pPr>
        <w:spacing w:after="120"/>
      </w:pPr>
      <w:r w:rsidRPr="005B735D">
        <w:rPr>
          <w:b/>
          <w:bCs/>
        </w:rPr>
        <w:t>Important</w:t>
      </w:r>
      <w:r w:rsidRPr="005B735D">
        <w:t xml:space="preserve">: u_ODE represents only </w:t>
      </w:r>
      <w:r w:rsidRPr="005B735D">
        <w:rPr>
          <w:u w:val="single"/>
        </w:rPr>
        <w:t>new initiations</w:t>
      </w:r>
      <w:r w:rsidRPr="005B735D">
        <w:t>, not total prescription fills. A person already on doxy who refills does not re-enter the compartment</w:t>
      </w:r>
      <w:r>
        <w:t>,</w:t>
      </w:r>
      <w:r w:rsidRPr="005B735D">
        <w:t xml:space="preserve"> they are already in it.</w:t>
      </w:r>
    </w:p>
    <w:p w14:paraId="2EF46AED" w14:textId="77777777" w:rsidR="005B735D" w:rsidRDefault="005B735D" w:rsidP="005B735D">
      <w:pPr>
        <w:spacing w:after="80"/>
        <w:rPr>
          <w:b/>
          <w:bCs/>
        </w:rPr>
      </w:pPr>
    </w:p>
    <w:p w14:paraId="71B6C39C" w14:textId="77777777" w:rsidR="005B735D" w:rsidRDefault="005B735D" w:rsidP="005B735D">
      <w:pPr>
        <w:pStyle w:val="Heading2"/>
        <w:spacing w:before="320"/>
      </w:pPr>
      <w:r>
        <w:t>Steady State (Continuous Time)</w:t>
      </w:r>
    </w:p>
    <w:p w14:paraId="0B7B3CC0" w14:textId="77777777" w:rsidR="005B735D" w:rsidRDefault="005B735D" w:rsidP="005B735D">
      <w:pPr>
        <w:spacing w:after="120"/>
      </w:pPr>
      <w:r>
        <w:t>Setting dC/dt = 0:</w:t>
      </w:r>
    </w:p>
    <w:p w14:paraId="11D635A5" w14:textId="77777777" w:rsidR="005B735D" w:rsidRDefault="005B735D" w:rsidP="005B735D">
      <w:pPr>
        <w:spacing w:before="140" w:after="140"/>
        <w:jc w:val="center"/>
      </w:pPr>
      <w:r>
        <w:rPr>
          <w:rFonts w:ascii="Cambria Math" w:eastAsia="Cambria Math" w:hAnsi="Cambria Math" w:cs="Cambria Math"/>
          <w:sz w:val="24"/>
          <w:szCs w:val="24"/>
        </w:rPr>
        <w:t>0 = u_ODE − r · C*</w:t>
      </w:r>
    </w:p>
    <w:p w14:paraId="5E029724" w14:textId="3222606C" w:rsidR="0015092C" w:rsidRDefault="005B735D" w:rsidP="0015092C">
      <w:pPr>
        <w:spacing w:before="140" w:after="140"/>
        <w:jc w:val="center"/>
        <w:rPr>
          <w:rFonts w:ascii="Cambria Math" w:eastAsia="Cambria Math" w:hAnsi="Cambria Math" w:cs="Cambria Math"/>
          <w:b/>
          <w:bCs/>
          <w:sz w:val="24"/>
          <w:szCs w:val="24"/>
        </w:rPr>
      </w:pPr>
      <w:r>
        <w:rPr>
          <w:rFonts w:ascii="Cambria Math" w:eastAsia="Cambria Math" w:hAnsi="Cambria Math" w:cs="Cambria Math"/>
          <w:b/>
          <w:bCs/>
          <w:sz w:val="24"/>
          <w:szCs w:val="24"/>
        </w:rPr>
        <w:t>C* = u_ODE / r</w:t>
      </w:r>
    </w:p>
    <w:p w14:paraId="0A8E60C9" w14:textId="77777777" w:rsidR="0016702A" w:rsidRDefault="0016702A" w:rsidP="0015092C">
      <w:pPr>
        <w:spacing w:before="140" w:after="140"/>
        <w:jc w:val="center"/>
        <w:rPr>
          <w:rFonts w:ascii="Cambria Math" w:eastAsia="Cambria Math" w:hAnsi="Cambria Math" w:cs="Cambria Math"/>
          <w:b/>
          <w:bCs/>
          <w:sz w:val="24"/>
          <w:szCs w:val="24"/>
        </w:rPr>
      </w:pPr>
    </w:p>
    <w:p w14:paraId="1D48E3B2" w14:textId="77B58A7A" w:rsidR="0015092C" w:rsidRPr="0016702A" w:rsidRDefault="0015092C" w:rsidP="0015092C">
      <w:pPr>
        <w:spacing w:before="140" w:after="140"/>
        <w:jc w:val="center"/>
        <w:rPr>
          <w:color w:val="C00000"/>
        </w:rPr>
      </w:pPr>
      <w:r w:rsidRPr="0016702A">
        <w:rPr>
          <w:rFonts w:ascii="Cambria Math" w:eastAsia="Cambria Math" w:hAnsi="Cambria Math" w:cs="Cambria Math"/>
          <w:b/>
          <w:bCs/>
          <w:color w:val="C00000"/>
          <w:sz w:val="24"/>
          <w:szCs w:val="24"/>
        </w:rPr>
        <w:t xml:space="preserve">Limitation: the main </w:t>
      </w:r>
      <w:r w:rsidR="00381E84" w:rsidRPr="0016702A">
        <w:rPr>
          <w:rFonts w:ascii="Cambria Math" w:eastAsia="Cambria Math" w:hAnsi="Cambria Math" w:cs="Cambria Math"/>
          <w:b/>
          <w:bCs/>
          <w:color w:val="C00000"/>
          <w:sz w:val="24"/>
          <w:szCs w:val="24"/>
        </w:rPr>
        <w:t>limitation with this approach is that u_ODE assumed that uptake happens among individuals not on Doxy(who are outside of our compartment) where in reality someone who have received Doxy last year can receive it again this year as well</w:t>
      </w:r>
      <w:r w:rsidR="0016702A" w:rsidRPr="0016702A">
        <w:rPr>
          <w:rFonts w:ascii="Cambria Math" w:eastAsia="Cambria Math" w:hAnsi="Cambria Math" w:cs="Cambria Math"/>
          <w:b/>
          <w:bCs/>
          <w:color w:val="C00000"/>
          <w:sz w:val="24"/>
          <w:szCs w:val="24"/>
        </w:rPr>
        <w:t>, and because we cannot track individuals overtime, our best estimates lie on pharmacy records for number of people who are filling your prescription in a year, and we cannot distinguish who is a new initiators and who has been on Doxy in the last year</w:t>
      </w:r>
    </w:p>
    <w:p w14:paraId="2E3EBB8F" w14:textId="707545C5" w:rsidR="00C150BB" w:rsidRPr="002743F9" w:rsidRDefault="005B735D">
      <w:pPr>
        <w:pStyle w:val="Heading2"/>
        <w:spacing w:before="320"/>
        <w:rPr>
          <w:i/>
          <w:iCs/>
          <w:strike/>
          <w:highlight w:val="lightGray"/>
        </w:rPr>
      </w:pPr>
      <w:r w:rsidRPr="002743F9">
        <w:rPr>
          <w:i/>
          <w:iCs/>
          <w:strike/>
          <w:highlight w:val="lightGray"/>
        </w:rPr>
        <w:t>If we use a Discrete-Time Model (annual time step)</w:t>
      </w:r>
    </w:p>
    <w:p w14:paraId="37AE2C4D" w14:textId="77777777" w:rsidR="00C150BB" w:rsidRPr="002743F9" w:rsidRDefault="00000000">
      <w:pPr>
        <w:spacing w:after="120"/>
        <w:rPr>
          <w:i/>
          <w:iCs/>
          <w:strike/>
          <w:highlight w:val="lightGray"/>
        </w:rPr>
      </w:pPr>
      <w:r w:rsidRPr="002743F9">
        <w:rPr>
          <w:i/>
          <w:iCs/>
          <w:strike/>
          <w:highlight w:val="lightGray"/>
        </w:rPr>
        <w:t>Each year, a fraction u initiates treatment, and a fraction (1−λ) of current users persists:</w:t>
      </w:r>
    </w:p>
    <w:p w14:paraId="2FE64729" w14:textId="77777777" w:rsidR="00C150BB" w:rsidRPr="002743F9" w:rsidRDefault="00000000">
      <w:pPr>
        <w:spacing w:before="120" w:after="120"/>
        <w:ind w:left="360"/>
        <w:jc w:val="center"/>
        <w:rPr>
          <w:i/>
          <w:iCs/>
          <w:strike/>
          <w:highlight w:val="lightGray"/>
        </w:rPr>
      </w:pPr>
      <w:r w:rsidRPr="002743F9">
        <w:rPr>
          <w:rFonts w:ascii="Cambria Math" w:eastAsia="Cambria Math" w:hAnsi="Cambria Math" w:cs="Cambria Math"/>
          <w:b/>
          <w:bCs/>
          <w:i/>
          <w:iCs/>
          <w:strike/>
          <w:sz w:val="24"/>
          <w:szCs w:val="24"/>
          <w:highlight w:val="lightGray"/>
        </w:rPr>
        <w:t>Cₜ₊₁ = u + (1 − λ) · Cₜ</w:t>
      </w:r>
    </w:p>
    <w:p w14:paraId="3044CAC9" w14:textId="77777777" w:rsidR="00C150BB" w:rsidRPr="002743F9" w:rsidRDefault="00000000" w:rsidP="005B735D">
      <w:pPr>
        <w:spacing w:after="120"/>
        <w:rPr>
          <w:i/>
          <w:iCs/>
          <w:strike/>
          <w:highlight w:val="lightGray"/>
        </w:rPr>
      </w:pPr>
      <w:r w:rsidRPr="002743F9">
        <w:rPr>
          <w:i/>
          <w:iCs/>
          <w:strike/>
          <w:highlight w:val="lightGray"/>
        </w:rPr>
        <w:t>At steady state, Cₜ₊₁ = Cₜ = C*:</w:t>
      </w:r>
      <w:r w:rsidR="005B735D" w:rsidRPr="002743F9">
        <w:rPr>
          <w:i/>
          <w:iCs/>
          <w:strike/>
          <w:highlight w:val="lightGray"/>
        </w:rPr>
        <w:t xml:space="preserve"> </w:t>
      </w:r>
      <w:r w:rsidRPr="002743F9">
        <w:rPr>
          <w:rFonts w:ascii="Cambria Math" w:eastAsia="Cambria Math" w:hAnsi="Cambria Math" w:cs="Cambria Math"/>
          <w:b/>
          <w:bCs/>
          <w:i/>
          <w:iCs/>
          <w:strike/>
          <w:sz w:val="24"/>
          <w:szCs w:val="24"/>
          <w:highlight w:val="lightGray"/>
        </w:rPr>
        <w:t>C* = u / λ</w:t>
      </w:r>
    </w:p>
    <w:p w14:paraId="5A244128" w14:textId="77777777" w:rsidR="005B735D" w:rsidRPr="002743F9" w:rsidRDefault="005B735D" w:rsidP="005B735D">
      <w:pPr>
        <w:spacing w:after="120"/>
        <w:rPr>
          <w:i/>
          <w:iCs/>
          <w:strike/>
          <w:highlight w:val="lightGray"/>
        </w:rPr>
      </w:pPr>
      <w:r w:rsidRPr="002743F9">
        <w:rPr>
          <w:i/>
          <w:iCs/>
          <w:strike/>
          <w:highlight w:val="lightGray"/>
        </w:rPr>
        <w:t>These give numerically different answers, because they describe different underlying processes:</w:t>
      </w:r>
    </w:p>
    <w:p w14:paraId="3BE487F4" w14:textId="77777777" w:rsidR="005B735D" w:rsidRPr="002743F9" w:rsidRDefault="005B735D" w:rsidP="005B735D">
      <w:pPr>
        <w:spacing w:after="80"/>
        <w:ind w:left="360" w:hanging="200"/>
        <w:rPr>
          <w:i/>
          <w:iCs/>
          <w:strike/>
          <w:highlight w:val="lightGray"/>
        </w:rPr>
      </w:pPr>
      <w:r w:rsidRPr="002743F9">
        <w:rPr>
          <w:i/>
          <w:iCs/>
          <w:strike/>
          <w:highlight w:val="lightGray"/>
        </w:rPr>
        <w:t>•  Discrete: discontinuations occur only at year boundaries</w:t>
      </w:r>
    </w:p>
    <w:p w14:paraId="49406F1C" w14:textId="77777777" w:rsidR="005B735D" w:rsidRPr="002743F9" w:rsidRDefault="005B735D" w:rsidP="005B735D">
      <w:pPr>
        <w:spacing w:after="80"/>
        <w:ind w:left="360" w:hanging="200"/>
        <w:rPr>
          <w:i/>
          <w:iCs/>
          <w:strike/>
          <w:highlight w:val="lightGray"/>
        </w:rPr>
      </w:pPr>
      <w:r w:rsidRPr="002743F9">
        <w:rPr>
          <w:i/>
          <w:iCs/>
          <w:strike/>
          <w:highlight w:val="lightGray"/>
        </w:rPr>
        <w:t>•  Continuous: discontinuations occur continuously throughout the year</w:t>
      </w:r>
    </w:p>
    <w:p w14:paraId="47F36C59" w14:textId="77777777" w:rsidR="005B735D" w:rsidRPr="002743F9" w:rsidRDefault="005B735D" w:rsidP="005B735D">
      <w:pPr>
        <w:spacing w:after="120"/>
        <w:rPr>
          <w:i/>
          <w:iCs/>
          <w:strike/>
          <w:highlight w:val="lightGray"/>
        </w:rPr>
      </w:pPr>
      <w:r w:rsidRPr="002743F9">
        <w:rPr>
          <w:i/>
          <w:iCs/>
          <w:strike/>
          <w:highlight w:val="lightGray"/>
        </w:rPr>
        <w:t>At P = 0.28:</w:t>
      </w:r>
    </w:p>
    <w:p w14:paraId="609070BD" w14:textId="77777777" w:rsidR="005B735D" w:rsidRPr="002743F9" w:rsidRDefault="005B735D" w:rsidP="005B735D">
      <w:pPr>
        <w:spacing w:after="80"/>
        <w:ind w:left="360" w:hanging="200"/>
        <w:rPr>
          <w:i/>
          <w:iCs/>
          <w:strike/>
          <w:highlight w:val="lightGray"/>
        </w:rPr>
      </w:pPr>
      <w:r w:rsidRPr="002743F9">
        <w:rPr>
          <w:i/>
          <w:iCs/>
          <w:strike/>
          <w:highlight w:val="lightGray"/>
        </w:rPr>
        <w:t>•  Discrete: C*/u = 1/0.72 = 1.39</w:t>
      </w:r>
    </w:p>
    <w:p w14:paraId="2041FDC5" w14:textId="77777777" w:rsidR="005B735D" w:rsidRPr="002743F9" w:rsidRDefault="005B735D" w:rsidP="005B735D">
      <w:pPr>
        <w:spacing w:after="80"/>
        <w:ind w:left="360" w:hanging="200"/>
        <w:rPr>
          <w:i/>
          <w:iCs/>
          <w:strike/>
        </w:rPr>
      </w:pPr>
      <w:r w:rsidRPr="002743F9">
        <w:rPr>
          <w:i/>
          <w:iCs/>
          <w:strike/>
          <w:highlight w:val="lightGray"/>
        </w:rPr>
        <w:t>•  Continuous: C*/u = 1/1.27 = 0.79</w:t>
      </w:r>
    </w:p>
    <w:p w14:paraId="0EF4D4D5" w14:textId="4970188F" w:rsidR="005B735D" w:rsidRPr="002743F9" w:rsidRDefault="0015092C" w:rsidP="005B735D">
      <w:pPr>
        <w:rPr>
          <w:strike/>
        </w:rPr>
      </w:pPr>
      <w:r w:rsidRPr="002743F9">
        <w:rPr>
          <w:i/>
          <w:iCs/>
          <w:strike/>
          <w:highlight w:val="lightGray"/>
        </w:rPr>
        <w:t>This is why we need to use a continues model</w:t>
      </w:r>
      <w:r w:rsidRPr="002743F9">
        <w:rPr>
          <w:i/>
          <w:iCs/>
          <w:strike/>
        </w:rPr>
        <w:t xml:space="preserve">. </w:t>
      </w:r>
    </w:p>
    <w:p w14:paraId="0FF0B5A6" w14:textId="77777777" w:rsidR="005B735D" w:rsidRPr="002743F9" w:rsidRDefault="005B735D" w:rsidP="005B735D">
      <w:pPr>
        <w:rPr>
          <w:strike/>
        </w:rPr>
      </w:pPr>
    </w:p>
    <w:p w14:paraId="20755216" w14:textId="6173D82D" w:rsidR="005B735D" w:rsidRDefault="005B735D" w:rsidP="005B735D">
      <w:pPr>
        <w:pStyle w:val="Heading1"/>
        <w:spacing w:before="320" w:after="160"/>
      </w:pPr>
      <w:r>
        <w:t xml:space="preserve">Part 2: </w:t>
      </w:r>
      <w:r w:rsidR="00276DED">
        <w:t xml:space="preserve">Revising the definition of uptake </w:t>
      </w:r>
      <w:r>
        <w:t>(Connecting Model to Pharmacy Data from MarketScan)</w:t>
      </w:r>
    </w:p>
    <w:p w14:paraId="02A33AF5" w14:textId="00DDEC26" w:rsidR="002743F9" w:rsidRDefault="005B735D" w:rsidP="00FA0D33">
      <w:pPr>
        <w:spacing w:after="120"/>
      </w:pPr>
      <w:r>
        <w:lastRenderedPageBreak/>
        <w:t xml:space="preserve">Pharmacy data report </w:t>
      </w:r>
      <w:r>
        <w:rPr>
          <w:b/>
          <w:bCs/>
        </w:rPr>
        <w:t>unique users with ≥1 fill in a year</w:t>
      </w:r>
      <w:r>
        <w:t>: period prevalence over a 1-year window. This is different from point-prevalent coverage C*</w:t>
      </w:r>
      <w:r w:rsidR="00FA0D33">
        <w:t>:</w:t>
      </w:r>
    </w:p>
    <w:p w14:paraId="054E2AEF" w14:textId="77777777" w:rsidR="00FA0D33" w:rsidRPr="002743F9" w:rsidRDefault="00FA0D33" w:rsidP="00FA0D33">
      <w:pPr>
        <w:spacing w:after="120"/>
        <w:rPr>
          <w:rFonts w:ascii="Times New Roman" w:eastAsia="Times New Roman" w:hAnsi="Times New Roman" w:cs="Times New Roman"/>
          <w:sz w:val="24"/>
          <w:szCs w:val="24"/>
        </w:rPr>
      </w:pPr>
    </w:p>
    <w:tbl>
      <w:tblPr>
        <w:tblStyle w:val="TableGrid"/>
        <w:tblW w:w="0" w:type="auto"/>
        <w:jc w:val="center"/>
        <w:tblLook w:val="04A0" w:firstRow="1" w:lastRow="0" w:firstColumn="1" w:lastColumn="0" w:noHBand="0" w:noVBand="1"/>
      </w:tblPr>
      <w:tblGrid>
        <w:gridCol w:w="1036"/>
        <w:gridCol w:w="3786"/>
        <w:gridCol w:w="999"/>
      </w:tblGrid>
      <w:tr w:rsidR="002743F9" w:rsidRPr="002743F9" w14:paraId="5529BE56" w14:textId="77777777" w:rsidTr="002743F9">
        <w:trPr>
          <w:jc w:val="center"/>
        </w:trPr>
        <w:tc>
          <w:tcPr>
            <w:tcW w:w="0" w:type="auto"/>
            <w:hideMark/>
          </w:tcPr>
          <w:p w14:paraId="4B19780F" w14:textId="77777777" w:rsidR="002743F9" w:rsidRPr="002743F9" w:rsidRDefault="002743F9" w:rsidP="002743F9">
            <w:r w:rsidRPr="002743F9">
              <w:t>Quantity</w:t>
            </w:r>
          </w:p>
        </w:tc>
        <w:tc>
          <w:tcPr>
            <w:tcW w:w="0" w:type="auto"/>
            <w:hideMark/>
          </w:tcPr>
          <w:p w14:paraId="2B1FB3FD" w14:textId="77777777" w:rsidR="002743F9" w:rsidRPr="002743F9" w:rsidRDefault="002743F9" w:rsidP="002743F9">
            <w:r w:rsidRPr="002743F9">
              <w:t>Definition</w:t>
            </w:r>
          </w:p>
        </w:tc>
        <w:tc>
          <w:tcPr>
            <w:tcW w:w="0" w:type="auto"/>
            <w:hideMark/>
          </w:tcPr>
          <w:p w14:paraId="7A48C7E6" w14:textId="77777777" w:rsidR="002743F9" w:rsidRPr="002743F9" w:rsidRDefault="002743F9" w:rsidP="002743F9">
            <w:r w:rsidRPr="002743F9">
              <w:t>Window</w:t>
            </w:r>
          </w:p>
        </w:tc>
      </w:tr>
      <w:tr w:rsidR="002743F9" w:rsidRPr="002743F9" w14:paraId="56F6BA4F" w14:textId="77777777" w:rsidTr="002743F9">
        <w:trPr>
          <w:jc w:val="center"/>
        </w:trPr>
        <w:tc>
          <w:tcPr>
            <w:tcW w:w="0" w:type="auto"/>
            <w:hideMark/>
          </w:tcPr>
          <w:p w14:paraId="3D77C5C7" w14:textId="77777777" w:rsidR="002743F9" w:rsidRPr="002743F9" w:rsidRDefault="002743F9" w:rsidP="002743F9">
            <w:r w:rsidRPr="002743F9">
              <w:rPr>
                <w:i/>
                <w:iCs/>
              </w:rPr>
              <w:t>C</w:t>
            </w:r>
            <w:r w:rsidRPr="002743F9">
              <w:t>*</w:t>
            </w:r>
          </w:p>
        </w:tc>
        <w:tc>
          <w:tcPr>
            <w:tcW w:w="0" w:type="auto"/>
            <w:hideMark/>
          </w:tcPr>
          <w:p w14:paraId="36EB49A5" w14:textId="77777777" w:rsidR="002743F9" w:rsidRPr="002743F9" w:rsidRDefault="002743F9" w:rsidP="002743F9">
            <w:r w:rsidRPr="002743F9">
              <w:t>Proportion on doxy at any instant</w:t>
            </w:r>
          </w:p>
        </w:tc>
        <w:tc>
          <w:tcPr>
            <w:tcW w:w="0" w:type="auto"/>
            <w:hideMark/>
          </w:tcPr>
          <w:p w14:paraId="7B751D6C" w14:textId="77777777" w:rsidR="002743F9" w:rsidRPr="002743F9" w:rsidRDefault="002743F9" w:rsidP="002743F9">
            <w:r w:rsidRPr="002743F9">
              <w:t>Point</w:t>
            </w:r>
          </w:p>
        </w:tc>
      </w:tr>
      <w:tr w:rsidR="002743F9" w:rsidRPr="002743F9" w14:paraId="4FAAFA5C" w14:textId="77777777" w:rsidTr="002743F9">
        <w:trPr>
          <w:jc w:val="center"/>
        </w:trPr>
        <w:tc>
          <w:tcPr>
            <w:tcW w:w="0" w:type="auto"/>
            <w:hideMark/>
          </w:tcPr>
          <w:p w14:paraId="52564F20" w14:textId="77777777" w:rsidR="002743F9" w:rsidRPr="002743F9" w:rsidRDefault="002743F9" w:rsidP="002743F9">
            <w:r w:rsidRPr="002743F9">
              <w:rPr>
                <w:i/>
                <w:iCs/>
              </w:rPr>
              <w:t>u_C</w:t>
            </w:r>
          </w:p>
        </w:tc>
        <w:tc>
          <w:tcPr>
            <w:tcW w:w="0" w:type="auto"/>
            <w:hideMark/>
          </w:tcPr>
          <w:p w14:paraId="54266414" w14:textId="77777777" w:rsidR="002743F9" w:rsidRPr="002743F9" w:rsidRDefault="002743F9" w:rsidP="002743F9">
            <w:r w:rsidRPr="002743F9">
              <w:t>Proportion with ≥1 fill during the year</w:t>
            </w:r>
          </w:p>
        </w:tc>
        <w:tc>
          <w:tcPr>
            <w:tcW w:w="0" w:type="auto"/>
            <w:hideMark/>
          </w:tcPr>
          <w:p w14:paraId="5FDA2ADB" w14:textId="77777777" w:rsidR="002743F9" w:rsidRPr="002743F9" w:rsidRDefault="002743F9" w:rsidP="002743F9">
            <w:r w:rsidRPr="002743F9">
              <w:t>1 year</w:t>
            </w:r>
          </w:p>
        </w:tc>
      </w:tr>
    </w:tbl>
    <w:p w14:paraId="7BA577FC" w14:textId="77777777" w:rsidR="002743F9" w:rsidRPr="002743F9" w:rsidRDefault="002743F9" w:rsidP="002743F9"/>
    <w:p w14:paraId="6AAE0F22" w14:textId="68729D31" w:rsidR="00FA0D33" w:rsidRDefault="002743F9" w:rsidP="00FA0D33">
      <w:pPr>
        <w:spacing w:after="120"/>
      </w:pPr>
      <w:r w:rsidRPr="002743F9">
        <w:t xml:space="preserve">u_C &gt; C* always, because the year-long window catches people who were on doxy for only part of it. Claims data can only give </w:t>
      </w:r>
      <w:r>
        <w:t>us</w:t>
      </w:r>
      <w:r w:rsidRPr="002743F9">
        <w:t xml:space="preserve"> u_C; </w:t>
      </w:r>
      <w:r>
        <w:t>but the</w:t>
      </w:r>
      <w:r w:rsidRPr="002743F9">
        <w:t xml:space="preserve"> model compartment is C*.</w:t>
      </w:r>
      <w:r w:rsidR="00FA0D33">
        <w:t xml:space="preserve"> </w:t>
      </w:r>
      <w:r>
        <w:t xml:space="preserve">The goal is to derive C* based on u_C and </w:t>
      </w:r>
      <w:r w:rsidR="00FA0D33">
        <w:t xml:space="preserve">P, where P is the proportion of those who use Doxy in a given year and report a still using it after a year (remained on it during the year – persistence). </w:t>
      </w:r>
    </w:p>
    <w:p w14:paraId="0B87246C" w14:textId="77777777" w:rsidR="00FA0D33" w:rsidRDefault="00FA0D33" w:rsidP="00FA0D33">
      <w:pPr>
        <w:spacing w:after="120"/>
      </w:pPr>
    </w:p>
    <w:p w14:paraId="6CD0DC34" w14:textId="1A8D0A87" w:rsidR="005B735D" w:rsidRDefault="00FA0D33" w:rsidP="002743F9">
      <w:pPr>
        <w:spacing w:after="120"/>
      </w:pPr>
      <w:r>
        <w:t xml:space="preserve">Step1 - </w:t>
      </w:r>
      <w:r w:rsidR="005B735D">
        <w:t xml:space="preserve">In a </w:t>
      </w:r>
      <w:r>
        <w:t xml:space="preserve">given </w:t>
      </w:r>
      <w:r w:rsidR="005B735D">
        <w:t xml:space="preserve">year, anyone who appears in pharmacy data </w:t>
      </w:r>
      <w:r w:rsidR="002743F9">
        <w:t xml:space="preserve">(u_C) </w:t>
      </w:r>
      <w:r w:rsidR="005B735D">
        <w:t>falls into exactly one of two groups:</w:t>
      </w:r>
    </w:p>
    <w:p w14:paraId="444FFC58" w14:textId="5F6CBB52" w:rsidR="002743F9" w:rsidRDefault="005B735D" w:rsidP="005B735D">
      <w:pPr>
        <w:pStyle w:val="ListParagraph"/>
        <w:numPr>
          <w:ilvl w:val="0"/>
          <w:numId w:val="12"/>
        </w:numPr>
        <w:spacing w:after="80"/>
        <w:ind w:left="360" w:hanging="200"/>
      </w:pPr>
      <w:r>
        <w:t>Already on doxy at the start of the year (</w:t>
      </w:r>
      <w:r w:rsidR="002743F9">
        <w:t>on Jan 1</w:t>
      </w:r>
      <w:r w:rsidR="002743F9" w:rsidRPr="002743F9">
        <w:rPr>
          <w:vertAlign w:val="superscript"/>
        </w:rPr>
        <w:t>st</w:t>
      </w:r>
      <w:r w:rsidR="002743F9">
        <w:t xml:space="preserve">): </w:t>
      </w:r>
      <w:r w:rsidR="002743F9" w:rsidRPr="002743F9">
        <w:t>Point prevalence at the start of the year. Assumed to fill at least once during the year</w:t>
      </w:r>
      <w:r w:rsidR="002743F9">
        <w:t xml:space="preserve"> (C*)</w:t>
      </w:r>
    </w:p>
    <w:p w14:paraId="0A26CC1A" w14:textId="77777777" w:rsidR="002743F9" w:rsidRDefault="002743F9" w:rsidP="005B735D">
      <w:pPr>
        <w:pStyle w:val="ListParagraph"/>
        <w:numPr>
          <w:ilvl w:val="0"/>
          <w:numId w:val="12"/>
        </w:numPr>
        <w:spacing w:after="80"/>
        <w:ind w:left="360" w:hanging="200"/>
      </w:pPr>
      <w:r>
        <w:t>Not on Doxy on Jan 1</w:t>
      </w:r>
      <w:r w:rsidRPr="002743F9">
        <w:rPr>
          <w:vertAlign w:val="superscript"/>
        </w:rPr>
        <w:t>st</w:t>
      </w:r>
      <w:r>
        <w:t>, but initiated during the year (their first fill is the initiation event)-below</w:t>
      </w:r>
    </w:p>
    <w:p w14:paraId="72427DF1" w14:textId="77777777" w:rsidR="002743F9" w:rsidRDefault="002743F9" w:rsidP="002743F9">
      <w:pPr>
        <w:spacing w:after="120"/>
        <w:jc w:val="center"/>
        <w:rPr>
          <w:rStyle w:val="Emphasis"/>
          <w:b/>
          <w:bCs/>
        </w:rPr>
      </w:pPr>
    </w:p>
    <w:p w14:paraId="672C9975" w14:textId="34463BEF" w:rsidR="002743F9" w:rsidRDefault="00FA0D33" w:rsidP="00FA0D33">
      <w:pPr>
        <w:spacing w:after="120"/>
        <w:jc w:val="center"/>
      </w:pPr>
      <w:r>
        <w:rPr>
          <w:rStyle w:val="Emphasis"/>
        </w:rPr>
        <w:t>u_C</w:t>
      </w:r>
      <w:r>
        <w:t>·</w:t>
      </w:r>
      <w:r>
        <w:rPr>
          <w:rStyle w:val="Emphasis"/>
        </w:rPr>
        <w:t>N</w:t>
      </w:r>
      <w:r>
        <w:t xml:space="preserve"> = (on at 1 Jan) + (initiated during the year)</w:t>
      </w:r>
    </w:p>
    <w:p w14:paraId="49622856" w14:textId="4996F626" w:rsidR="00FA0D33" w:rsidRPr="00FA0D33" w:rsidRDefault="00FA0D33" w:rsidP="00FA0D33">
      <w:r>
        <w:t>S</w:t>
      </w:r>
      <w:r w:rsidRPr="00FA0D33">
        <w:t>tep 2 — On at 1 Jan</w:t>
      </w:r>
    </w:p>
    <w:p w14:paraId="36164583" w14:textId="4B922D12" w:rsidR="00FA0D33" w:rsidRPr="00FA0D33" w:rsidRDefault="00FA0D33" w:rsidP="00FA0D33">
      <w:r w:rsidRPr="00FA0D33">
        <w:t>Point prevalence at the start of the year:</w:t>
      </w:r>
      <w:r>
        <w:t xml:space="preserve"> </w:t>
      </w:r>
      <w:r w:rsidRPr="00FA0D33">
        <w:t xml:space="preserve">on at 1 Jan = </w:t>
      </w:r>
      <w:r w:rsidRPr="00FA0D33">
        <w:rPr>
          <w:i/>
          <w:iCs/>
        </w:rPr>
        <w:t>C</w:t>
      </w:r>
      <w:r w:rsidRPr="00FA0D33">
        <w:t>*·</w:t>
      </w:r>
      <w:r w:rsidRPr="00FA0D33">
        <w:rPr>
          <w:i/>
          <w:iCs/>
        </w:rPr>
        <w:t>N</w:t>
      </w:r>
    </w:p>
    <w:p w14:paraId="666B357F" w14:textId="77777777" w:rsidR="00FA0D33" w:rsidRDefault="00FA0D33" w:rsidP="00FA0D33"/>
    <w:p w14:paraId="0F758FF4" w14:textId="3D2C454B" w:rsidR="00FA0D33" w:rsidRPr="00FA0D33" w:rsidRDefault="00FA0D33" w:rsidP="00FA0D33">
      <w:r w:rsidRPr="00FA0D33">
        <w:t>Step 3 — Exits during the year</w:t>
      </w:r>
    </w:p>
    <w:p w14:paraId="2C20438E" w14:textId="77777777" w:rsidR="00FA0D33" w:rsidRPr="00FA0D33" w:rsidRDefault="00FA0D33" w:rsidP="00FA0D33">
      <w:r w:rsidRPr="00FA0D33">
        <w:t xml:space="preserve">Of the </w:t>
      </w:r>
      <w:r w:rsidRPr="00FA0D33">
        <w:rPr>
          <w:i/>
          <w:iCs/>
        </w:rPr>
        <w:t>C</w:t>
      </w:r>
      <w:r w:rsidRPr="00FA0D33">
        <w:t>*·</w:t>
      </w:r>
      <w:r w:rsidRPr="00FA0D33">
        <w:rPr>
          <w:i/>
          <w:iCs/>
        </w:rPr>
        <w:t>N</w:t>
      </w:r>
      <w:r w:rsidRPr="00FA0D33">
        <w:t xml:space="preserve"> present at 1 Jan, a proportion </w:t>
      </w:r>
      <w:r w:rsidRPr="00FA0D33">
        <w:rPr>
          <w:i/>
          <w:iCs/>
        </w:rPr>
        <w:t>p</w:t>
      </w:r>
      <w:r w:rsidRPr="00FA0D33">
        <w:t xml:space="preserve"> remains at 31 Dec:</w:t>
      </w:r>
    </w:p>
    <w:p w14:paraId="6CCC761A" w14:textId="77777777" w:rsidR="00FA0D33" w:rsidRPr="00FA0D33" w:rsidRDefault="00FA0D33" w:rsidP="00FA0D33">
      <w:r w:rsidRPr="00FA0D33">
        <w:t xml:space="preserve">still on = </w:t>
      </w:r>
      <w:r w:rsidRPr="00FA0D33">
        <w:rPr>
          <w:i/>
          <w:iCs/>
        </w:rPr>
        <w:t>p</w:t>
      </w:r>
      <w:r w:rsidRPr="00FA0D33">
        <w:t>·</w:t>
      </w:r>
      <w:r w:rsidRPr="00FA0D33">
        <w:rPr>
          <w:i/>
          <w:iCs/>
        </w:rPr>
        <w:t>C</w:t>
      </w:r>
      <w:r w:rsidRPr="00FA0D33">
        <w:t>*·</w:t>
      </w:r>
      <w:r w:rsidRPr="00FA0D33">
        <w:rPr>
          <w:i/>
          <w:iCs/>
        </w:rPr>
        <w:t>N</w:t>
      </w:r>
      <w:r w:rsidRPr="00FA0D33">
        <w:br/>
        <w:t xml:space="preserve">exits = </w:t>
      </w:r>
      <w:r w:rsidRPr="00FA0D33">
        <w:rPr>
          <w:i/>
          <w:iCs/>
        </w:rPr>
        <w:t>C</w:t>
      </w:r>
      <w:r w:rsidRPr="00FA0D33">
        <w:t>*·</w:t>
      </w:r>
      <w:r w:rsidRPr="00FA0D33">
        <w:rPr>
          <w:i/>
          <w:iCs/>
        </w:rPr>
        <w:t>N</w:t>
      </w:r>
      <w:r w:rsidRPr="00FA0D33">
        <w:t xml:space="preserve"> − </w:t>
      </w:r>
      <w:r w:rsidRPr="00FA0D33">
        <w:rPr>
          <w:i/>
          <w:iCs/>
        </w:rPr>
        <w:t>p</w:t>
      </w:r>
      <w:r w:rsidRPr="00FA0D33">
        <w:t>·</w:t>
      </w:r>
      <w:r w:rsidRPr="00FA0D33">
        <w:rPr>
          <w:i/>
          <w:iCs/>
        </w:rPr>
        <w:t>C</w:t>
      </w:r>
      <w:r w:rsidRPr="00FA0D33">
        <w:t>*·</w:t>
      </w:r>
      <w:r w:rsidRPr="00FA0D33">
        <w:rPr>
          <w:i/>
          <w:iCs/>
        </w:rPr>
        <w:t>N</w:t>
      </w:r>
      <w:r w:rsidRPr="00FA0D33">
        <w:t xml:space="preserve"> = </w:t>
      </w:r>
      <w:r w:rsidRPr="00FA0D33">
        <w:rPr>
          <w:i/>
          <w:iCs/>
        </w:rPr>
        <w:t>C</w:t>
      </w:r>
      <w:r w:rsidRPr="00FA0D33">
        <w:t>*·</w:t>
      </w:r>
      <w:r w:rsidRPr="00FA0D33">
        <w:rPr>
          <w:i/>
          <w:iCs/>
        </w:rPr>
        <w:t>N</w:t>
      </w:r>
      <w:r w:rsidRPr="00FA0D33">
        <w:t xml:space="preserve">(1 − </w:t>
      </w:r>
      <w:r w:rsidRPr="00FA0D33">
        <w:rPr>
          <w:i/>
          <w:iCs/>
        </w:rPr>
        <w:t>p</w:t>
      </w:r>
      <w:r w:rsidRPr="00FA0D33">
        <w:t>)</w:t>
      </w:r>
    </w:p>
    <w:p w14:paraId="10D59431" w14:textId="77777777" w:rsidR="00FA0D33" w:rsidRDefault="00FA0D33" w:rsidP="00FA0D33"/>
    <w:p w14:paraId="7ADBA346" w14:textId="16D1FCA2" w:rsidR="00FA0D33" w:rsidRPr="00FA0D33" w:rsidRDefault="00FA0D33" w:rsidP="00FA0D33">
      <w:r w:rsidRPr="00FA0D33">
        <w:t>Step 4 — Initiations during the year</w:t>
      </w:r>
    </w:p>
    <w:p w14:paraId="5713C0EB" w14:textId="77777777" w:rsidR="00FA0D33" w:rsidRPr="00FA0D33" w:rsidRDefault="00FA0D33" w:rsidP="00FA0D33">
      <w:r w:rsidRPr="00FA0D33">
        <w:t xml:space="preserve">Steady state: </w:t>
      </w:r>
      <w:r w:rsidRPr="00FA0D33">
        <w:rPr>
          <w:i/>
          <w:iCs/>
        </w:rPr>
        <w:t>C</w:t>
      </w:r>
      <w:r w:rsidRPr="00FA0D33">
        <w:t>* constant → inflow = outflow.</w:t>
      </w:r>
    </w:p>
    <w:p w14:paraId="2BDCE764" w14:textId="77777777" w:rsidR="00FA0D33" w:rsidRPr="00FA0D33" w:rsidRDefault="00FA0D33" w:rsidP="00FA0D33">
      <w:r w:rsidRPr="00FA0D33">
        <w:t xml:space="preserve">initiated = exits = </w:t>
      </w:r>
      <w:r w:rsidRPr="00FA0D33">
        <w:rPr>
          <w:i/>
          <w:iCs/>
        </w:rPr>
        <w:t>C</w:t>
      </w:r>
      <w:r w:rsidRPr="00FA0D33">
        <w:t>*·</w:t>
      </w:r>
      <w:r w:rsidRPr="00FA0D33">
        <w:rPr>
          <w:i/>
          <w:iCs/>
        </w:rPr>
        <w:t>N</w:t>
      </w:r>
      <w:r w:rsidRPr="00FA0D33">
        <w:t xml:space="preserve">(1 − </w:t>
      </w:r>
      <w:r w:rsidRPr="00FA0D33">
        <w:rPr>
          <w:i/>
          <w:iCs/>
        </w:rPr>
        <w:t>p</w:t>
      </w:r>
      <w:r w:rsidRPr="00FA0D33">
        <w:t>)</w:t>
      </w:r>
    </w:p>
    <w:p w14:paraId="3F358E9A" w14:textId="77777777" w:rsidR="00FA0D33" w:rsidRDefault="00FA0D33" w:rsidP="00FA0D33"/>
    <w:p w14:paraId="54A5B002" w14:textId="6CA2DE43" w:rsidR="00FA0D33" w:rsidRPr="00FA0D33" w:rsidRDefault="00FA0D33" w:rsidP="00FA0D33">
      <w:r w:rsidRPr="00FA0D33">
        <w:t>Step 5 — Substitute into Step 1</w:t>
      </w:r>
    </w:p>
    <w:p w14:paraId="735E1DE8" w14:textId="77777777" w:rsidR="00FA0D33" w:rsidRPr="00FA0D33" w:rsidRDefault="00FA0D33" w:rsidP="00FA0D33">
      <w:r w:rsidRPr="00FA0D33">
        <w:rPr>
          <w:i/>
          <w:iCs/>
        </w:rPr>
        <w:t>u_C</w:t>
      </w:r>
      <w:r w:rsidRPr="00FA0D33">
        <w:t>·</w:t>
      </w:r>
      <w:r w:rsidRPr="00FA0D33">
        <w:rPr>
          <w:i/>
          <w:iCs/>
        </w:rPr>
        <w:t>N</w:t>
      </w:r>
      <w:r w:rsidRPr="00FA0D33">
        <w:t xml:space="preserve"> = </w:t>
      </w:r>
      <w:r w:rsidRPr="00FA0D33">
        <w:rPr>
          <w:i/>
          <w:iCs/>
        </w:rPr>
        <w:t>C</w:t>
      </w:r>
      <w:r w:rsidRPr="00FA0D33">
        <w:t>*·</w:t>
      </w:r>
      <w:r w:rsidRPr="00FA0D33">
        <w:rPr>
          <w:i/>
          <w:iCs/>
        </w:rPr>
        <w:t>N</w:t>
      </w:r>
      <w:r w:rsidRPr="00FA0D33">
        <w:t xml:space="preserve"> + </w:t>
      </w:r>
      <w:r w:rsidRPr="00FA0D33">
        <w:rPr>
          <w:i/>
          <w:iCs/>
        </w:rPr>
        <w:t>C</w:t>
      </w:r>
      <w:r w:rsidRPr="00FA0D33">
        <w:t>*·</w:t>
      </w:r>
      <w:r w:rsidRPr="00FA0D33">
        <w:rPr>
          <w:i/>
          <w:iCs/>
        </w:rPr>
        <w:t>N</w:t>
      </w:r>
      <w:r w:rsidRPr="00FA0D33">
        <w:t xml:space="preserve">(1 − </w:t>
      </w:r>
      <w:r w:rsidRPr="00FA0D33">
        <w:rPr>
          <w:i/>
          <w:iCs/>
        </w:rPr>
        <w:t>p</w:t>
      </w:r>
      <w:r w:rsidRPr="00FA0D33">
        <w:t>)</w:t>
      </w:r>
    </w:p>
    <w:p w14:paraId="41C3A6E3" w14:textId="77777777" w:rsidR="002743F9" w:rsidRDefault="002743F9" w:rsidP="005B735D">
      <w:pPr>
        <w:spacing w:after="120"/>
      </w:pPr>
    </w:p>
    <w:p w14:paraId="2BA95D19" w14:textId="23892833" w:rsidR="00FA0D33" w:rsidRDefault="00FA0D33" w:rsidP="005B735D">
      <w:pPr>
        <w:spacing w:after="120"/>
      </w:pPr>
      <w:r>
        <w:t xml:space="preserve">dividing by N and factoring out C* follows: </w:t>
      </w:r>
    </w:p>
    <w:p w14:paraId="66742848" w14:textId="37223C80" w:rsidR="00FA0D33" w:rsidRPr="00FA0D33" w:rsidRDefault="00FA0D33" w:rsidP="00FA0D33">
      <w:pPr>
        <w:spacing w:after="120"/>
        <w:jc w:val="center"/>
        <w:rPr>
          <w:b/>
          <w:bCs/>
        </w:rPr>
      </w:pPr>
      <w:r w:rsidRPr="00FA0D33">
        <w:rPr>
          <w:b/>
          <w:bCs/>
        </w:rPr>
        <w:t>C* = u_C / (2 − p)</w:t>
      </w:r>
    </w:p>
    <w:p w14:paraId="367F91A4" w14:textId="553109F2" w:rsidR="00FA0D33" w:rsidRDefault="00FA0D33" w:rsidP="005B735D">
      <w:pPr>
        <w:spacing w:after="120"/>
      </w:pPr>
      <w:r>
        <w:t>Key assumptions:</w:t>
      </w:r>
    </w:p>
    <w:p w14:paraId="52A251BC" w14:textId="77777777" w:rsidR="00FA0D33" w:rsidRPr="00FA0D33" w:rsidRDefault="00FA0D33" w:rsidP="00FA0D33">
      <w:pPr>
        <w:spacing w:before="100" w:beforeAutospacing="1" w:after="100" w:afterAutospacing="1"/>
        <w:rPr>
          <w:rFonts w:ascii="Times New Roman" w:eastAsia="Times New Roman" w:hAnsi="Times New Roman" w:cs="Times New Roman"/>
          <w:sz w:val="24"/>
          <w:szCs w:val="24"/>
        </w:rPr>
      </w:pPr>
      <w:r w:rsidRPr="00FA0D33">
        <w:rPr>
          <w:rFonts w:ascii="Times New Roman" w:eastAsia="Times New Roman" w:hAnsi="Times New Roman" w:cs="Times New Roman"/>
          <w:b/>
          <w:bCs/>
          <w:sz w:val="24"/>
          <w:szCs w:val="24"/>
        </w:rPr>
        <w:t>Where each assumption entered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380"/>
        <w:gridCol w:w="5891"/>
      </w:tblGrid>
      <w:tr w:rsidR="00FA0D33" w:rsidRPr="00FA0D33" w14:paraId="1F9D348A" w14:textId="77777777">
        <w:trPr>
          <w:tblHeader/>
          <w:tblCellSpacing w:w="15" w:type="dxa"/>
        </w:trPr>
        <w:tc>
          <w:tcPr>
            <w:tcW w:w="0" w:type="auto"/>
            <w:vAlign w:val="center"/>
            <w:hideMark/>
          </w:tcPr>
          <w:p w14:paraId="38267F6D" w14:textId="77777777" w:rsidR="00FA0D33" w:rsidRPr="00FA0D33" w:rsidRDefault="00FA0D33" w:rsidP="00FA0D33">
            <w:pPr>
              <w:jc w:val="center"/>
              <w:rPr>
                <w:rFonts w:ascii="Times New Roman" w:eastAsia="Times New Roman" w:hAnsi="Times New Roman" w:cs="Times New Roman"/>
                <w:b/>
                <w:bCs/>
                <w:sz w:val="24"/>
                <w:szCs w:val="24"/>
              </w:rPr>
            </w:pPr>
            <w:r w:rsidRPr="00FA0D33">
              <w:rPr>
                <w:rFonts w:ascii="Times New Roman" w:eastAsia="Times New Roman" w:hAnsi="Times New Roman" w:cs="Times New Roman"/>
                <w:b/>
                <w:bCs/>
                <w:sz w:val="24"/>
                <w:szCs w:val="24"/>
              </w:rPr>
              <w:t>Step</w:t>
            </w:r>
          </w:p>
        </w:tc>
        <w:tc>
          <w:tcPr>
            <w:tcW w:w="0" w:type="auto"/>
            <w:vAlign w:val="center"/>
            <w:hideMark/>
          </w:tcPr>
          <w:p w14:paraId="37F3422E" w14:textId="77777777" w:rsidR="00FA0D33" w:rsidRPr="00FA0D33" w:rsidRDefault="00FA0D33" w:rsidP="00FA0D33">
            <w:pPr>
              <w:jc w:val="center"/>
              <w:rPr>
                <w:rFonts w:ascii="Times New Roman" w:eastAsia="Times New Roman" w:hAnsi="Times New Roman" w:cs="Times New Roman"/>
                <w:b/>
                <w:bCs/>
                <w:sz w:val="24"/>
                <w:szCs w:val="24"/>
              </w:rPr>
            </w:pPr>
            <w:r w:rsidRPr="00FA0D33">
              <w:rPr>
                <w:rFonts w:ascii="Times New Roman" w:eastAsia="Times New Roman" w:hAnsi="Times New Roman" w:cs="Times New Roman"/>
                <w:b/>
                <w:bCs/>
                <w:sz w:val="24"/>
                <w:szCs w:val="24"/>
              </w:rPr>
              <w:t>Assumption</w:t>
            </w:r>
          </w:p>
        </w:tc>
        <w:tc>
          <w:tcPr>
            <w:tcW w:w="0" w:type="auto"/>
            <w:vAlign w:val="center"/>
            <w:hideMark/>
          </w:tcPr>
          <w:p w14:paraId="0A3EA06D" w14:textId="77777777" w:rsidR="00FA0D33" w:rsidRPr="00FA0D33" w:rsidRDefault="00FA0D33" w:rsidP="00FA0D33">
            <w:pPr>
              <w:jc w:val="center"/>
              <w:rPr>
                <w:rFonts w:ascii="Times New Roman" w:eastAsia="Times New Roman" w:hAnsi="Times New Roman" w:cs="Times New Roman"/>
                <w:b/>
                <w:bCs/>
                <w:sz w:val="24"/>
                <w:szCs w:val="24"/>
              </w:rPr>
            </w:pPr>
            <w:r w:rsidRPr="00FA0D33">
              <w:rPr>
                <w:rFonts w:ascii="Times New Roman" w:eastAsia="Times New Roman" w:hAnsi="Times New Roman" w:cs="Times New Roman"/>
                <w:b/>
                <w:bCs/>
                <w:sz w:val="24"/>
                <w:szCs w:val="24"/>
              </w:rPr>
              <w:t>Fails when</w:t>
            </w:r>
          </w:p>
        </w:tc>
      </w:tr>
      <w:tr w:rsidR="00FA0D33" w:rsidRPr="00FA0D33" w14:paraId="152FF369" w14:textId="77777777">
        <w:trPr>
          <w:tblCellSpacing w:w="15" w:type="dxa"/>
        </w:trPr>
        <w:tc>
          <w:tcPr>
            <w:tcW w:w="0" w:type="auto"/>
            <w:vAlign w:val="center"/>
            <w:hideMark/>
          </w:tcPr>
          <w:p w14:paraId="6CF55BC9"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1</w:t>
            </w:r>
          </w:p>
        </w:tc>
        <w:tc>
          <w:tcPr>
            <w:tcW w:w="0" w:type="auto"/>
            <w:vAlign w:val="center"/>
            <w:hideMark/>
          </w:tcPr>
          <w:p w14:paraId="1BCF1D11"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No one cycles off and back on within the year</w:t>
            </w:r>
          </w:p>
        </w:tc>
        <w:tc>
          <w:tcPr>
            <w:tcW w:w="0" w:type="auto"/>
            <w:vAlign w:val="center"/>
            <w:hideMark/>
          </w:tcPr>
          <w:p w14:paraId="739AD024"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Intermittent use</w:t>
            </w:r>
          </w:p>
        </w:tc>
      </w:tr>
      <w:tr w:rsidR="00FA0D33" w:rsidRPr="00FA0D33" w14:paraId="2614DE67" w14:textId="77777777">
        <w:trPr>
          <w:tblCellSpacing w:w="15" w:type="dxa"/>
        </w:trPr>
        <w:tc>
          <w:tcPr>
            <w:tcW w:w="0" w:type="auto"/>
            <w:vAlign w:val="center"/>
            <w:hideMark/>
          </w:tcPr>
          <w:p w14:paraId="6B99C035"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2</w:t>
            </w:r>
          </w:p>
        </w:tc>
        <w:tc>
          <w:tcPr>
            <w:tcW w:w="0" w:type="auto"/>
            <w:vAlign w:val="center"/>
            <w:hideMark/>
          </w:tcPr>
          <w:p w14:paraId="046FB2E2" w14:textId="1A8E38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highlight w:val="yellow"/>
              </w:rPr>
              <w:t>Everyone on at 1 Jan fills at least once</w:t>
            </w:r>
          </w:p>
        </w:tc>
        <w:tc>
          <w:tcPr>
            <w:tcW w:w="0" w:type="auto"/>
            <w:vAlign w:val="center"/>
            <w:hideMark/>
          </w:tcPr>
          <w:p w14:paraId="4C2E44DE"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Event-driven dosing, large prior fill</w:t>
            </w:r>
          </w:p>
        </w:tc>
      </w:tr>
      <w:tr w:rsidR="00FA0D33" w:rsidRPr="00FA0D33" w14:paraId="7C0A356A" w14:textId="77777777">
        <w:trPr>
          <w:tblCellSpacing w:w="15" w:type="dxa"/>
        </w:trPr>
        <w:tc>
          <w:tcPr>
            <w:tcW w:w="0" w:type="auto"/>
            <w:vAlign w:val="center"/>
            <w:hideMark/>
          </w:tcPr>
          <w:p w14:paraId="09A4E286"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4</w:t>
            </w:r>
          </w:p>
        </w:tc>
        <w:tc>
          <w:tcPr>
            <w:tcW w:w="0" w:type="auto"/>
            <w:vAlign w:val="center"/>
            <w:hideMark/>
          </w:tcPr>
          <w:p w14:paraId="1592DEA3"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Steady state</w:t>
            </w:r>
          </w:p>
        </w:tc>
        <w:tc>
          <w:tcPr>
            <w:tcW w:w="0" w:type="auto"/>
            <w:vAlign w:val="center"/>
            <w:hideMark/>
          </w:tcPr>
          <w:p w14:paraId="3E73D048"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Scale-up phase — this is the one that bites you for 2022–2030</w:t>
            </w:r>
          </w:p>
        </w:tc>
      </w:tr>
    </w:tbl>
    <w:p w14:paraId="143DBA3F" w14:textId="77777777" w:rsidR="00FA0D33" w:rsidRDefault="00FA0D33" w:rsidP="005B735D">
      <w:pPr>
        <w:spacing w:after="120"/>
      </w:pPr>
    </w:p>
    <w:p w14:paraId="1F20A98A" w14:textId="7DC8777F" w:rsidR="00FA0D33" w:rsidRDefault="00FA0D33" w:rsidP="005B735D">
      <w:pPr>
        <w:spacing w:after="120"/>
        <w:rPr>
          <w:rFonts w:ascii="Times New Roman" w:eastAsia="Times New Roman" w:hAnsi="Times New Roman" w:cs="Times New Roman"/>
          <w:sz w:val="24"/>
          <w:szCs w:val="24"/>
        </w:rPr>
      </w:pPr>
      <w:r>
        <w:t xml:space="preserve">Assumption2: </w:t>
      </w:r>
      <w:r>
        <w:rPr>
          <w:rFonts w:ascii="Times New Roman" w:eastAsia="Times New Roman" w:hAnsi="Times New Roman" w:cs="Times New Roman"/>
          <w:sz w:val="24"/>
          <w:szCs w:val="24"/>
        </w:rPr>
        <w:t>This assumptions means that I those people on Doxy on Jan 1</w:t>
      </w:r>
      <w:r w:rsidRPr="00FA0D33">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who will remain on Doxy during this year will have at least one fill during this year that will show up in the dataset. What event van dosing </w:t>
      </w:r>
      <w:r>
        <w:rPr>
          <w:rFonts w:ascii="Times New Roman" w:eastAsia="Times New Roman" w:hAnsi="Times New Roman" w:cs="Times New Roman"/>
          <w:sz w:val="24"/>
          <w:szCs w:val="24"/>
        </w:rPr>
        <w:lastRenderedPageBreak/>
        <w:t>doesn’t work like this. Individuals may receive a large dose and use it overtime. So while they are theoretically on Doxy, they may not have any new fill in a given year</w:t>
      </w:r>
    </w:p>
    <w:p w14:paraId="3F0576C5" w14:textId="77777777" w:rsidR="00FA0D33" w:rsidRDefault="00FA0D33" w:rsidP="005B735D">
      <w:pPr>
        <w:spacing w:after="120"/>
        <w:rPr>
          <w:rFonts w:ascii="Times New Roman" w:eastAsia="Times New Roman" w:hAnsi="Times New Roman" w:cs="Times New Roman"/>
          <w:sz w:val="24"/>
          <w:szCs w:val="24"/>
        </w:rPr>
      </w:pPr>
    </w:p>
    <w:p w14:paraId="4E594F1A" w14:textId="196541FD" w:rsidR="00FA0D33" w:rsidRDefault="00FA0D33" w:rsidP="005B735D">
      <w:pPr>
        <w:spacing w:after="120"/>
      </w:pPr>
      <w:r>
        <w:rPr>
          <w:rFonts w:ascii="Times New Roman" w:eastAsia="Times New Roman" w:hAnsi="Times New Roman" w:cs="Times New Roman"/>
          <w:sz w:val="24"/>
          <w:szCs w:val="24"/>
        </w:rPr>
        <w:t xml:space="preserve">Let’s add a new term: f: </w:t>
      </w:r>
      <w:r>
        <w:t>Annual capture probability</w:t>
      </w:r>
      <w:r>
        <w:t xml:space="preserve">. F is the probability that someone receiving Doxy at the beginning of the year (e.g., they had a fill last year) well have a new fill this year and will be captured in an our observed uptake. This is different from persistence. P. P is the probability of remaining on Doxy (P=1: no one ever discontinues). F is the probability that everyone on Doxy is observed in the claimed dataset </w:t>
      </w:r>
    </w:p>
    <w:p w14:paraId="11672349" w14:textId="6475D025" w:rsidR="00FA0D33" w:rsidRDefault="00FA0D33" w:rsidP="00FA0D33">
      <w:r w:rsidRPr="00FA0D33">
        <w:rPr>
          <w:i/>
          <w:iCs/>
        </w:rPr>
        <w:t>u_C</w:t>
      </w:r>
      <w:r w:rsidRPr="00FA0D33">
        <w:t>·</w:t>
      </w:r>
      <w:r w:rsidRPr="00FA0D33">
        <w:rPr>
          <w:i/>
          <w:iCs/>
        </w:rPr>
        <w:t>N</w:t>
      </w:r>
      <w:r w:rsidRPr="00FA0D33">
        <w:t xml:space="preserve"> = </w:t>
      </w:r>
      <w:r>
        <w:t>f.</w:t>
      </w:r>
      <w:r w:rsidRPr="00FA0D33">
        <w:rPr>
          <w:i/>
          <w:iCs/>
        </w:rPr>
        <w:t>C</w:t>
      </w:r>
      <w:r w:rsidRPr="00FA0D33">
        <w:t>*·</w:t>
      </w:r>
      <w:r w:rsidRPr="00FA0D33">
        <w:rPr>
          <w:i/>
          <w:iCs/>
        </w:rPr>
        <w:t>N</w:t>
      </w:r>
      <w:r w:rsidRPr="00FA0D33">
        <w:t xml:space="preserve"> + </w:t>
      </w:r>
      <w:r w:rsidRPr="00FA0D33">
        <w:rPr>
          <w:i/>
          <w:iCs/>
        </w:rPr>
        <w:t>C</w:t>
      </w:r>
      <w:r w:rsidRPr="00FA0D33">
        <w:t>*·</w:t>
      </w:r>
      <w:r w:rsidRPr="00FA0D33">
        <w:rPr>
          <w:i/>
          <w:iCs/>
        </w:rPr>
        <w:t>N</w:t>
      </w:r>
      <w:r w:rsidRPr="00FA0D33">
        <w:t xml:space="preserve">(1 − </w:t>
      </w:r>
      <w:r w:rsidRPr="00FA0D33">
        <w:rPr>
          <w:i/>
          <w:iCs/>
        </w:rPr>
        <w:t>p</w:t>
      </w:r>
      <w:r w:rsidRPr="00FA0D33">
        <w:t>)</w:t>
      </w:r>
    </w:p>
    <w:p w14:paraId="3C665CAF" w14:textId="4C5E681D" w:rsidR="00FA0D33" w:rsidRDefault="00FA0D33" w:rsidP="00FA0D33">
      <w:r>
        <w:t>u_C=C* (1+f-p)</w:t>
      </w:r>
    </w:p>
    <w:p w14:paraId="3D5E7EC0" w14:textId="3817EDA5" w:rsidR="00FA0D33" w:rsidRPr="00FA0D33" w:rsidRDefault="00FA0D33" w:rsidP="00FA0D33">
      <w:pPr>
        <w:jc w:val="center"/>
        <w:rPr>
          <w:b/>
          <w:bCs/>
        </w:rPr>
      </w:pPr>
      <w:r w:rsidRPr="00FA0D33">
        <w:rPr>
          <w:b/>
          <w:bCs/>
        </w:rPr>
        <w:t>c* = u_C/(f+1-p)</w:t>
      </w:r>
    </w:p>
    <w:p w14:paraId="33A3F61E" w14:textId="77777777" w:rsidR="00FA0D33" w:rsidRDefault="00FA0D33" w:rsidP="005B735D">
      <w:pPr>
        <w:spacing w:after="120"/>
        <w:rPr>
          <w:rFonts w:ascii="Times New Roman" w:eastAsia="Times New Roman" w:hAnsi="Times New Roman" w:cs="Times New Roman"/>
          <w:sz w:val="24"/>
          <w:szCs w:val="24"/>
        </w:rPr>
      </w:pPr>
    </w:p>
    <w:p w14:paraId="30387A6A" w14:textId="77777777" w:rsidR="00FA0D33" w:rsidRDefault="00FA0D33" w:rsidP="005B735D">
      <w:pPr>
        <w:spacing w:after="120"/>
        <w:rPr>
          <w:rFonts w:ascii="Times New Roman" w:eastAsia="Times New Roman" w:hAnsi="Times New Roman" w:cs="Times New Roman"/>
          <w:sz w:val="24"/>
          <w:szCs w:val="24"/>
        </w:rPr>
      </w:pPr>
    </w:p>
    <w:p w14:paraId="4ABFD651" w14:textId="77777777" w:rsidR="00FA0D33" w:rsidRDefault="00FA0D33" w:rsidP="005B735D">
      <w:pPr>
        <w:spacing w:after="120"/>
        <w:rPr>
          <w:rFonts w:ascii="Times New Roman" w:eastAsia="Times New Roman" w:hAnsi="Times New Roman" w:cs="Times New Roman"/>
          <w:sz w:val="24"/>
          <w:szCs w:val="24"/>
        </w:rPr>
      </w:pPr>
    </w:p>
    <w:p w14:paraId="538B6E93" w14:textId="7C1412AB" w:rsidR="00FA0D33" w:rsidRDefault="00FA0D33" w:rsidP="00FA0D33">
      <w:pPr>
        <w:pStyle w:val="Heading1"/>
      </w:pPr>
      <w:r>
        <w:t xml:space="preserve">the other formulation and why it was wrong: </w:t>
      </w:r>
    </w:p>
    <w:p w14:paraId="55042C04" w14:textId="77777777" w:rsidR="00FA0D33" w:rsidRDefault="00FA0D33" w:rsidP="00FA0D33">
      <w:pPr>
        <w:spacing w:after="120"/>
        <w:jc w:val="center"/>
      </w:pPr>
      <w:r>
        <w:rPr>
          <w:rStyle w:val="Emphasis"/>
        </w:rPr>
        <w:t>u_C</w:t>
      </w:r>
      <w:r>
        <w:t>·</w:t>
      </w:r>
      <w:r>
        <w:rPr>
          <w:rStyle w:val="Emphasis"/>
        </w:rPr>
        <w:t>N</w:t>
      </w:r>
      <w:r>
        <w:t xml:space="preserve"> = (on at 1 Jan) + (initiated during the year)</w:t>
      </w:r>
    </w:p>
    <w:p w14:paraId="18907A12" w14:textId="77777777" w:rsidR="00FA0D33" w:rsidRDefault="00FA0D33" w:rsidP="00FA0D33">
      <w:pPr>
        <w:spacing w:after="120"/>
      </w:pPr>
      <w:r>
        <w:t xml:space="preserve">we previously assumed that at stead state, </w:t>
      </w:r>
      <w:r>
        <w:t>initiations during the year</w:t>
      </w:r>
      <w:r>
        <w:t xml:space="preserve"> is estimated by r.C*</w:t>
      </w:r>
    </w:p>
    <w:p w14:paraId="7D7EBAF1" w14:textId="77777777" w:rsidR="00FA0D33" w:rsidRDefault="00FA0D33" w:rsidP="00FA0D33">
      <w:pPr>
        <w:spacing w:after="120"/>
        <w:rPr>
          <w:rFonts w:ascii="Cambria Math" w:eastAsia="Cambria Math" w:hAnsi="Cambria Math" w:cs="Cambria Math"/>
          <w:b/>
          <w:bCs/>
          <w:sz w:val="24"/>
          <w:szCs w:val="24"/>
        </w:rPr>
      </w:pPr>
      <w:r>
        <w:t xml:space="preserve">and derived: </w:t>
      </w:r>
      <w:r w:rsidR="005B735D">
        <w:rPr>
          <w:rFonts w:ascii="Cambria Math" w:eastAsia="Cambria Math" w:hAnsi="Cambria Math" w:cs="Cambria Math"/>
          <w:b/>
          <w:bCs/>
          <w:sz w:val="24"/>
          <w:szCs w:val="24"/>
        </w:rPr>
        <w:t>u_</w:t>
      </w:r>
      <w:r w:rsidR="00D948D7">
        <w:rPr>
          <w:rFonts w:ascii="Cambria Math" w:eastAsia="Cambria Math" w:hAnsi="Cambria Math" w:cs="Cambria Math"/>
          <w:b/>
          <w:bCs/>
          <w:sz w:val="24"/>
          <w:szCs w:val="24"/>
        </w:rPr>
        <w:t>C</w:t>
      </w:r>
      <w:r w:rsidR="005B735D">
        <w:rPr>
          <w:rFonts w:ascii="Cambria Math" w:eastAsia="Cambria Math" w:hAnsi="Cambria Math" w:cs="Cambria Math"/>
          <w:b/>
          <w:bCs/>
          <w:sz w:val="24"/>
          <w:szCs w:val="24"/>
        </w:rPr>
        <w:t xml:space="preserve"> = C* + r · C* = (1 + r) · C*</w:t>
      </w:r>
    </w:p>
    <w:p w14:paraId="3BB4CEFB" w14:textId="2138075A" w:rsidR="003048F4" w:rsidRDefault="003048F4" w:rsidP="00FA0D33">
      <w:pPr>
        <w:spacing w:after="120"/>
        <w:rPr>
          <w:rFonts w:ascii="Cambria Math" w:eastAsia="Cambria Math" w:hAnsi="Cambria Math" w:cs="Cambria Math"/>
          <w:b/>
          <w:bCs/>
          <w:sz w:val="24"/>
          <w:szCs w:val="24"/>
        </w:rPr>
      </w:pPr>
      <w:r w:rsidRPr="003048F4">
        <w:rPr>
          <w:rFonts w:ascii="Cambria Math" w:eastAsia="Cambria Math" w:hAnsi="Cambria Math" w:cs="Cambria Math"/>
          <w:b/>
          <w:bCs/>
          <w:sz w:val="24"/>
          <w:szCs w:val="24"/>
          <w:highlight w:val="green"/>
        </w:rPr>
        <w:t>C</w:t>
      </w:r>
      <w:r>
        <w:rPr>
          <w:rFonts w:ascii="Cambria Math" w:eastAsia="Cambria Math" w:hAnsi="Cambria Math" w:cs="Cambria Math"/>
          <w:b/>
          <w:bCs/>
          <w:sz w:val="24"/>
          <w:szCs w:val="24"/>
          <w:highlight w:val="green"/>
        </w:rPr>
        <w:t>*</w:t>
      </w:r>
      <w:r w:rsidRPr="003048F4">
        <w:rPr>
          <w:rFonts w:ascii="Cambria Math" w:eastAsia="Cambria Math" w:hAnsi="Cambria Math" w:cs="Cambria Math"/>
          <w:b/>
          <w:bCs/>
          <w:sz w:val="24"/>
          <w:szCs w:val="24"/>
          <w:highlight w:val="green"/>
        </w:rPr>
        <w:t>=u_C/(1+r)</w:t>
      </w:r>
    </w:p>
    <w:p w14:paraId="2585C0D3" w14:textId="7E9BB926" w:rsidR="00FA0D33" w:rsidRDefault="00FA0D33" w:rsidP="00FA0D33">
      <w:pPr>
        <w:spacing w:after="120"/>
        <w:rPr>
          <w:rFonts w:ascii="Cambria Math" w:eastAsia="Cambria Math" w:hAnsi="Cambria Math" w:cs="Cambria Math"/>
          <w:b/>
          <w:bCs/>
          <w:sz w:val="24"/>
          <w:szCs w:val="24"/>
        </w:rPr>
      </w:pPr>
      <w:r>
        <w:rPr>
          <w:noProof/>
        </w:rPr>
        <w:drawing>
          <wp:inline distT="0" distB="0" distL="0" distR="0" wp14:anchorId="371AE12A" wp14:editId="1D3CD390">
            <wp:extent cx="2953193" cy="1431851"/>
            <wp:effectExtent l="0" t="0" r="0" b="3810"/>
            <wp:docPr id="139583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30280" name=""/>
                    <pic:cNvPicPr/>
                  </pic:nvPicPr>
                  <pic:blipFill>
                    <a:blip r:embed="rId5"/>
                    <a:stretch>
                      <a:fillRect/>
                    </a:stretch>
                  </pic:blipFill>
                  <pic:spPr>
                    <a:xfrm>
                      <a:off x="0" y="0"/>
                      <a:ext cx="2959748" cy="1435029"/>
                    </a:xfrm>
                    <a:prstGeom prst="rect">
                      <a:avLst/>
                    </a:prstGeom>
                  </pic:spPr>
                </pic:pic>
              </a:graphicData>
            </a:graphic>
          </wp:inline>
        </w:drawing>
      </w:r>
    </w:p>
    <w:p w14:paraId="4A1C397E" w14:textId="033F52B3" w:rsidR="00FA0D33" w:rsidRDefault="00FA0D33" w:rsidP="00FA0D33">
      <w:pPr>
        <w:spacing w:before="100" w:beforeAutospacing="1" w:after="100" w:afterAutospacing="1"/>
      </w:pPr>
      <w:r w:rsidRPr="00FA0D33">
        <w:rPr>
          <w:rFonts w:ascii="Times New Roman" w:eastAsia="Times New Roman" w:hAnsi="Times New Roman" w:cs="Times New Roman"/>
          <w:b/>
          <w:bCs/>
          <w:sz w:val="24"/>
          <w:szCs w:val="24"/>
        </w:rPr>
        <w:t xml:space="preserve">Why </w:t>
      </w:r>
      <w:r w:rsidRPr="00FA0D33">
        <w:rPr>
          <w:rFonts w:ascii="Times New Roman" w:eastAsia="Times New Roman" w:hAnsi="Times New Roman" w:cs="Times New Roman"/>
          <w:b/>
          <w:bCs/>
          <w:i/>
          <w:iCs/>
          <w:sz w:val="24"/>
          <w:szCs w:val="24"/>
        </w:rPr>
        <w:t>r</w:t>
      </w:r>
      <w:r w:rsidRPr="00FA0D33">
        <w:rPr>
          <w:rFonts w:ascii="Times New Roman" w:eastAsia="Times New Roman" w:hAnsi="Times New Roman" w:cs="Times New Roman"/>
          <w:b/>
          <w:bCs/>
          <w:sz w:val="24"/>
          <w:szCs w:val="24"/>
        </w:rPr>
        <w:t>·</w:t>
      </w:r>
      <w:r w:rsidRPr="00FA0D33">
        <w:rPr>
          <w:rFonts w:ascii="Times New Roman" w:eastAsia="Times New Roman" w:hAnsi="Times New Roman" w:cs="Times New Roman"/>
          <w:b/>
          <w:bCs/>
          <w:i/>
          <w:iCs/>
          <w:sz w:val="24"/>
          <w:szCs w:val="24"/>
        </w:rPr>
        <w:t>C</w:t>
      </w:r>
      <w:r w:rsidRPr="00FA0D33">
        <w:rPr>
          <w:rFonts w:ascii="Times New Roman" w:eastAsia="Times New Roman" w:hAnsi="Times New Roman" w:cs="Times New Roman"/>
          <w:b/>
          <w:bCs/>
          <w:sz w:val="24"/>
          <w:szCs w:val="24"/>
        </w:rPr>
        <w:t>* is wrong</w:t>
      </w:r>
      <w:r>
        <w:rPr>
          <w:rFonts w:ascii="Times New Roman" w:eastAsia="Times New Roman" w:hAnsi="Times New Roman" w:cs="Times New Roman"/>
          <w:b/>
          <w:bCs/>
          <w:sz w:val="24"/>
          <w:szCs w:val="24"/>
        </w:rPr>
        <w:t xml:space="preserve">: </w:t>
      </w:r>
      <w:r w:rsidRPr="00FA0D33">
        <w:rPr>
          <w:rFonts w:ascii="Times New Roman" w:eastAsia="Times New Roman" w:hAnsi="Times New Roman" w:cs="Times New Roman"/>
          <w:i/>
          <w:iCs/>
          <w:sz w:val="24"/>
          <w:szCs w:val="24"/>
        </w:rPr>
        <w:t>r</w:t>
      </w:r>
      <w:r w:rsidRPr="00FA0D33">
        <w:rPr>
          <w:rFonts w:ascii="Times New Roman" w:eastAsia="Times New Roman" w:hAnsi="Times New Roman" w:cs="Times New Roman"/>
          <w:sz w:val="24"/>
          <w:szCs w:val="24"/>
        </w:rPr>
        <w:t xml:space="preserve"> is an instantaneous rate; the identity needs a proportion — the fraction of the 1 Jan cohort that actually left by 31 Dec. Those coincide only when </w:t>
      </w:r>
      <w:r w:rsidRPr="00FA0D33">
        <w:rPr>
          <w:rFonts w:ascii="Times New Roman" w:eastAsia="Times New Roman" w:hAnsi="Times New Roman" w:cs="Times New Roman"/>
          <w:i/>
          <w:iCs/>
          <w:sz w:val="24"/>
          <w:szCs w:val="24"/>
        </w:rPr>
        <w:t>r</w:t>
      </w:r>
      <w:r w:rsidRPr="00FA0D33">
        <w:rPr>
          <w:rFonts w:ascii="Times New Roman" w:eastAsia="Times New Roman" w:hAnsi="Times New Roman" w:cs="Times New Roman"/>
          <w:sz w:val="24"/>
          <w:szCs w:val="24"/>
        </w:rPr>
        <w:t xml:space="preserve"> is small.</w:t>
      </w:r>
      <w:r>
        <w:rPr>
          <w:rFonts w:ascii="Times New Roman" w:eastAsia="Times New Roman" w:hAnsi="Times New Roman" w:cs="Times New Roman"/>
          <w:sz w:val="24"/>
          <w:szCs w:val="24"/>
        </w:rPr>
        <w:t xml:space="preserve"> </w:t>
      </w:r>
      <w:r>
        <w:rPr>
          <w:rStyle w:val="Emphasis"/>
        </w:rPr>
        <w:t>r</w:t>
      </w:r>
      <w:r>
        <w:t>·</w:t>
      </w:r>
      <w:r>
        <w:rPr>
          <w:rStyle w:val="Emphasis"/>
        </w:rPr>
        <w:t>C</w:t>
      </w:r>
      <w:r>
        <w:t xml:space="preserve">* would be the exits if the pool were continuously replenished at its original size. It isn't. As people leave, fewer remain to leave, so the exit flow decays. Integrating the shrinking pool gives </w:t>
      </w:r>
      <w:r>
        <w:rPr>
          <w:rStyle w:val="Emphasis"/>
        </w:rPr>
        <w:t>C</w:t>
      </w:r>
      <w:r>
        <w:t>*(1 − e^(−</w:t>
      </w:r>
      <w:r>
        <w:rPr>
          <w:rStyle w:val="Emphasis"/>
        </w:rPr>
        <w:t>r</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974"/>
        <w:gridCol w:w="1826"/>
        <w:gridCol w:w="771"/>
      </w:tblGrid>
      <w:tr w:rsidR="00FA0D33" w:rsidRPr="00FA0D33" w14:paraId="57E92CDC" w14:textId="77777777">
        <w:trPr>
          <w:tblHeader/>
          <w:tblCellSpacing w:w="15" w:type="dxa"/>
        </w:trPr>
        <w:tc>
          <w:tcPr>
            <w:tcW w:w="0" w:type="auto"/>
            <w:vAlign w:val="center"/>
            <w:hideMark/>
          </w:tcPr>
          <w:p w14:paraId="6596AF28" w14:textId="77777777" w:rsidR="00FA0D33" w:rsidRPr="00FA0D33" w:rsidRDefault="00FA0D33" w:rsidP="00FA0D33">
            <w:pPr>
              <w:jc w:val="center"/>
              <w:rPr>
                <w:rFonts w:ascii="Times New Roman" w:eastAsia="Times New Roman" w:hAnsi="Times New Roman" w:cs="Times New Roman"/>
                <w:b/>
                <w:bCs/>
                <w:sz w:val="24"/>
                <w:szCs w:val="24"/>
              </w:rPr>
            </w:pPr>
            <w:r w:rsidRPr="00FA0D33">
              <w:rPr>
                <w:rFonts w:ascii="Times New Roman" w:eastAsia="Times New Roman" w:hAnsi="Times New Roman" w:cs="Times New Roman"/>
                <w:b/>
                <w:bCs/>
                <w:i/>
                <w:iCs/>
                <w:sz w:val="24"/>
                <w:szCs w:val="24"/>
              </w:rPr>
              <w:t>r</w:t>
            </w:r>
          </w:p>
        </w:tc>
        <w:tc>
          <w:tcPr>
            <w:tcW w:w="0" w:type="auto"/>
            <w:vAlign w:val="center"/>
            <w:hideMark/>
          </w:tcPr>
          <w:p w14:paraId="60CA6B85" w14:textId="77777777" w:rsidR="00FA0D33" w:rsidRPr="00FA0D33" w:rsidRDefault="00FA0D33" w:rsidP="00FA0D33">
            <w:pPr>
              <w:jc w:val="center"/>
              <w:rPr>
                <w:rFonts w:ascii="Times New Roman" w:eastAsia="Times New Roman" w:hAnsi="Times New Roman" w:cs="Times New Roman"/>
                <w:b/>
                <w:bCs/>
                <w:sz w:val="24"/>
                <w:szCs w:val="24"/>
              </w:rPr>
            </w:pPr>
            <w:r w:rsidRPr="00FA0D33">
              <w:rPr>
                <w:rFonts w:ascii="Times New Roman" w:eastAsia="Times New Roman" w:hAnsi="Times New Roman" w:cs="Times New Roman"/>
                <w:b/>
                <w:bCs/>
                <w:i/>
                <w:iCs/>
                <w:sz w:val="24"/>
                <w:szCs w:val="24"/>
              </w:rPr>
              <w:t>r</w:t>
            </w:r>
            <w:r w:rsidRPr="00FA0D33">
              <w:rPr>
                <w:rFonts w:ascii="Times New Roman" w:eastAsia="Times New Roman" w:hAnsi="Times New Roman" w:cs="Times New Roman"/>
                <w:b/>
                <w:bCs/>
                <w:sz w:val="24"/>
                <w:szCs w:val="24"/>
              </w:rPr>
              <w:t xml:space="preserve"> (linear)</w:t>
            </w:r>
          </w:p>
        </w:tc>
        <w:tc>
          <w:tcPr>
            <w:tcW w:w="0" w:type="auto"/>
            <w:vAlign w:val="center"/>
            <w:hideMark/>
          </w:tcPr>
          <w:p w14:paraId="508BACED" w14:textId="77777777" w:rsidR="00FA0D33" w:rsidRPr="00FA0D33" w:rsidRDefault="00FA0D33" w:rsidP="00FA0D33">
            <w:pPr>
              <w:jc w:val="center"/>
              <w:rPr>
                <w:rFonts w:ascii="Times New Roman" w:eastAsia="Times New Roman" w:hAnsi="Times New Roman" w:cs="Times New Roman"/>
                <w:b/>
                <w:bCs/>
                <w:sz w:val="24"/>
                <w:szCs w:val="24"/>
              </w:rPr>
            </w:pPr>
            <w:r w:rsidRPr="00FA0D33">
              <w:rPr>
                <w:rFonts w:ascii="Times New Roman" w:eastAsia="Times New Roman" w:hAnsi="Times New Roman" w:cs="Times New Roman"/>
                <w:b/>
                <w:bCs/>
                <w:sz w:val="24"/>
                <w:szCs w:val="24"/>
              </w:rPr>
              <w:t>1 − e^(−</w:t>
            </w:r>
            <w:r w:rsidRPr="00FA0D33">
              <w:rPr>
                <w:rFonts w:ascii="Times New Roman" w:eastAsia="Times New Roman" w:hAnsi="Times New Roman" w:cs="Times New Roman"/>
                <w:b/>
                <w:bCs/>
                <w:i/>
                <w:iCs/>
                <w:sz w:val="24"/>
                <w:szCs w:val="24"/>
              </w:rPr>
              <w:t>r</w:t>
            </w:r>
            <w:r w:rsidRPr="00FA0D33">
              <w:rPr>
                <w:rFonts w:ascii="Times New Roman" w:eastAsia="Times New Roman" w:hAnsi="Times New Roman" w:cs="Times New Roman"/>
                <w:b/>
                <w:bCs/>
                <w:sz w:val="24"/>
                <w:szCs w:val="24"/>
              </w:rPr>
              <w:t>) (exact)</w:t>
            </w:r>
          </w:p>
        </w:tc>
        <w:tc>
          <w:tcPr>
            <w:tcW w:w="0" w:type="auto"/>
            <w:vAlign w:val="center"/>
            <w:hideMark/>
          </w:tcPr>
          <w:p w14:paraId="1975D13F" w14:textId="77777777" w:rsidR="00FA0D33" w:rsidRPr="00FA0D33" w:rsidRDefault="00FA0D33" w:rsidP="00FA0D33">
            <w:pPr>
              <w:jc w:val="center"/>
              <w:rPr>
                <w:rFonts w:ascii="Times New Roman" w:eastAsia="Times New Roman" w:hAnsi="Times New Roman" w:cs="Times New Roman"/>
                <w:b/>
                <w:bCs/>
                <w:sz w:val="24"/>
                <w:szCs w:val="24"/>
              </w:rPr>
            </w:pPr>
            <w:r w:rsidRPr="00FA0D33">
              <w:rPr>
                <w:rFonts w:ascii="Times New Roman" w:eastAsia="Times New Roman" w:hAnsi="Times New Roman" w:cs="Times New Roman"/>
                <w:b/>
                <w:bCs/>
                <w:sz w:val="24"/>
                <w:szCs w:val="24"/>
              </w:rPr>
              <w:t>Error</w:t>
            </w:r>
          </w:p>
        </w:tc>
      </w:tr>
      <w:tr w:rsidR="00FA0D33" w:rsidRPr="00FA0D33" w14:paraId="1DB13EC5" w14:textId="77777777">
        <w:trPr>
          <w:tblCellSpacing w:w="15" w:type="dxa"/>
        </w:trPr>
        <w:tc>
          <w:tcPr>
            <w:tcW w:w="0" w:type="auto"/>
            <w:vAlign w:val="center"/>
            <w:hideMark/>
          </w:tcPr>
          <w:p w14:paraId="276ADEFF"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0.1</w:t>
            </w:r>
          </w:p>
        </w:tc>
        <w:tc>
          <w:tcPr>
            <w:tcW w:w="0" w:type="auto"/>
            <w:vAlign w:val="center"/>
            <w:hideMark/>
          </w:tcPr>
          <w:p w14:paraId="49F9A5C4"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0.100</w:t>
            </w:r>
          </w:p>
        </w:tc>
        <w:tc>
          <w:tcPr>
            <w:tcW w:w="0" w:type="auto"/>
            <w:vAlign w:val="center"/>
            <w:hideMark/>
          </w:tcPr>
          <w:p w14:paraId="095934D6"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0.095</w:t>
            </w:r>
          </w:p>
        </w:tc>
        <w:tc>
          <w:tcPr>
            <w:tcW w:w="0" w:type="auto"/>
            <w:vAlign w:val="center"/>
            <w:hideMark/>
          </w:tcPr>
          <w:p w14:paraId="3E4CA70C"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+5%</w:t>
            </w:r>
          </w:p>
        </w:tc>
      </w:tr>
      <w:tr w:rsidR="00FA0D33" w:rsidRPr="00FA0D33" w14:paraId="238B4A3D" w14:textId="77777777">
        <w:trPr>
          <w:tblCellSpacing w:w="15" w:type="dxa"/>
        </w:trPr>
        <w:tc>
          <w:tcPr>
            <w:tcW w:w="0" w:type="auto"/>
            <w:vAlign w:val="center"/>
            <w:hideMark/>
          </w:tcPr>
          <w:p w14:paraId="33C1C304"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0.5</w:t>
            </w:r>
          </w:p>
        </w:tc>
        <w:tc>
          <w:tcPr>
            <w:tcW w:w="0" w:type="auto"/>
            <w:vAlign w:val="center"/>
            <w:hideMark/>
          </w:tcPr>
          <w:p w14:paraId="2B6333D1"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0.500</w:t>
            </w:r>
          </w:p>
        </w:tc>
        <w:tc>
          <w:tcPr>
            <w:tcW w:w="0" w:type="auto"/>
            <w:vAlign w:val="center"/>
            <w:hideMark/>
          </w:tcPr>
          <w:p w14:paraId="17C797B8"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0.393</w:t>
            </w:r>
          </w:p>
        </w:tc>
        <w:tc>
          <w:tcPr>
            <w:tcW w:w="0" w:type="auto"/>
            <w:vAlign w:val="center"/>
            <w:hideMark/>
          </w:tcPr>
          <w:p w14:paraId="5F14298F"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+27%</w:t>
            </w:r>
          </w:p>
        </w:tc>
      </w:tr>
      <w:tr w:rsidR="00FA0D33" w:rsidRPr="00FA0D33" w14:paraId="5A617A3E" w14:textId="77777777">
        <w:trPr>
          <w:tblCellSpacing w:w="15" w:type="dxa"/>
        </w:trPr>
        <w:tc>
          <w:tcPr>
            <w:tcW w:w="0" w:type="auto"/>
            <w:vAlign w:val="center"/>
            <w:hideMark/>
          </w:tcPr>
          <w:p w14:paraId="31ABC03B"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1.0</w:t>
            </w:r>
          </w:p>
        </w:tc>
        <w:tc>
          <w:tcPr>
            <w:tcW w:w="0" w:type="auto"/>
            <w:vAlign w:val="center"/>
            <w:hideMark/>
          </w:tcPr>
          <w:p w14:paraId="24FA6882"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1.000</w:t>
            </w:r>
          </w:p>
        </w:tc>
        <w:tc>
          <w:tcPr>
            <w:tcW w:w="0" w:type="auto"/>
            <w:vAlign w:val="center"/>
            <w:hideMark/>
          </w:tcPr>
          <w:p w14:paraId="35880B3C"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0.632</w:t>
            </w:r>
          </w:p>
        </w:tc>
        <w:tc>
          <w:tcPr>
            <w:tcW w:w="0" w:type="auto"/>
            <w:vAlign w:val="center"/>
            <w:hideMark/>
          </w:tcPr>
          <w:p w14:paraId="3F23C5A1"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+58%</w:t>
            </w:r>
          </w:p>
        </w:tc>
      </w:tr>
      <w:tr w:rsidR="00FA0D33" w:rsidRPr="00FA0D33" w14:paraId="38000B1A" w14:textId="77777777">
        <w:trPr>
          <w:tblCellSpacing w:w="15" w:type="dxa"/>
        </w:trPr>
        <w:tc>
          <w:tcPr>
            <w:tcW w:w="0" w:type="auto"/>
            <w:vAlign w:val="center"/>
            <w:hideMark/>
          </w:tcPr>
          <w:p w14:paraId="689B84AC"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2.0</w:t>
            </w:r>
          </w:p>
        </w:tc>
        <w:tc>
          <w:tcPr>
            <w:tcW w:w="0" w:type="auto"/>
            <w:vAlign w:val="center"/>
            <w:hideMark/>
          </w:tcPr>
          <w:p w14:paraId="313DA6C2"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2.000</w:t>
            </w:r>
          </w:p>
        </w:tc>
        <w:tc>
          <w:tcPr>
            <w:tcW w:w="0" w:type="auto"/>
            <w:vAlign w:val="center"/>
            <w:hideMark/>
          </w:tcPr>
          <w:p w14:paraId="25332603"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0.865</w:t>
            </w:r>
          </w:p>
        </w:tc>
        <w:tc>
          <w:tcPr>
            <w:tcW w:w="0" w:type="auto"/>
            <w:vAlign w:val="center"/>
            <w:hideMark/>
          </w:tcPr>
          <w:p w14:paraId="36460A25"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+131%</w:t>
            </w:r>
          </w:p>
        </w:tc>
      </w:tr>
    </w:tbl>
    <w:p w14:paraId="74B6C03B" w14:textId="41EE4368" w:rsidR="00FA0D33" w:rsidRPr="00FA0D33" w:rsidRDefault="00FA0D33" w:rsidP="00FA0D33">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e.g., </w:t>
      </w:r>
      <w:r w:rsidRPr="00FA0D33">
        <w:rPr>
          <w:rFonts w:ascii="Times New Roman" w:eastAsia="Times New Roman" w:hAnsi="Times New Roman" w:cs="Times New Roman"/>
          <w:sz w:val="24"/>
          <w:szCs w:val="24"/>
        </w:rPr>
        <w:t xml:space="preserve">At </w:t>
      </w:r>
      <w:r w:rsidRPr="00FA0D33">
        <w:rPr>
          <w:rFonts w:ascii="Times New Roman" w:eastAsia="Times New Roman" w:hAnsi="Times New Roman" w:cs="Times New Roman"/>
          <w:i/>
          <w:iCs/>
          <w:sz w:val="24"/>
          <w:szCs w:val="24"/>
        </w:rPr>
        <w:t>r</w:t>
      </w:r>
      <w:r w:rsidRPr="00FA0D33">
        <w:rPr>
          <w:rFonts w:ascii="Times New Roman" w:eastAsia="Times New Roman" w:hAnsi="Times New Roman" w:cs="Times New Roman"/>
          <w:sz w:val="24"/>
          <w:szCs w:val="24"/>
        </w:rPr>
        <w:t xml:space="preserve"> = 2 the original claims 200% of the compartment exits and is replaced. Impossible — you cannot lose twice everyone who was there.</w:t>
      </w:r>
    </w:p>
    <w:p w14:paraId="62143C70" w14:textId="77777777" w:rsidR="00FA0D33" w:rsidRPr="00FA0D33" w:rsidRDefault="00FA0D33" w:rsidP="00FA0D33">
      <w:pPr>
        <w:spacing w:before="100" w:beforeAutospacing="1" w:after="100" w:afterAutospacing="1"/>
        <w:rPr>
          <w:rFonts w:ascii="Times New Roman" w:eastAsia="Times New Roman" w:hAnsi="Times New Roman" w:cs="Times New Roman"/>
          <w:sz w:val="24"/>
          <w:szCs w:val="24"/>
        </w:rPr>
      </w:pPr>
      <w:r w:rsidRPr="00FA0D33">
        <w:rPr>
          <w:rFonts w:ascii="Times New Roman" w:eastAsia="Times New Roman" w:hAnsi="Times New Roman" w:cs="Times New Roman"/>
          <w:b/>
          <w:bCs/>
          <w:sz w:val="24"/>
          <w:szCs w:val="24"/>
        </w:rPr>
        <w:t>The diagnostic that exposes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1952"/>
        <w:gridCol w:w="995"/>
      </w:tblGrid>
      <w:tr w:rsidR="00FA0D33" w:rsidRPr="00FA0D33" w14:paraId="7540825F" w14:textId="77777777">
        <w:trPr>
          <w:tblHeader/>
          <w:tblCellSpacing w:w="15" w:type="dxa"/>
        </w:trPr>
        <w:tc>
          <w:tcPr>
            <w:tcW w:w="0" w:type="auto"/>
            <w:vAlign w:val="center"/>
            <w:hideMark/>
          </w:tcPr>
          <w:p w14:paraId="3D5F8288" w14:textId="77777777" w:rsidR="00FA0D33" w:rsidRPr="00FA0D33" w:rsidRDefault="00FA0D33" w:rsidP="00FA0D33">
            <w:pPr>
              <w:jc w:val="center"/>
              <w:rPr>
                <w:rFonts w:ascii="Times New Roman" w:eastAsia="Times New Roman" w:hAnsi="Times New Roman" w:cs="Times New Roman"/>
                <w:b/>
                <w:bCs/>
                <w:sz w:val="24"/>
                <w:szCs w:val="24"/>
              </w:rPr>
            </w:pPr>
            <w:r w:rsidRPr="00FA0D33">
              <w:rPr>
                <w:rFonts w:ascii="Times New Roman" w:eastAsia="Times New Roman" w:hAnsi="Times New Roman" w:cs="Times New Roman"/>
                <w:b/>
                <w:bCs/>
                <w:sz w:val="24"/>
                <w:szCs w:val="24"/>
              </w:rPr>
              <w:lastRenderedPageBreak/>
              <w:t>Formula</w:t>
            </w:r>
          </w:p>
        </w:tc>
        <w:tc>
          <w:tcPr>
            <w:tcW w:w="0" w:type="auto"/>
            <w:vAlign w:val="center"/>
            <w:hideMark/>
          </w:tcPr>
          <w:p w14:paraId="141F8030" w14:textId="77777777" w:rsidR="00FA0D33" w:rsidRPr="00FA0D33" w:rsidRDefault="00FA0D33" w:rsidP="00FA0D33">
            <w:pPr>
              <w:jc w:val="center"/>
              <w:rPr>
                <w:rFonts w:ascii="Times New Roman" w:eastAsia="Times New Roman" w:hAnsi="Times New Roman" w:cs="Times New Roman"/>
                <w:b/>
                <w:bCs/>
                <w:sz w:val="24"/>
                <w:szCs w:val="24"/>
              </w:rPr>
            </w:pPr>
            <w:r w:rsidRPr="00FA0D33">
              <w:rPr>
                <w:rFonts w:ascii="Times New Roman" w:eastAsia="Times New Roman" w:hAnsi="Times New Roman" w:cs="Times New Roman"/>
                <w:b/>
                <w:bCs/>
                <w:sz w:val="24"/>
                <w:szCs w:val="24"/>
              </w:rPr>
              <w:t xml:space="preserve">Behavior as </w:t>
            </w:r>
            <w:r w:rsidRPr="00FA0D33">
              <w:rPr>
                <w:rFonts w:ascii="Times New Roman" w:eastAsia="Times New Roman" w:hAnsi="Times New Roman" w:cs="Times New Roman"/>
                <w:b/>
                <w:bCs/>
                <w:i/>
                <w:iCs/>
                <w:sz w:val="24"/>
                <w:szCs w:val="24"/>
              </w:rPr>
              <w:t>r</w:t>
            </w:r>
            <w:r w:rsidRPr="00FA0D33">
              <w:rPr>
                <w:rFonts w:ascii="Times New Roman" w:eastAsia="Times New Roman" w:hAnsi="Times New Roman" w:cs="Times New Roman"/>
                <w:b/>
                <w:bCs/>
                <w:sz w:val="24"/>
                <w:szCs w:val="24"/>
              </w:rPr>
              <w:t xml:space="preserve"> → ∞</w:t>
            </w:r>
          </w:p>
        </w:tc>
        <w:tc>
          <w:tcPr>
            <w:tcW w:w="0" w:type="auto"/>
            <w:vAlign w:val="center"/>
            <w:hideMark/>
          </w:tcPr>
          <w:p w14:paraId="178570AE" w14:textId="77777777" w:rsidR="00FA0D33" w:rsidRPr="00FA0D33" w:rsidRDefault="00FA0D33" w:rsidP="00FA0D33">
            <w:pPr>
              <w:jc w:val="center"/>
              <w:rPr>
                <w:rFonts w:ascii="Times New Roman" w:eastAsia="Times New Roman" w:hAnsi="Times New Roman" w:cs="Times New Roman"/>
                <w:b/>
                <w:bCs/>
                <w:sz w:val="24"/>
                <w:szCs w:val="24"/>
              </w:rPr>
            </w:pPr>
            <w:r w:rsidRPr="00FA0D33">
              <w:rPr>
                <w:rFonts w:ascii="Times New Roman" w:eastAsia="Times New Roman" w:hAnsi="Times New Roman" w:cs="Times New Roman"/>
                <w:b/>
                <w:bCs/>
                <w:sz w:val="24"/>
                <w:szCs w:val="24"/>
              </w:rPr>
              <w:t>Correct?</w:t>
            </w:r>
          </w:p>
        </w:tc>
      </w:tr>
      <w:tr w:rsidR="00FA0D33" w:rsidRPr="00FA0D33" w14:paraId="5E4615BA" w14:textId="77777777">
        <w:trPr>
          <w:tblCellSpacing w:w="15" w:type="dxa"/>
        </w:trPr>
        <w:tc>
          <w:tcPr>
            <w:tcW w:w="0" w:type="auto"/>
            <w:vAlign w:val="center"/>
            <w:hideMark/>
          </w:tcPr>
          <w:p w14:paraId="46D67B6F"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i/>
                <w:iCs/>
                <w:sz w:val="24"/>
                <w:szCs w:val="24"/>
              </w:rPr>
              <w:t>u_C</w:t>
            </w:r>
            <w:r w:rsidRPr="00FA0D33">
              <w:rPr>
                <w:rFonts w:ascii="Times New Roman" w:eastAsia="Times New Roman" w:hAnsi="Times New Roman" w:cs="Times New Roman"/>
                <w:sz w:val="24"/>
                <w:szCs w:val="24"/>
              </w:rPr>
              <w:t xml:space="preserve">/(1 + </w:t>
            </w:r>
            <w:r w:rsidRPr="00FA0D33">
              <w:rPr>
                <w:rFonts w:ascii="Times New Roman" w:eastAsia="Times New Roman" w:hAnsi="Times New Roman" w:cs="Times New Roman"/>
                <w:i/>
                <w:iCs/>
                <w:sz w:val="24"/>
                <w:szCs w:val="24"/>
              </w:rPr>
              <w:t>r</w:t>
            </w:r>
            <w:r w:rsidRPr="00FA0D33">
              <w:rPr>
                <w:rFonts w:ascii="Times New Roman" w:eastAsia="Times New Roman" w:hAnsi="Times New Roman" w:cs="Times New Roman"/>
                <w:sz w:val="24"/>
                <w:szCs w:val="24"/>
              </w:rPr>
              <w:t>)</w:t>
            </w:r>
          </w:p>
        </w:tc>
        <w:tc>
          <w:tcPr>
            <w:tcW w:w="0" w:type="auto"/>
            <w:vAlign w:val="center"/>
            <w:hideMark/>
          </w:tcPr>
          <w:p w14:paraId="2D4A3428"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i/>
                <w:iCs/>
                <w:sz w:val="24"/>
                <w:szCs w:val="24"/>
              </w:rPr>
              <w:t>C</w:t>
            </w:r>
            <w:r w:rsidRPr="00FA0D33">
              <w:rPr>
                <w:rFonts w:ascii="Times New Roman" w:eastAsia="Times New Roman" w:hAnsi="Times New Roman" w:cs="Times New Roman"/>
                <w:sz w:val="24"/>
                <w:szCs w:val="24"/>
              </w:rPr>
              <w:t>*/</w:t>
            </w:r>
            <w:r w:rsidRPr="00FA0D33">
              <w:rPr>
                <w:rFonts w:ascii="Times New Roman" w:eastAsia="Times New Roman" w:hAnsi="Times New Roman" w:cs="Times New Roman"/>
                <w:i/>
                <w:iCs/>
                <w:sz w:val="24"/>
                <w:szCs w:val="24"/>
              </w:rPr>
              <w:t>u_C</w:t>
            </w:r>
            <w:r w:rsidRPr="00FA0D33">
              <w:rPr>
                <w:rFonts w:ascii="Times New Roman" w:eastAsia="Times New Roman" w:hAnsi="Times New Roman" w:cs="Times New Roman"/>
                <w:sz w:val="24"/>
                <w:szCs w:val="24"/>
              </w:rPr>
              <w:t xml:space="preserve"> → 0</w:t>
            </w:r>
          </w:p>
        </w:tc>
        <w:tc>
          <w:tcPr>
            <w:tcW w:w="0" w:type="auto"/>
            <w:vAlign w:val="center"/>
            <w:hideMark/>
          </w:tcPr>
          <w:p w14:paraId="12BFAC6A"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No</w:t>
            </w:r>
          </w:p>
        </w:tc>
      </w:tr>
      <w:tr w:rsidR="00FA0D33" w:rsidRPr="00FA0D33" w14:paraId="71AF7207" w14:textId="77777777">
        <w:trPr>
          <w:tblCellSpacing w:w="15" w:type="dxa"/>
        </w:trPr>
        <w:tc>
          <w:tcPr>
            <w:tcW w:w="0" w:type="auto"/>
            <w:vAlign w:val="center"/>
            <w:hideMark/>
          </w:tcPr>
          <w:p w14:paraId="41BC7BC1"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i/>
                <w:iCs/>
                <w:sz w:val="24"/>
                <w:szCs w:val="24"/>
              </w:rPr>
              <w:t>u_C</w:t>
            </w:r>
            <w:r w:rsidRPr="00FA0D33">
              <w:rPr>
                <w:rFonts w:ascii="Times New Roman" w:eastAsia="Times New Roman" w:hAnsi="Times New Roman" w:cs="Times New Roman"/>
                <w:sz w:val="24"/>
                <w:szCs w:val="24"/>
              </w:rPr>
              <w:t>/(2 − e^(−</w:t>
            </w:r>
            <w:r w:rsidRPr="00FA0D33">
              <w:rPr>
                <w:rFonts w:ascii="Times New Roman" w:eastAsia="Times New Roman" w:hAnsi="Times New Roman" w:cs="Times New Roman"/>
                <w:i/>
                <w:iCs/>
                <w:sz w:val="24"/>
                <w:szCs w:val="24"/>
              </w:rPr>
              <w:t>r</w:t>
            </w:r>
            <w:r w:rsidRPr="00FA0D33">
              <w:rPr>
                <w:rFonts w:ascii="Times New Roman" w:eastAsia="Times New Roman" w:hAnsi="Times New Roman" w:cs="Times New Roman"/>
                <w:sz w:val="24"/>
                <w:szCs w:val="24"/>
              </w:rPr>
              <w:t>))</w:t>
            </w:r>
          </w:p>
        </w:tc>
        <w:tc>
          <w:tcPr>
            <w:tcW w:w="0" w:type="auto"/>
            <w:vAlign w:val="center"/>
            <w:hideMark/>
          </w:tcPr>
          <w:p w14:paraId="76E46643"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i/>
                <w:iCs/>
                <w:sz w:val="24"/>
                <w:szCs w:val="24"/>
              </w:rPr>
              <w:t>C</w:t>
            </w:r>
            <w:r w:rsidRPr="00FA0D33">
              <w:rPr>
                <w:rFonts w:ascii="Times New Roman" w:eastAsia="Times New Roman" w:hAnsi="Times New Roman" w:cs="Times New Roman"/>
                <w:sz w:val="24"/>
                <w:szCs w:val="24"/>
              </w:rPr>
              <w:t>*/</w:t>
            </w:r>
            <w:r w:rsidRPr="00FA0D33">
              <w:rPr>
                <w:rFonts w:ascii="Times New Roman" w:eastAsia="Times New Roman" w:hAnsi="Times New Roman" w:cs="Times New Roman"/>
                <w:i/>
                <w:iCs/>
                <w:sz w:val="24"/>
                <w:szCs w:val="24"/>
              </w:rPr>
              <w:t>u_C</w:t>
            </w:r>
            <w:r w:rsidRPr="00FA0D33">
              <w:rPr>
                <w:rFonts w:ascii="Times New Roman" w:eastAsia="Times New Roman" w:hAnsi="Times New Roman" w:cs="Times New Roman"/>
                <w:sz w:val="24"/>
                <w:szCs w:val="24"/>
              </w:rPr>
              <w:t xml:space="preserve"> → 0.5</w:t>
            </w:r>
          </w:p>
        </w:tc>
        <w:tc>
          <w:tcPr>
            <w:tcW w:w="0" w:type="auto"/>
            <w:vAlign w:val="center"/>
            <w:hideMark/>
          </w:tcPr>
          <w:p w14:paraId="33341FA9" w14:textId="77777777" w:rsidR="00FA0D33" w:rsidRPr="00FA0D33" w:rsidRDefault="00FA0D33" w:rsidP="00FA0D33">
            <w:pPr>
              <w:rPr>
                <w:rFonts w:ascii="Times New Roman" w:eastAsia="Times New Roman" w:hAnsi="Times New Roman" w:cs="Times New Roman"/>
                <w:sz w:val="24"/>
                <w:szCs w:val="24"/>
              </w:rPr>
            </w:pPr>
            <w:r w:rsidRPr="00FA0D33">
              <w:rPr>
                <w:rFonts w:ascii="Times New Roman" w:eastAsia="Times New Roman" w:hAnsi="Times New Roman" w:cs="Times New Roman"/>
                <w:sz w:val="24"/>
                <w:szCs w:val="24"/>
              </w:rPr>
              <w:t>Yes</w:t>
            </w:r>
          </w:p>
        </w:tc>
      </w:tr>
    </w:tbl>
    <w:p w14:paraId="72B67C5D" w14:textId="77777777" w:rsidR="00FA0D33" w:rsidRPr="00FA0D33" w:rsidRDefault="00FA0D33" w:rsidP="00FA0D33">
      <w:pPr>
        <w:spacing w:before="100" w:beforeAutospacing="1" w:after="100" w:afterAutospacing="1"/>
        <w:rPr>
          <w:rFonts w:ascii="Times New Roman" w:eastAsia="Times New Roman" w:hAnsi="Times New Roman" w:cs="Times New Roman"/>
          <w:sz w:val="24"/>
          <w:szCs w:val="24"/>
        </w:rPr>
      </w:pPr>
      <w:r w:rsidRPr="00FA0D33">
        <w:rPr>
          <w:rFonts w:ascii="Times New Roman" w:eastAsia="Times New Roman" w:hAnsi="Times New Roman" w:cs="Times New Roman"/>
          <w:b/>
          <w:bCs/>
          <w:sz w:val="24"/>
          <w:szCs w:val="24"/>
        </w:rPr>
        <w:t>Annual users can never exceed twice point prevalence: at most everyone present at 1 Jan leaves and is replaced exactly once within the year</w:t>
      </w:r>
      <w:r w:rsidRPr="00FA0D33">
        <w:rPr>
          <w:rFonts w:ascii="Times New Roman" w:eastAsia="Times New Roman" w:hAnsi="Times New Roman" w:cs="Times New Roman"/>
          <w:sz w:val="24"/>
          <w:szCs w:val="24"/>
        </w:rPr>
        <w:t xml:space="preserve">. Any formula producing </w:t>
      </w:r>
      <w:r w:rsidRPr="00FA0D33">
        <w:rPr>
          <w:rFonts w:ascii="Times New Roman" w:eastAsia="Times New Roman" w:hAnsi="Times New Roman" w:cs="Times New Roman"/>
          <w:i/>
          <w:iCs/>
          <w:sz w:val="24"/>
          <w:szCs w:val="24"/>
        </w:rPr>
        <w:t>C</w:t>
      </w:r>
      <w:r w:rsidRPr="00FA0D33">
        <w:rPr>
          <w:rFonts w:ascii="Times New Roman" w:eastAsia="Times New Roman" w:hAnsi="Times New Roman" w:cs="Times New Roman"/>
          <w:sz w:val="24"/>
          <w:szCs w:val="24"/>
        </w:rPr>
        <w:t>*/</w:t>
      </w:r>
      <w:r w:rsidRPr="00FA0D33">
        <w:rPr>
          <w:rFonts w:ascii="Times New Roman" w:eastAsia="Times New Roman" w:hAnsi="Times New Roman" w:cs="Times New Roman"/>
          <w:i/>
          <w:iCs/>
          <w:sz w:val="24"/>
          <w:szCs w:val="24"/>
        </w:rPr>
        <w:t>u_C</w:t>
      </w:r>
      <w:r w:rsidRPr="00FA0D33">
        <w:rPr>
          <w:rFonts w:ascii="Times New Roman" w:eastAsia="Times New Roman" w:hAnsi="Times New Roman" w:cs="Times New Roman"/>
          <w:sz w:val="24"/>
          <w:szCs w:val="24"/>
        </w:rPr>
        <w:t xml:space="preserve"> &lt; 0.5 has violated a structural bound. The original does so for all </w:t>
      </w:r>
      <w:r w:rsidRPr="00FA0D33">
        <w:rPr>
          <w:rFonts w:ascii="Times New Roman" w:eastAsia="Times New Roman" w:hAnsi="Times New Roman" w:cs="Times New Roman"/>
          <w:i/>
          <w:iCs/>
          <w:sz w:val="24"/>
          <w:szCs w:val="24"/>
        </w:rPr>
        <w:t>r</w:t>
      </w:r>
      <w:r w:rsidRPr="00FA0D33">
        <w:rPr>
          <w:rFonts w:ascii="Times New Roman" w:eastAsia="Times New Roman" w:hAnsi="Times New Roman" w:cs="Times New Roman"/>
          <w:sz w:val="24"/>
          <w:szCs w:val="24"/>
        </w:rPr>
        <w:t xml:space="preserve"> &gt; 1 — which is every doxy-PEP scenario with mean duration under 12 months.</w:t>
      </w:r>
    </w:p>
    <w:p w14:paraId="6DD553A5" w14:textId="77777777" w:rsidR="00FA0D33" w:rsidRDefault="00FA0D33" w:rsidP="00FA0D33">
      <w:pPr>
        <w:spacing w:before="100" w:beforeAutospacing="1" w:after="100" w:afterAutospacing="1"/>
      </w:pPr>
      <w:r>
        <w:rPr>
          <w:rFonts w:ascii="Times New Roman" w:eastAsia="Times New Roman" w:hAnsi="Times New Roman" w:cs="Times New Roman"/>
          <w:sz w:val="24"/>
          <w:szCs w:val="24"/>
        </w:rPr>
        <w:t xml:space="preserve">Math: </w:t>
      </w:r>
      <w:r>
        <w:t>The key is the</w:t>
      </w:r>
      <w:r>
        <w:t xml:space="preserve"> Taylor approximation: 1 − e^(−</w:t>
      </w:r>
      <w:r>
        <w:rPr>
          <w:rStyle w:val="Emphasis"/>
        </w:rPr>
        <w:t>r</w:t>
      </w:r>
      <w:r>
        <w:t xml:space="preserve">) = </w:t>
      </w:r>
      <w:r>
        <w:rPr>
          <w:rStyle w:val="Emphasis"/>
        </w:rPr>
        <w:t>r</w:t>
      </w:r>
      <w:r>
        <w:t xml:space="preserve"> − </w:t>
      </w:r>
      <w:r>
        <w:rPr>
          <w:rStyle w:val="Emphasis"/>
        </w:rPr>
        <w:t>r</w:t>
      </w:r>
      <w:r>
        <w:t xml:space="preserve">²/2 + </w:t>
      </w:r>
      <w:r>
        <w:rPr>
          <w:rStyle w:val="Emphasis"/>
        </w:rPr>
        <w:t>r</w:t>
      </w:r>
      <w:r>
        <w:t xml:space="preserve">³/6 − …, </w:t>
      </w:r>
    </w:p>
    <w:p w14:paraId="667F9CCC" w14:textId="6F2F526D" w:rsidR="00FA0D33" w:rsidRPr="00FA0D33" w:rsidRDefault="00FA0D33" w:rsidP="00FA0D33">
      <w:pPr>
        <w:spacing w:before="100" w:beforeAutospacing="1" w:after="100" w:afterAutospacing="1"/>
        <w:rPr>
          <w:rFonts w:ascii="Times New Roman" w:eastAsia="Times New Roman" w:hAnsi="Times New Roman" w:cs="Times New Roman"/>
          <w:sz w:val="24"/>
          <w:szCs w:val="24"/>
        </w:rPr>
      </w:pPr>
      <w:r>
        <w:t xml:space="preserve">If </w:t>
      </w:r>
      <w:r>
        <w:rPr>
          <w:rStyle w:val="Emphasis"/>
        </w:rPr>
        <w:t>r</w:t>
      </w:r>
      <w:r>
        <w:t xml:space="preserve"> ≤ 0.2, </w:t>
      </w:r>
      <w:r>
        <w:t xml:space="preserve">it’s OK to truncate after the first term, but when </w:t>
      </w:r>
      <w:r>
        <w:rPr>
          <w:rStyle w:val="Emphasis"/>
        </w:rPr>
        <w:t>r</w:t>
      </w:r>
      <w:r>
        <w:t xml:space="preserve"> ≥ 1</w:t>
      </w:r>
      <w:r>
        <w:t xml:space="preserve"> this simplification doesn’t hold</w:t>
      </w:r>
      <w:r>
        <w:t>. Doxy-PEP durations</w:t>
      </w:r>
      <w:r>
        <w:t xml:space="preserve"> (e.g. if duration is 3-6m: then r=1/d= [2-4]; p=e^-r= [0.018-0.135])</w:t>
      </w:r>
      <w:r>
        <w:t xml:space="preserve"> sit in the range where it fails hardest.</w:t>
      </w:r>
    </w:p>
    <w:p w14:paraId="23AC9898" w14:textId="77777777" w:rsidR="00FA0D33" w:rsidRDefault="00FA0D33" w:rsidP="00FA0D33">
      <w:pPr>
        <w:spacing w:after="120"/>
      </w:pPr>
    </w:p>
    <w:p w14:paraId="6D089E8A" w14:textId="465536D3" w:rsidR="005B735D" w:rsidRDefault="005B735D" w:rsidP="002743F9">
      <w:pPr>
        <w:spacing w:after="80"/>
        <w:ind w:left="360"/>
        <w:jc w:val="center"/>
        <w:rPr>
          <w:b/>
          <w:bCs/>
        </w:rPr>
      </w:pPr>
    </w:p>
    <w:p w14:paraId="0D502A5F" w14:textId="77777777" w:rsidR="002743F9" w:rsidRPr="00AD44AB" w:rsidRDefault="002743F9" w:rsidP="005B735D">
      <w:pPr>
        <w:spacing w:after="80"/>
        <w:ind w:left="360"/>
        <w:rPr>
          <w:b/>
          <w:bCs/>
        </w:rPr>
      </w:pPr>
    </w:p>
    <w:p w14:paraId="7EB6FE87" w14:textId="6031ED24" w:rsidR="005B735D" w:rsidRDefault="005B735D" w:rsidP="005B735D">
      <w:pPr>
        <w:spacing w:after="120"/>
      </w:pPr>
      <w:r w:rsidRPr="00AD44AB">
        <w:rPr>
          <w:b/>
          <w:bCs/>
        </w:rPr>
        <w:t xml:space="preserve">Where u_C is the annual </w:t>
      </w:r>
      <w:r w:rsidR="00AD44AB" w:rsidRPr="00AD44AB">
        <w:rPr>
          <w:b/>
          <w:bCs/>
        </w:rPr>
        <w:t xml:space="preserve">uptake </w:t>
      </w:r>
      <w:r w:rsidRPr="00AD44AB">
        <w:rPr>
          <w:b/>
          <w:bCs/>
        </w:rPr>
        <w:t>(</w:t>
      </w:r>
      <w:r w:rsidR="00BE6812" w:rsidRPr="00AD44AB">
        <w:rPr>
          <w:b/>
          <w:bCs/>
          <w:i/>
          <w:iCs/>
        </w:rPr>
        <w:t>fraction of the total eligible population (</w:t>
      </w:r>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elig</m:t>
            </m:r>
          </m:sub>
        </m:sSub>
        <m:r>
          <m:rPr>
            <m:sty m:val="bi"/>
          </m:rPr>
          <w:rPr>
            <w:rFonts w:ascii="Cambria Math" w:hAnsi="Cambria Math"/>
          </w:rPr>
          <m:t xml:space="preserve">) </m:t>
        </m:r>
      </m:oMath>
      <w:r w:rsidR="00BE6812" w:rsidRPr="00AD44AB">
        <w:rPr>
          <w:b/>
          <w:bCs/>
          <w:i/>
          <w:iCs/>
        </w:rPr>
        <w:t>that fills a doxy prescription in a year</w:t>
      </w:r>
      <w:r w:rsidR="002743F9">
        <w:rPr>
          <w:b/>
          <w:bCs/>
          <w:i/>
          <w:iCs/>
        </w:rPr>
        <w:t xml:space="preserve">, including those </w:t>
      </w:r>
      <w:r w:rsidR="00BE6812" w:rsidRPr="00AD44AB">
        <w:rPr>
          <w:b/>
          <w:bCs/>
          <w:i/>
          <w:iCs/>
        </w:rPr>
        <w:t>newly starting or continuing from last year</w:t>
      </w:r>
      <w:r w:rsidRPr="00AD44AB">
        <w:rPr>
          <w:b/>
          <w:bCs/>
        </w:rPr>
        <w:t>)</w:t>
      </w:r>
      <w:r>
        <w:t>.</w:t>
      </w:r>
    </w:p>
    <w:p w14:paraId="09CE6E26" w14:textId="77777777" w:rsidR="00AA0354" w:rsidRDefault="003048F4" w:rsidP="005B735D">
      <w:pPr>
        <w:spacing w:after="120"/>
      </w:pPr>
      <w:r>
        <w:t xml:space="preserve">This definition works better for our model. </w:t>
      </w:r>
    </w:p>
    <w:p w14:paraId="7BD53E12" w14:textId="6F160E3A" w:rsidR="003048F4" w:rsidRDefault="00AA0354" w:rsidP="00AA0354">
      <w:pPr>
        <w:pStyle w:val="ListParagraph"/>
        <w:numPr>
          <w:ilvl w:val="0"/>
          <w:numId w:val="7"/>
        </w:numPr>
        <w:spacing w:after="120"/>
      </w:pPr>
      <w:r>
        <w:t>I</w:t>
      </w:r>
      <w:r w:rsidR="003048F4">
        <w:t xml:space="preserve">f r=0, </w:t>
      </w:r>
      <w:r>
        <w:t xml:space="preserve">C = u_C: coverage is equal to </w:t>
      </w:r>
      <w:r w:rsidR="003037C6">
        <w:t>uptake: the fraction of population covered by Doxy is essentially the fraction of population filling a prescription in that year because there is no discontinuation</w:t>
      </w:r>
    </w:p>
    <w:p w14:paraId="1A9854C4" w14:textId="006E3246" w:rsidR="003037C6" w:rsidRDefault="003037C6" w:rsidP="00AA0354">
      <w:pPr>
        <w:pStyle w:val="ListParagraph"/>
        <w:numPr>
          <w:ilvl w:val="0"/>
          <w:numId w:val="7"/>
        </w:numPr>
        <w:spacing w:after="120"/>
      </w:pPr>
      <w:r>
        <w:t xml:space="preserve">If r&gt;0: C=u_c/1+r &gt;&gt; </w:t>
      </w:r>
      <w:r w:rsidR="001F72C8">
        <w:t>in this case, the fractional population covered by Doxy is a smaller than the fraction of population filling a prescription for Doxy in that year because there is some discontinuation during the year</w:t>
      </w:r>
    </w:p>
    <w:p w14:paraId="603FE994" w14:textId="77777777" w:rsidR="001F72C8" w:rsidRDefault="001F72C8" w:rsidP="005B735D">
      <w:pPr>
        <w:spacing w:after="120"/>
      </w:pPr>
    </w:p>
    <w:p w14:paraId="7F50F2CA" w14:textId="4BDBB3D1" w:rsidR="005B735D" w:rsidRDefault="005B735D" w:rsidP="005B735D">
      <w:pPr>
        <w:spacing w:after="120"/>
      </w:pPr>
      <w:r>
        <w:t>In absolute counts</w:t>
      </w:r>
      <w:r w:rsidR="001F72C8">
        <w:t xml:space="preserve"> (</w:t>
      </w:r>
      <w:r w:rsidR="00A35D75">
        <w:t>this is the value that the observed from market scan):</w:t>
      </w:r>
    </w:p>
    <w:p w14:paraId="5F7F22D9" w14:textId="77777777" w:rsidR="005B735D" w:rsidRDefault="005B735D" w:rsidP="005B735D">
      <w:pPr>
        <w:spacing w:before="140" w:after="140"/>
        <w:jc w:val="center"/>
      </w:pPr>
      <w:r>
        <w:rPr>
          <w:rFonts w:ascii="Cambria Math" w:eastAsia="Cambria Math" w:hAnsi="Cambria Math" w:cs="Cambria Math"/>
          <w:b/>
          <w:bCs/>
          <w:sz w:val="24"/>
          <w:szCs w:val="24"/>
        </w:rPr>
        <w:t>Annual unique users = u_C · N_elig = (1 + r) · C* · N_elig</w:t>
      </w:r>
    </w:p>
    <w:p w14:paraId="2B68B53A" w14:textId="77777777" w:rsidR="005B735D" w:rsidRDefault="005B735D" w:rsidP="005B735D"/>
    <w:p w14:paraId="6AFD361A" w14:textId="77777777" w:rsidR="005B735D" w:rsidRDefault="005B735D" w:rsidP="005B735D"/>
    <w:p w14:paraId="0F1180F4" w14:textId="77777777" w:rsidR="00BE6812" w:rsidRDefault="00BE6812" w:rsidP="00BE6812">
      <w:pPr>
        <w:pStyle w:val="Heading2"/>
      </w:pPr>
      <w:r>
        <w:t>Converting Observed Pharmacy Data to ODE Parameters</w:t>
      </w:r>
    </w:p>
    <w:p w14:paraId="2D8CCDB5" w14:textId="77777777" w:rsidR="00BE6812" w:rsidRDefault="00BE6812" w:rsidP="00BE6812">
      <w:pPr>
        <w:spacing w:after="120"/>
      </w:pPr>
      <w:r>
        <w:t xml:space="preserve">From data (e.g., MarketScan, KPNC pharmacy fills) we observe u_C directly. To parameterize your ODE, we need u_ODE.  </w:t>
      </w:r>
    </w:p>
    <w:p w14:paraId="0DBC7405" w14:textId="77777777" w:rsidR="00BE6812" w:rsidRPr="00BE6812" w:rsidRDefault="00BE6812" w:rsidP="00BE6812">
      <w:pPr>
        <w:rPr>
          <w:b/>
          <w:bCs/>
        </w:rPr>
      </w:pPr>
      <w:r w:rsidRPr="00BE6812">
        <w:rPr>
          <w:b/>
          <w:bCs/>
        </w:rPr>
        <w:t>The Conversion Formulas</w:t>
      </w:r>
    </w:p>
    <w:p w14:paraId="11BBA070" w14:textId="77777777" w:rsidR="00BE6812" w:rsidRDefault="00BE6812" w:rsidP="00BE6812">
      <w:pPr>
        <w:spacing w:after="120"/>
      </w:pPr>
      <w:r>
        <w:t>From steady state:</w:t>
      </w:r>
    </w:p>
    <w:p w14:paraId="66069A23" w14:textId="77777777" w:rsidR="00BE6812" w:rsidRDefault="00BE6812" w:rsidP="00BE6812">
      <w:pPr>
        <w:spacing w:before="140" w:after="140"/>
        <w:jc w:val="center"/>
      </w:pPr>
      <w:r>
        <w:rPr>
          <w:rFonts w:ascii="Cambria Math" w:eastAsia="Cambria Math" w:hAnsi="Cambria Math" w:cs="Cambria Math"/>
          <w:b/>
          <w:bCs/>
          <w:sz w:val="24"/>
          <w:szCs w:val="24"/>
        </w:rPr>
        <w:t>C* = u_ODE / r</w:t>
      </w:r>
    </w:p>
    <w:p w14:paraId="26542C6C" w14:textId="77777777" w:rsidR="00BE6812" w:rsidRDefault="00BE6812" w:rsidP="00BE6812">
      <w:pPr>
        <w:spacing w:after="120"/>
      </w:pPr>
      <w:r>
        <w:t>From unique-user counting:</w:t>
      </w:r>
    </w:p>
    <w:p w14:paraId="063900CE" w14:textId="77777777" w:rsidR="00BE6812" w:rsidRDefault="00BE6812" w:rsidP="00BE6812">
      <w:pPr>
        <w:spacing w:before="140" w:after="140"/>
        <w:jc w:val="center"/>
      </w:pPr>
      <w:r>
        <w:rPr>
          <w:rFonts w:ascii="Cambria Math" w:eastAsia="Cambria Math" w:hAnsi="Cambria Math" w:cs="Cambria Math"/>
          <w:b/>
          <w:bCs/>
          <w:sz w:val="24"/>
          <w:szCs w:val="24"/>
        </w:rPr>
        <w:t>C* = u_C / (1 + r)</w:t>
      </w:r>
    </w:p>
    <w:p w14:paraId="53E0A2F2" w14:textId="77777777" w:rsidR="00BE6812" w:rsidRDefault="00BE6812" w:rsidP="00BE6812">
      <w:pPr>
        <w:spacing w:after="120"/>
      </w:pPr>
      <w:r>
        <w:t>Setting equal and solving:</w:t>
      </w:r>
    </w:p>
    <w:p w14:paraId="6BD7FC06" w14:textId="77777777" w:rsidR="00BE6812" w:rsidRDefault="00BE6812" w:rsidP="00BE6812">
      <w:pPr>
        <w:spacing w:before="140" w:after="140"/>
        <w:jc w:val="center"/>
      </w:pPr>
      <w:r>
        <w:rPr>
          <w:rFonts w:ascii="Cambria Math" w:eastAsia="Cambria Math" w:hAnsi="Cambria Math" w:cs="Cambria Math"/>
          <w:b/>
          <w:bCs/>
          <w:sz w:val="24"/>
          <w:szCs w:val="24"/>
        </w:rPr>
        <w:t>u_ODE = r · u_C / (1 + r)</w:t>
      </w:r>
    </w:p>
    <w:p w14:paraId="57EC516A" w14:textId="77777777" w:rsidR="00BE6812" w:rsidRDefault="00BE6812" w:rsidP="00BE6812">
      <w:pPr>
        <w:spacing w:before="160"/>
      </w:pPr>
    </w:p>
    <w:p w14:paraId="207FD2C3" w14:textId="77777777" w:rsidR="00BE6812" w:rsidRDefault="00BE6812" w:rsidP="00BE6812">
      <w:pPr>
        <w:pStyle w:val="Heading2"/>
        <w:spacing w:before="320"/>
      </w:pPr>
      <w:r>
        <w:t>Numerical Example</w:t>
      </w:r>
    </w:p>
    <w:p w14:paraId="62C5576F" w14:textId="77777777" w:rsidR="00BE6812" w:rsidRDefault="00BE6812" w:rsidP="00BE6812">
      <w:pPr>
        <w:spacing w:after="120"/>
      </w:pPr>
      <w:r>
        <w:lastRenderedPageBreak/>
        <w:t xml:space="preserve">Base case: </w:t>
      </w:r>
    </w:p>
    <w:p w14:paraId="4FA7A2F6" w14:textId="77777777" w:rsidR="00584A78" w:rsidRDefault="00BE6812" w:rsidP="00BE6812">
      <w:pPr>
        <w:spacing w:after="120"/>
      </w:pPr>
      <w:r>
        <w:t>Let assume</w:t>
      </w:r>
      <w:r w:rsidR="009279CC">
        <w:t xml:space="preserve"> </w:t>
      </w:r>
      <w:r w:rsidR="00584A78">
        <w:t>that 15% of population receiving Doxy continue to use it by the end of the year.</w:t>
      </w:r>
      <w:r>
        <w:t xml:space="preserve"> P = 0.15</w:t>
      </w:r>
    </w:p>
    <w:p w14:paraId="47B819EF" w14:textId="6D239806" w:rsidR="00BE6812" w:rsidRDefault="00584A78" w:rsidP="00BE6812">
      <w:pPr>
        <w:spacing w:after="120"/>
      </w:pPr>
      <w:r>
        <w:t>T</w:t>
      </w:r>
      <w:r w:rsidR="00BE6812">
        <w:t xml:space="preserve">his gives </w:t>
      </w:r>
      <w:r w:rsidR="009279CC">
        <w:t xml:space="preserve">a discontinuation </w:t>
      </w:r>
      <w:r w:rsidR="00BE6812">
        <w:t>r = 1.90 (r= -Ln(P))</w:t>
      </w:r>
    </w:p>
    <w:p w14:paraId="7CC7D324" w14:textId="5713AF61" w:rsidR="00BE6812" w:rsidRDefault="00BE6812" w:rsidP="00BE6812">
      <w:pPr>
        <w:spacing w:after="120"/>
      </w:pPr>
      <w:r>
        <w:t>Marketscan gives observed u_C = 0.20 (20% of eligible</w:t>
      </w:r>
      <w:r w:rsidR="002D00EC">
        <w:t xml:space="preserve"> males</w:t>
      </w:r>
      <w:r>
        <w:t xml:space="preserve"> fill</w:t>
      </w:r>
      <w:r w:rsidR="002D00EC">
        <w:t>ed</w:t>
      </w:r>
      <w:r>
        <w:t xml:space="preserve"> a doxy prescription </w:t>
      </w:r>
      <w:r w:rsidR="002D00EC">
        <w:t xml:space="preserve">in a </w:t>
      </w:r>
      <w:r>
        <w:t>year)</w:t>
      </w:r>
    </w:p>
    <w:p w14:paraId="18FC0CCF" w14:textId="77777777" w:rsidR="00BE6812" w:rsidRPr="00827EA3" w:rsidRDefault="00BE6812" w:rsidP="00BE6812">
      <w:pPr>
        <w:pStyle w:val="ListParagraph"/>
        <w:numPr>
          <w:ilvl w:val="0"/>
          <w:numId w:val="6"/>
        </w:numPr>
        <w:spacing w:after="120"/>
        <w:rPr>
          <w:color w:val="C00000"/>
        </w:rPr>
      </w:pPr>
      <w:commentRangeStart w:id="0"/>
      <w:r w:rsidRPr="00827EA3">
        <w:rPr>
          <w:color w:val="C00000"/>
        </w:rPr>
        <w:t>we can compute u_ODE to use in JHEEM:</w:t>
      </w:r>
    </w:p>
    <w:p w14:paraId="18841713" w14:textId="77777777" w:rsidR="00BE6812" w:rsidRPr="00827EA3" w:rsidRDefault="00BE6812" w:rsidP="00BE6812">
      <w:pPr>
        <w:spacing w:after="80"/>
        <w:ind w:left="360"/>
        <w:rPr>
          <w:color w:val="C00000"/>
        </w:rPr>
      </w:pPr>
      <w:r w:rsidRPr="00827EA3">
        <w:rPr>
          <w:color w:val="C00000"/>
        </w:rPr>
        <w:t>•  u_ODE = 1.90 × 0.20 / (1 + 1.90) = 0.38 / 2.90 ≈ 0.131 per year</w:t>
      </w:r>
    </w:p>
    <w:p w14:paraId="1E75FE62" w14:textId="77777777" w:rsidR="00BE6812" w:rsidRPr="00827EA3" w:rsidRDefault="00BE6812" w:rsidP="00BE6812">
      <w:pPr>
        <w:spacing w:after="80"/>
        <w:ind w:left="360"/>
        <w:rPr>
          <w:color w:val="C00000"/>
        </w:rPr>
      </w:pPr>
      <w:r w:rsidRPr="00827EA3">
        <w:rPr>
          <w:color w:val="C00000"/>
        </w:rPr>
        <w:t>•  C* = u_ODE / r = 0.131 / 1.90 ≈ 0.069 (6.9% point-prevalent coverage)</w:t>
      </w:r>
    </w:p>
    <w:p w14:paraId="2FACBE35" w14:textId="77777777" w:rsidR="00BE6812" w:rsidRPr="00827EA3" w:rsidRDefault="00BE6812" w:rsidP="00BE6812">
      <w:pPr>
        <w:spacing w:after="80"/>
        <w:ind w:left="360"/>
        <w:rPr>
          <w:color w:val="C00000"/>
        </w:rPr>
      </w:pPr>
      <w:r w:rsidRPr="00827EA3">
        <w:rPr>
          <w:color w:val="C00000"/>
        </w:rPr>
        <w:t xml:space="preserve">•  Verify: u_C = (1 + r) · C* = 2.90 × 0.069 = 0.20 </w:t>
      </w:r>
    </w:p>
    <w:p w14:paraId="1109D179" w14:textId="77777777" w:rsidR="00BE6812" w:rsidRPr="00827EA3" w:rsidRDefault="00BE6812" w:rsidP="00BE6812">
      <w:pPr>
        <w:spacing w:after="120"/>
        <w:rPr>
          <w:color w:val="C00000"/>
        </w:rPr>
      </w:pPr>
    </w:p>
    <w:p w14:paraId="40B5B6BF" w14:textId="77777777" w:rsidR="00BE6812" w:rsidRPr="00827EA3" w:rsidRDefault="00BE6812" w:rsidP="00BE6812">
      <w:pPr>
        <w:spacing w:after="120"/>
        <w:rPr>
          <w:color w:val="C00000"/>
        </w:rPr>
      </w:pPr>
      <w:r w:rsidRPr="00827EA3">
        <w:rPr>
          <w:color w:val="C00000"/>
        </w:rPr>
        <w:t>Interpretation: 20% of eligible MSM fill a prescription during the year, but only ~7% are on doxy at any given instant, because people cycle on and off quickly with low persistence.</w:t>
      </w:r>
      <w:commentRangeEnd w:id="0"/>
      <w:r w:rsidR="00827EA3" w:rsidRPr="00827EA3">
        <w:rPr>
          <w:rStyle w:val="CommentReference"/>
          <w:color w:val="C00000"/>
          <w:sz w:val="22"/>
          <w:szCs w:val="22"/>
        </w:rPr>
        <w:commentReference w:id="0"/>
      </w:r>
    </w:p>
    <w:p w14:paraId="1630822C" w14:textId="77777777" w:rsidR="005B735D" w:rsidRDefault="005B735D">
      <w:pPr>
        <w:pStyle w:val="Heading1"/>
        <w:spacing w:before="320" w:after="160"/>
      </w:pPr>
    </w:p>
    <w:p w14:paraId="2ECA90F5" w14:textId="77777777" w:rsidR="0016702A" w:rsidRPr="00827EA3" w:rsidRDefault="00DD2EED" w:rsidP="009A2406">
      <w:pPr>
        <w:pStyle w:val="Heading2"/>
      </w:pPr>
      <w:r w:rsidRPr="00827EA3">
        <w:rPr>
          <w:sz w:val="28"/>
          <w:szCs w:val="28"/>
        </w:rPr>
        <w:t>Doxy-</w:t>
      </w:r>
      <w:r w:rsidR="0016702A" w:rsidRPr="00827EA3">
        <w:t>Validating the Hazard Rate Against Pharmacy Data</w:t>
      </w:r>
    </w:p>
    <w:p w14:paraId="2C27DA53" w14:textId="77777777" w:rsidR="0016702A" w:rsidRPr="00827EA3" w:rsidRDefault="0016702A" w:rsidP="0016702A">
      <w:pPr>
        <w:spacing w:after="120"/>
        <w:rPr>
          <w:color w:val="C00000"/>
        </w:rPr>
      </w:pPr>
      <w:r w:rsidRPr="00827EA3">
        <w:rPr>
          <w:color w:val="C00000"/>
        </w:rPr>
        <w:t xml:space="preserve">A useful property of the continuous model: </w:t>
      </w:r>
    </w:p>
    <w:p w14:paraId="0FEF7B65" w14:textId="77777777" w:rsidR="0016702A" w:rsidRPr="00827EA3" w:rsidRDefault="0016702A" w:rsidP="0016702A">
      <w:pPr>
        <w:spacing w:before="140" w:after="140"/>
        <w:jc w:val="center"/>
        <w:rPr>
          <w:color w:val="C00000"/>
        </w:rPr>
      </w:pPr>
      <w:r w:rsidRPr="00827EA3">
        <w:rPr>
          <w:rFonts w:ascii="Cambria Math" w:eastAsia="Cambria Math" w:hAnsi="Cambria Math" w:cs="Cambria Math"/>
          <w:b/>
          <w:bCs/>
          <w:color w:val="C00000"/>
          <w:sz w:val="24"/>
          <w:szCs w:val="24"/>
        </w:rPr>
        <w:t>Mean duration on treatment = 1 / r</w:t>
      </w:r>
    </w:p>
    <w:p w14:paraId="715D91FA" w14:textId="77777777" w:rsidR="0016702A" w:rsidRPr="00827EA3" w:rsidRDefault="0016702A" w:rsidP="0016702A">
      <w:pPr>
        <w:spacing w:after="120"/>
        <w:rPr>
          <w:color w:val="C00000"/>
        </w:rPr>
      </w:pPr>
      <w:r w:rsidRPr="00827EA3">
        <w:rPr>
          <w:color w:val="C00000"/>
        </w:rPr>
        <w:t>At P = 0.28:</w:t>
      </w:r>
    </w:p>
    <w:p w14:paraId="2DB61E2E" w14:textId="77777777" w:rsidR="0016702A" w:rsidRPr="00827EA3" w:rsidRDefault="0016702A" w:rsidP="0016702A">
      <w:pPr>
        <w:spacing w:after="80"/>
        <w:ind w:left="360" w:hanging="200"/>
        <w:rPr>
          <w:color w:val="C00000"/>
        </w:rPr>
      </w:pPr>
      <w:r w:rsidRPr="00827EA3">
        <w:rPr>
          <w:color w:val="C00000"/>
        </w:rPr>
        <w:t>•  Mean duration = 1 / 1.27 ≈ 0.79 years ≈ 288 days</w:t>
      </w:r>
    </w:p>
    <w:p w14:paraId="3EB09604" w14:textId="77777777" w:rsidR="0016702A" w:rsidRPr="00827EA3" w:rsidRDefault="0016702A" w:rsidP="0016702A">
      <w:pPr>
        <w:spacing w:after="80"/>
        <w:ind w:left="360" w:hanging="200"/>
        <w:rPr>
          <w:color w:val="C00000"/>
        </w:rPr>
      </w:pPr>
      <w:r w:rsidRPr="00827EA3">
        <w:rPr>
          <w:color w:val="C00000"/>
        </w:rPr>
        <w:t xml:space="preserve">•  KPNC refiller mean duration: 291 days (152 days ÷ 0.522). </w:t>
      </w:r>
      <w:r w:rsidRPr="00827EA3">
        <w:rPr>
          <w:rFonts w:ascii="Segoe UI Symbol" w:hAnsi="Segoe UI Symbol" w:cs="Segoe UI Symbol"/>
          <w:color w:val="C00000"/>
        </w:rPr>
        <w:t>✓</w:t>
      </w:r>
      <w:r w:rsidRPr="00827EA3">
        <w:rPr>
          <w:color w:val="C00000"/>
        </w:rPr>
        <w:t xml:space="preserve"> Internally consistent with pharmacy-fill data.</w:t>
      </w:r>
    </w:p>
    <w:p w14:paraId="1777DFFD" w14:textId="77777777" w:rsidR="0016702A" w:rsidRPr="00827EA3" w:rsidRDefault="0016702A" w:rsidP="0016702A">
      <w:pPr>
        <w:spacing w:after="120"/>
        <w:rPr>
          <w:color w:val="C00000"/>
        </w:rPr>
      </w:pPr>
      <w:r w:rsidRPr="00827EA3">
        <w:rPr>
          <w:color w:val="C00000"/>
        </w:rPr>
        <w:t>At P = 0.15 (population-level estimate):</w:t>
      </w:r>
    </w:p>
    <w:p w14:paraId="6CD899CA" w14:textId="77777777" w:rsidR="0016702A" w:rsidRPr="00827EA3" w:rsidRDefault="0016702A" w:rsidP="0016702A">
      <w:pPr>
        <w:spacing w:after="80"/>
        <w:ind w:left="360" w:hanging="200"/>
        <w:rPr>
          <w:color w:val="C00000"/>
        </w:rPr>
      </w:pPr>
      <w:r w:rsidRPr="00827EA3">
        <w:rPr>
          <w:color w:val="C00000"/>
        </w:rPr>
        <w:t>•  r = −ln(0.15) ≈ 1.90 per year</w:t>
      </w:r>
    </w:p>
    <w:p w14:paraId="4C90D304" w14:textId="77777777" w:rsidR="0016702A" w:rsidRPr="00827EA3" w:rsidRDefault="0016702A" w:rsidP="0016702A">
      <w:pPr>
        <w:spacing w:after="80"/>
        <w:ind w:left="360" w:hanging="200"/>
        <w:rPr>
          <w:color w:val="C00000"/>
        </w:rPr>
      </w:pPr>
      <w:r w:rsidRPr="00827EA3">
        <w:rPr>
          <w:color w:val="C00000"/>
        </w:rPr>
        <w:t>•  Mean duration = 1 / 1.90 ≈ 0.53 years ≈ 192 days</w:t>
      </w:r>
    </w:p>
    <w:p w14:paraId="6AFC2B60" w14:textId="77777777" w:rsidR="0016702A" w:rsidRPr="00827EA3" w:rsidRDefault="0016702A" w:rsidP="0016702A">
      <w:pPr>
        <w:spacing w:after="80"/>
        <w:ind w:left="360" w:hanging="200"/>
        <w:rPr>
          <w:color w:val="C00000"/>
        </w:rPr>
      </w:pPr>
      <w:r w:rsidRPr="00827EA3">
        <w:rPr>
          <w:color w:val="C00000"/>
        </w:rPr>
        <w:t>•  Slightly higher than KPNC’s 152 days because the exponential assumption redistributes the mass differently than the mixture model, but in the same ballpark</w:t>
      </w:r>
    </w:p>
    <w:p w14:paraId="6718E36E" w14:textId="77777777" w:rsidR="0016702A" w:rsidRPr="00827EA3" w:rsidRDefault="0016702A" w:rsidP="0016702A">
      <w:pPr>
        <w:spacing w:before="160" w:after="80"/>
        <w:rPr>
          <w:color w:val="C00000"/>
        </w:rPr>
      </w:pPr>
      <w:r w:rsidRPr="00827EA3">
        <w:rPr>
          <w:b/>
          <w:bCs/>
          <w:color w:val="C00000"/>
        </w:rPr>
        <w:t>Base-case parameters for the continuous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900"/>
        <w:gridCol w:w="3260"/>
      </w:tblGrid>
      <w:tr w:rsidR="0016702A" w:rsidRPr="00827EA3" w14:paraId="0C826707" w14:textId="77777777" w:rsidTr="003346BE">
        <w:trPr>
          <w:tblHeader/>
        </w:trPr>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100" w:type="dxa"/>
              <w:left w:w="120" w:type="dxa"/>
              <w:bottom w:w="100" w:type="dxa"/>
              <w:right w:w="120" w:type="dxa"/>
            </w:tcMar>
          </w:tcPr>
          <w:p w14:paraId="40D9DFFB" w14:textId="77777777" w:rsidR="0016702A" w:rsidRPr="00827EA3" w:rsidRDefault="0016702A" w:rsidP="003346BE">
            <w:pPr>
              <w:rPr>
                <w:color w:val="C00000"/>
              </w:rPr>
            </w:pPr>
            <w:r w:rsidRPr="00827EA3">
              <w:rPr>
                <w:b/>
                <w:bCs/>
                <w:color w:val="C00000"/>
                <w:sz w:val="20"/>
                <w:szCs w:val="20"/>
              </w:rPr>
              <w:t>Quantity</w:t>
            </w:r>
          </w:p>
        </w:tc>
        <w:tc>
          <w:tcPr>
            <w:tcW w:w="1700" w:type="dxa"/>
            <w:tcBorders>
              <w:top w:val="single" w:sz="1" w:space="0" w:color="B0B0B0"/>
              <w:left w:val="single" w:sz="1" w:space="0" w:color="B0B0B0"/>
              <w:bottom w:val="single" w:sz="1" w:space="0" w:color="B0B0B0"/>
              <w:right w:val="single" w:sz="1" w:space="0" w:color="B0B0B0"/>
            </w:tcBorders>
            <w:shd w:val="clear" w:color="auto" w:fill="1F3864"/>
            <w:tcMar>
              <w:top w:w="100" w:type="dxa"/>
              <w:left w:w="120" w:type="dxa"/>
              <w:bottom w:w="100" w:type="dxa"/>
              <w:right w:w="120" w:type="dxa"/>
            </w:tcMar>
          </w:tcPr>
          <w:p w14:paraId="0172850B" w14:textId="77777777" w:rsidR="0016702A" w:rsidRPr="00827EA3" w:rsidRDefault="0016702A" w:rsidP="003346BE">
            <w:pPr>
              <w:rPr>
                <w:color w:val="C00000"/>
              </w:rPr>
            </w:pPr>
            <w:r w:rsidRPr="00827EA3">
              <w:rPr>
                <w:b/>
                <w:bCs/>
                <w:color w:val="C00000"/>
                <w:sz w:val="20"/>
                <w:szCs w:val="20"/>
              </w:rPr>
              <w:t>Base case</w:t>
            </w:r>
          </w:p>
        </w:tc>
        <w:tc>
          <w:tcPr>
            <w:tcW w:w="1900" w:type="dxa"/>
            <w:tcBorders>
              <w:top w:val="single" w:sz="1" w:space="0" w:color="B0B0B0"/>
              <w:left w:val="single" w:sz="1" w:space="0" w:color="B0B0B0"/>
              <w:bottom w:val="single" w:sz="1" w:space="0" w:color="B0B0B0"/>
              <w:right w:val="single" w:sz="1" w:space="0" w:color="B0B0B0"/>
            </w:tcBorders>
            <w:shd w:val="clear" w:color="auto" w:fill="1F3864"/>
            <w:tcMar>
              <w:top w:w="100" w:type="dxa"/>
              <w:left w:w="120" w:type="dxa"/>
              <w:bottom w:w="100" w:type="dxa"/>
              <w:right w:w="120" w:type="dxa"/>
            </w:tcMar>
          </w:tcPr>
          <w:p w14:paraId="216696D8" w14:textId="77777777" w:rsidR="0016702A" w:rsidRPr="00827EA3" w:rsidRDefault="0016702A" w:rsidP="003346BE">
            <w:pPr>
              <w:rPr>
                <w:color w:val="C00000"/>
              </w:rPr>
            </w:pPr>
            <w:r w:rsidRPr="00827EA3">
              <w:rPr>
                <w:b/>
                <w:bCs/>
                <w:color w:val="C00000"/>
                <w:sz w:val="20"/>
                <w:szCs w:val="20"/>
              </w:rPr>
              <w:t>Range</w:t>
            </w:r>
          </w:p>
        </w:tc>
        <w:tc>
          <w:tcPr>
            <w:tcW w:w="3260" w:type="dxa"/>
            <w:tcBorders>
              <w:top w:val="single" w:sz="1" w:space="0" w:color="B0B0B0"/>
              <w:left w:val="single" w:sz="1" w:space="0" w:color="B0B0B0"/>
              <w:bottom w:val="single" w:sz="1" w:space="0" w:color="B0B0B0"/>
              <w:right w:val="single" w:sz="1" w:space="0" w:color="B0B0B0"/>
            </w:tcBorders>
            <w:shd w:val="clear" w:color="auto" w:fill="1F3864"/>
            <w:tcMar>
              <w:top w:w="100" w:type="dxa"/>
              <w:left w:w="120" w:type="dxa"/>
              <w:bottom w:w="100" w:type="dxa"/>
              <w:right w:w="120" w:type="dxa"/>
            </w:tcMar>
          </w:tcPr>
          <w:p w14:paraId="77B59783" w14:textId="77777777" w:rsidR="0016702A" w:rsidRPr="00827EA3" w:rsidRDefault="0016702A" w:rsidP="003346BE">
            <w:pPr>
              <w:rPr>
                <w:color w:val="C00000"/>
              </w:rPr>
            </w:pPr>
            <w:r w:rsidRPr="00827EA3">
              <w:rPr>
                <w:b/>
                <w:bCs/>
                <w:color w:val="C00000"/>
                <w:sz w:val="20"/>
                <w:szCs w:val="20"/>
              </w:rPr>
              <w:t>Interpretation</w:t>
            </w:r>
          </w:p>
        </w:tc>
      </w:tr>
      <w:tr w:rsidR="0016702A" w:rsidRPr="00827EA3" w14:paraId="08215FF9" w14:textId="77777777" w:rsidTr="003346BE">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tcPr>
          <w:p w14:paraId="01B73F1B" w14:textId="77777777" w:rsidR="0016702A" w:rsidRPr="00827EA3" w:rsidRDefault="0016702A" w:rsidP="003346BE">
            <w:pPr>
              <w:rPr>
                <w:color w:val="C00000"/>
              </w:rPr>
            </w:pPr>
            <w:r w:rsidRPr="00827EA3">
              <w:rPr>
                <w:color w:val="C00000"/>
                <w:sz w:val="20"/>
                <w:szCs w:val="20"/>
              </w:rPr>
              <w:t>P_Doxy (1-year persistence)</w:t>
            </w:r>
          </w:p>
        </w:tc>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tcPr>
          <w:p w14:paraId="6DFC8DD4" w14:textId="77777777" w:rsidR="0016702A" w:rsidRPr="00827EA3" w:rsidRDefault="0016702A" w:rsidP="003346BE">
            <w:pPr>
              <w:rPr>
                <w:color w:val="C00000"/>
              </w:rPr>
            </w:pPr>
            <w:r w:rsidRPr="00827EA3">
              <w:rPr>
                <w:b/>
                <w:bCs/>
                <w:color w:val="C00000"/>
                <w:sz w:val="20"/>
                <w:szCs w:val="20"/>
              </w:rPr>
              <w:t>0.15</w:t>
            </w:r>
          </w:p>
        </w:tc>
        <w:tc>
          <w:tcPr>
            <w:tcW w:w="19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tcPr>
          <w:p w14:paraId="0CD9DF81" w14:textId="77777777" w:rsidR="0016702A" w:rsidRPr="00827EA3" w:rsidRDefault="0016702A" w:rsidP="003346BE">
            <w:pPr>
              <w:rPr>
                <w:color w:val="C00000"/>
              </w:rPr>
            </w:pPr>
            <w:r w:rsidRPr="00827EA3">
              <w:rPr>
                <w:color w:val="C00000"/>
                <w:sz w:val="20"/>
                <w:szCs w:val="20"/>
              </w:rPr>
              <w:t>0.10–0.30</w:t>
            </w:r>
          </w:p>
        </w:tc>
        <w:tc>
          <w:tcPr>
            <w:tcW w:w="32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tcPr>
          <w:p w14:paraId="1D60080B" w14:textId="77777777" w:rsidR="0016702A" w:rsidRPr="00827EA3" w:rsidRDefault="0016702A" w:rsidP="003346BE">
            <w:pPr>
              <w:rPr>
                <w:color w:val="C00000"/>
              </w:rPr>
            </w:pPr>
            <w:r w:rsidRPr="00827EA3">
              <w:rPr>
                <w:color w:val="C00000"/>
                <w:sz w:val="20"/>
                <w:szCs w:val="20"/>
              </w:rPr>
              <w:t>Fraction still on treatment at 1 year</w:t>
            </w:r>
          </w:p>
        </w:tc>
      </w:tr>
      <w:tr w:rsidR="0016702A" w:rsidRPr="00827EA3" w14:paraId="240CCCF3" w14:textId="77777777" w:rsidTr="003346BE">
        <w:tc>
          <w:tcPr>
            <w:tcW w:w="2500" w:type="dxa"/>
            <w:tcBorders>
              <w:top w:val="single" w:sz="1" w:space="0" w:color="B0B0B0"/>
              <w:left w:val="single" w:sz="1" w:space="0" w:color="B0B0B0"/>
              <w:bottom w:val="single" w:sz="1" w:space="0" w:color="B0B0B0"/>
              <w:right w:val="single" w:sz="1" w:space="0" w:color="B0B0B0"/>
            </w:tcBorders>
            <w:shd w:val="clear" w:color="auto" w:fill="F4F7FB"/>
            <w:tcMar>
              <w:top w:w="80" w:type="dxa"/>
              <w:left w:w="120" w:type="dxa"/>
              <w:bottom w:w="80" w:type="dxa"/>
              <w:right w:w="120" w:type="dxa"/>
            </w:tcMar>
          </w:tcPr>
          <w:p w14:paraId="036B7BFF" w14:textId="77777777" w:rsidR="0016702A" w:rsidRPr="00827EA3" w:rsidRDefault="0016702A" w:rsidP="003346BE">
            <w:pPr>
              <w:rPr>
                <w:color w:val="C00000"/>
              </w:rPr>
            </w:pPr>
            <w:r w:rsidRPr="00827EA3">
              <w:rPr>
                <w:color w:val="C00000"/>
                <w:sz w:val="20"/>
                <w:szCs w:val="20"/>
              </w:rPr>
              <w:t>r_Doxy = −ln(P)</w:t>
            </w:r>
          </w:p>
        </w:tc>
        <w:tc>
          <w:tcPr>
            <w:tcW w:w="1700" w:type="dxa"/>
            <w:tcBorders>
              <w:top w:val="single" w:sz="1" w:space="0" w:color="B0B0B0"/>
              <w:left w:val="single" w:sz="1" w:space="0" w:color="B0B0B0"/>
              <w:bottom w:val="single" w:sz="1" w:space="0" w:color="B0B0B0"/>
              <w:right w:val="single" w:sz="1" w:space="0" w:color="B0B0B0"/>
            </w:tcBorders>
            <w:shd w:val="clear" w:color="auto" w:fill="F4F7FB"/>
            <w:tcMar>
              <w:top w:w="80" w:type="dxa"/>
              <w:left w:w="120" w:type="dxa"/>
              <w:bottom w:w="80" w:type="dxa"/>
              <w:right w:w="120" w:type="dxa"/>
            </w:tcMar>
          </w:tcPr>
          <w:p w14:paraId="4D80A361" w14:textId="77777777" w:rsidR="0016702A" w:rsidRPr="00827EA3" w:rsidRDefault="0016702A" w:rsidP="003346BE">
            <w:pPr>
              <w:rPr>
                <w:color w:val="C00000"/>
              </w:rPr>
            </w:pPr>
            <w:r w:rsidRPr="00827EA3">
              <w:rPr>
                <w:b/>
                <w:bCs/>
                <w:color w:val="C00000"/>
                <w:sz w:val="20"/>
                <w:szCs w:val="20"/>
              </w:rPr>
              <w:t>1.90/year</w:t>
            </w:r>
          </w:p>
        </w:tc>
        <w:tc>
          <w:tcPr>
            <w:tcW w:w="1900" w:type="dxa"/>
            <w:tcBorders>
              <w:top w:val="single" w:sz="1" w:space="0" w:color="B0B0B0"/>
              <w:left w:val="single" w:sz="1" w:space="0" w:color="B0B0B0"/>
              <w:bottom w:val="single" w:sz="1" w:space="0" w:color="B0B0B0"/>
              <w:right w:val="single" w:sz="1" w:space="0" w:color="B0B0B0"/>
            </w:tcBorders>
            <w:shd w:val="clear" w:color="auto" w:fill="F4F7FB"/>
            <w:tcMar>
              <w:top w:w="80" w:type="dxa"/>
              <w:left w:w="120" w:type="dxa"/>
              <w:bottom w:w="80" w:type="dxa"/>
              <w:right w:w="120" w:type="dxa"/>
            </w:tcMar>
          </w:tcPr>
          <w:p w14:paraId="5B088D7D" w14:textId="77777777" w:rsidR="0016702A" w:rsidRPr="00827EA3" w:rsidRDefault="0016702A" w:rsidP="003346BE">
            <w:pPr>
              <w:rPr>
                <w:color w:val="C00000"/>
              </w:rPr>
            </w:pPr>
            <w:r w:rsidRPr="00827EA3">
              <w:rPr>
                <w:color w:val="C00000"/>
                <w:sz w:val="20"/>
                <w:szCs w:val="20"/>
              </w:rPr>
              <w:t>1.20–2.30</w:t>
            </w:r>
          </w:p>
        </w:tc>
        <w:tc>
          <w:tcPr>
            <w:tcW w:w="3260" w:type="dxa"/>
            <w:tcBorders>
              <w:top w:val="single" w:sz="1" w:space="0" w:color="B0B0B0"/>
              <w:left w:val="single" w:sz="1" w:space="0" w:color="B0B0B0"/>
              <w:bottom w:val="single" w:sz="1" w:space="0" w:color="B0B0B0"/>
              <w:right w:val="single" w:sz="1" w:space="0" w:color="B0B0B0"/>
            </w:tcBorders>
            <w:shd w:val="clear" w:color="auto" w:fill="F4F7FB"/>
            <w:tcMar>
              <w:top w:w="80" w:type="dxa"/>
              <w:left w:w="120" w:type="dxa"/>
              <w:bottom w:w="80" w:type="dxa"/>
              <w:right w:w="120" w:type="dxa"/>
            </w:tcMar>
          </w:tcPr>
          <w:p w14:paraId="7228D8A9" w14:textId="77777777" w:rsidR="0016702A" w:rsidRPr="00827EA3" w:rsidRDefault="0016702A" w:rsidP="003346BE">
            <w:pPr>
              <w:rPr>
                <w:color w:val="C00000"/>
              </w:rPr>
            </w:pPr>
            <w:r w:rsidRPr="00827EA3">
              <w:rPr>
                <w:color w:val="C00000"/>
                <w:sz w:val="20"/>
                <w:szCs w:val="20"/>
              </w:rPr>
              <w:t>Continuous discontinuation hazard rate</w:t>
            </w:r>
          </w:p>
        </w:tc>
      </w:tr>
      <w:tr w:rsidR="0016702A" w:rsidRPr="00827EA3" w14:paraId="7B885955" w14:textId="77777777" w:rsidTr="003346BE">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tcPr>
          <w:p w14:paraId="1A1F3C01" w14:textId="77777777" w:rsidR="0016702A" w:rsidRPr="00827EA3" w:rsidRDefault="0016702A" w:rsidP="003346BE">
            <w:pPr>
              <w:rPr>
                <w:color w:val="C00000"/>
              </w:rPr>
            </w:pPr>
            <w:r w:rsidRPr="00827EA3">
              <w:rPr>
                <w:color w:val="C00000"/>
                <w:sz w:val="20"/>
                <w:szCs w:val="20"/>
              </w:rPr>
              <w:t>Mean duration (1/r)</w:t>
            </w:r>
          </w:p>
        </w:tc>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tcPr>
          <w:p w14:paraId="3B4DAEE8" w14:textId="77777777" w:rsidR="0016702A" w:rsidRPr="00827EA3" w:rsidRDefault="0016702A" w:rsidP="003346BE">
            <w:pPr>
              <w:rPr>
                <w:color w:val="C00000"/>
              </w:rPr>
            </w:pPr>
            <w:r w:rsidRPr="00827EA3">
              <w:rPr>
                <w:b/>
                <w:bCs/>
                <w:color w:val="C00000"/>
                <w:sz w:val="20"/>
                <w:szCs w:val="20"/>
              </w:rPr>
              <w:t>0.53 years</w:t>
            </w:r>
          </w:p>
        </w:tc>
        <w:tc>
          <w:tcPr>
            <w:tcW w:w="19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tcPr>
          <w:p w14:paraId="2E3BCB21" w14:textId="77777777" w:rsidR="0016702A" w:rsidRPr="00827EA3" w:rsidRDefault="0016702A" w:rsidP="003346BE">
            <w:pPr>
              <w:rPr>
                <w:color w:val="C00000"/>
              </w:rPr>
            </w:pPr>
            <w:r w:rsidRPr="00827EA3">
              <w:rPr>
                <w:color w:val="C00000"/>
                <w:sz w:val="20"/>
                <w:szCs w:val="20"/>
              </w:rPr>
              <w:t>0.43–0.83 years</w:t>
            </w:r>
          </w:p>
        </w:tc>
        <w:tc>
          <w:tcPr>
            <w:tcW w:w="32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tcPr>
          <w:p w14:paraId="46EC8A74" w14:textId="77777777" w:rsidR="0016702A" w:rsidRPr="00827EA3" w:rsidRDefault="0016702A" w:rsidP="003346BE">
            <w:pPr>
              <w:rPr>
                <w:color w:val="C00000"/>
              </w:rPr>
            </w:pPr>
            <w:r w:rsidRPr="00827EA3">
              <w:rPr>
                <w:color w:val="C00000"/>
                <w:sz w:val="20"/>
                <w:szCs w:val="20"/>
              </w:rPr>
              <w:t>Average time on treatment</w:t>
            </w:r>
          </w:p>
        </w:tc>
      </w:tr>
    </w:tbl>
    <w:p w14:paraId="1CBB3C30" w14:textId="38D7FFE0" w:rsidR="00DD2EED" w:rsidRDefault="00DD2EED" w:rsidP="00DD2EED">
      <w:pPr>
        <w:spacing w:after="40"/>
        <w:rPr>
          <w:b/>
          <w:bCs/>
          <w:color w:val="1F3864"/>
          <w:sz w:val="28"/>
          <w:szCs w:val="28"/>
        </w:rPr>
        <w:sectPr w:rsidR="00DD2EED" w:rsidSect="0016702A">
          <w:pgSz w:w="12240" w:h="15840"/>
          <w:pgMar w:top="720" w:right="720" w:bottom="720" w:left="720" w:header="708" w:footer="708" w:gutter="0"/>
          <w:cols w:space="720"/>
          <w:docGrid w:linePitch="360"/>
        </w:sectPr>
      </w:pPr>
    </w:p>
    <w:p w14:paraId="53F0EAD3" w14:textId="77777777" w:rsidR="009A2406" w:rsidRDefault="009A2406" w:rsidP="009A2406">
      <w:pPr>
        <w:pStyle w:val="Heading1"/>
      </w:pPr>
      <w:r>
        <w:lastRenderedPageBreak/>
        <w:t>Part 3: Lit review</w:t>
      </w:r>
    </w:p>
    <w:p w14:paraId="11C9CA36" w14:textId="62C63BD1" w:rsidR="00DD2EED" w:rsidRDefault="00DD2EED" w:rsidP="00DD2EED">
      <w:pPr>
        <w:pBdr>
          <w:bottom w:val="single" w:sz="4" w:space="4" w:color="2E75B6"/>
        </w:pBdr>
        <w:spacing w:after="160"/>
      </w:pPr>
      <w:r>
        <w:t>PEP: Uptake, Eligibility, Syphilis Outcomes, and Persistence</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
        <w:gridCol w:w="1695"/>
        <w:gridCol w:w="1892"/>
        <w:gridCol w:w="703"/>
        <w:gridCol w:w="1794"/>
        <w:gridCol w:w="1893"/>
        <w:gridCol w:w="1992"/>
        <w:gridCol w:w="2091"/>
        <w:gridCol w:w="1961"/>
      </w:tblGrid>
      <w:tr w:rsidR="00DD2EED" w14:paraId="75AE878B" w14:textId="77777777" w:rsidTr="003346BE">
        <w:trPr>
          <w:tblHeader/>
        </w:trPr>
        <w:tc>
          <w:tcPr>
            <w:tcW w:w="379"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055F2634" w14:textId="77777777" w:rsidR="00DD2EED" w:rsidRDefault="00DD2EED" w:rsidP="003346BE">
            <w:r>
              <w:rPr>
                <w:b/>
                <w:bCs/>
                <w:color w:val="FFFFFF"/>
                <w:sz w:val="16"/>
                <w:szCs w:val="16"/>
              </w:rPr>
              <w:t>#</w:t>
            </w:r>
          </w:p>
        </w:tc>
        <w:tc>
          <w:tcPr>
            <w:tcW w:w="1695"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2E494F4A" w14:textId="77777777" w:rsidR="00DD2EED" w:rsidRDefault="00DD2EED" w:rsidP="003346BE">
            <w:r>
              <w:rPr>
                <w:b/>
                <w:bCs/>
                <w:color w:val="FFFFFF"/>
                <w:sz w:val="16"/>
                <w:szCs w:val="16"/>
              </w:rPr>
              <w:t>Study</w:t>
            </w:r>
          </w:p>
        </w:tc>
        <w:tc>
          <w:tcPr>
            <w:tcW w:w="1892"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4D739EC7" w14:textId="77777777" w:rsidR="00DD2EED" w:rsidRDefault="00DD2EED" w:rsidP="003346BE">
            <w:r>
              <w:rPr>
                <w:b/>
                <w:bCs/>
                <w:color w:val="FFFFFF"/>
                <w:sz w:val="16"/>
                <w:szCs w:val="16"/>
              </w:rPr>
              <w:t>Population</w:t>
            </w:r>
          </w:p>
        </w:tc>
        <w:tc>
          <w:tcPr>
            <w:tcW w:w="703"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679F0A6A" w14:textId="77777777" w:rsidR="00DD2EED" w:rsidRDefault="00DD2EED" w:rsidP="003346BE">
            <w:r>
              <w:rPr>
                <w:b/>
                <w:bCs/>
                <w:color w:val="FFFFFF"/>
                <w:sz w:val="16"/>
                <w:szCs w:val="16"/>
              </w:rPr>
              <w:t>N</w:t>
            </w:r>
          </w:p>
        </w:tc>
        <w:tc>
          <w:tcPr>
            <w:tcW w:w="1794"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5B5F6158" w14:textId="77777777" w:rsidR="00DD2EED" w:rsidRDefault="00DD2EED" w:rsidP="003346BE">
            <w:r>
              <w:rPr>
                <w:b/>
                <w:bCs/>
                <w:color w:val="FFFFFF"/>
                <w:sz w:val="16"/>
                <w:szCs w:val="16"/>
              </w:rPr>
              <w:t>Eligibility</w:t>
            </w:r>
          </w:p>
        </w:tc>
        <w:tc>
          <w:tcPr>
            <w:tcW w:w="1893"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752648D4" w14:textId="77777777" w:rsidR="00DD2EED" w:rsidRDefault="00DD2EED" w:rsidP="003346BE">
            <w:r>
              <w:rPr>
                <w:b/>
                <w:bCs/>
                <w:color w:val="FFFFFF"/>
                <w:sz w:val="16"/>
                <w:szCs w:val="16"/>
              </w:rPr>
              <w:t>Uptake (uᴄ)</w:t>
            </w:r>
          </w:p>
        </w:tc>
        <w:tc>
          <w:tcPr>
            <w:tcW w:w="1992"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58C4E161" w14:textId="77777777" w:rsidR="00DD2EED" w:rsidRDefault="00DD2EED" w:rsidP="003346BE">
            <w:r>
              <w:rPr>
                <w:b/>
                <w:bCs/>
                <w:color w:val="FFFFFF"/>
                <w:sz w:val="16"/>
                <w:szCs w:val="16"/>
              </w:rPr>
              <w:t>Syphilis Change</w:t>
            </w:r>
          </w:p>
        </w:tc>
        <w:tc>
          <w:tcPr>
            <w:tcW w:w="2091"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14072387" w14:textId="77777777" w:rsidR="00DD2EED" w:rsidRDefault="00DD2EED" w:rsidP="003346BE">
            <w:r>
              <w:rPr>
                <w:b/>
                <w:bCs/>
                <w:color w:val="FFFFFF"/>
                <w:sz w:val="16"/>
                <w:szCs w:val="16"/>
              </w:rPr>
              <w:t>Persistence / Duration</w:t>
            </w:r>
          </w:p>
        </w:tc>
        <w:tc>
          <w:tcPr>
            <w:tcW w:w="1961" w:type="dxa"/>
            <w:tcBorders>
              <w:top w:val="single" w:sz="1" w:space="0" w:color="B0B0B0"/>
              <w:left w:val="single" w:sz="1" w:space="0" w:color="B0B0B0"/>
              <w:bottom w:val="single" w:sz="1" w:space="0" w:color="B0B0B0"/>
              <w:right w:val="single" w:sz="1" w:space="0" w:color="B0B0B0"/>
            </w:tcBorders>
            <w:shd w:val="clear" w:color="auto" w:fill="1F3864"/>
            <w:tcMar>
              <w:top w:w="80" w:type="dxa"/>
              <w:left w:w="80" w:type="dxa"/>
              <w:bottom w:w="80" w:type="dxa"/>
              <w:right w:w="80" w:type="dxa"/>
            </w:tcMar>
          </w:tcPr>
          <w:p w14:paraId="70EAAAFC" w14:textId="77777777" w:rsidR="00DD2EED" w:rsidRDefault="00DD2EED" w:rsidP="003346BE">
            <w:r>
              <w:rPr>
                <w:b/>
                <w:bCs/>
                <w:color w:val="FFFFFF"/>
                <w:sz w:val="16"/>
                <w:szCs w:val="16"/>
              </w:rPr>
              <w:t>Setting</w:t>
            </w:r>
          </w:p>
        </w:tc>
      </w:tr>
      <w:tr w:rsidR="00DD2EED" w14:paraId="75771DF1" w14:textId="77777777" w:rsidTr="003346BE">
        <w:tc>
          <w:tcPr>
            <w:tcW w:w="14400" w:type="dxa"/>
            <w:gridSpan w:val="9"/>
            <w:tcBorders>
              <w:top w:val="single" w:sz="1" w:space="0" w:color="B0B0B0"/>
              <w:left w:val="single" w:sz="1" w:space="0" w:color="B0B0B0"/>
              <w:bottom w:val="single" w:sz="1" w:space="0" w:color="B0B0B0"/>
              <w:right w:val="single" w:sz="1" w:space="0" w:color="B0B0B0"/>
            </w:tcBorders>
            <w:shd w:val="clear" w:color="auto" w:fill="2E5090"/>
            <w:tcMar>
              <w:top w:w="80" w:type="dxa"/>
              <w:left w:w="120" w:type="dxa"/>
              <w:bottom w:w="80" w:type="dxa"/>
              <w:right w:w="120" w:type="dxa"/>
            </w:tcMar>
          </w:tcPr>
          <w:p w14:paraId="4392E565" w14:textId="77777777" w:rsidR="00DD2EED" w:rsidRDefault="00DD2EED" w:rsidP="003346BE">
            <w:r>
              <w:rPr>
                <w:b/>
                <w:bCs/>
                <w:color w:val="FFFFFF"/>
                <w:sz w:val="17"/>
                <w:szCs w:val="17"/>
              </w:rPr>
              <w:t>SECTION A: Real-World Implementation Studies (US)</w:t>
            </w:r>
          </w:p>
        </w:tc>
      </w:tr>
      <w:tr w:rsidR="00DD2EED" w14:paraId="1E5ABCAD" w14:textId="77777777" w:rsidTr="003346BE">
        <w:tc>
          <w:tcPr>
            <w:tcW w:w="379"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5C4A6FA" w14:textId="77777777" w:rsidR="00DD2EED" w:rsidRDefault="00DD2EED" w:rsidP="003346BE">
            <w:r>
              <w:rPr>
                <w:b/>
                <w:bCs/>
                <w:sz w:val="15"/>
                <w:szCs w:val="15"/>
              </w:rPr>
              <w:t>1</w:t>
            </w:r>
          </w:p>
        </w:tc>
        <w:tc>
          <w:tcPr>
            <w:tcW w:w="1695"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446AB8D" w14:textId="77777777" w:rsidR="00DD2EED" w:rsidRDefault="00DD2EED" w:rsidP="003346BE">
            <w:r>
              <w:rPr>
                <w:b/>
                <w:bCs/>
                <w:sz w:val="15"/>
                <w:szCs w:val="15"/>
              </w:rPr>
              <w:t>Traeger 2025 (KPNC) JAMA Intern Med</w:t>
            </w:r>
          </w:p>
        </w:tc>
        <w:tc>
          <w:tcPr>
            <w:tcW w:w="18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62FF4E5" w14:textId="77777777" w:rsidR="00DD2EED" w:rsidRDefault="00DD2EED" w:rsidP="003346BE">
            <w:r>
              <w:rPr>
                <w:sz w:val="15"/>
                <w:szCs w:val="15"/>
              </w:rPr>
              <w:t>HIV PrEP users, 98.9% male, Nov 2022–Dec 2023</w:t>
            </w:r>
          </w:p>
        </w:tc>
        <w:tc>
          <w:tcPr>
            <w:tcW w:w="70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28D2E9A2" w14:textId="77777777" w:rsidR="00DD2EED" w:rsidRDefault="00DD2EED" w:rsidP="003346BE">
            <w:r>
              <w:rPr>
                <w:sz w:val="15"/>
                <w:szCs w:val="15"/>
              </w:rPr>
              <w:t>11,551</w:t>
            </w:r>
          </w:p>
        </w:tc>
        <w:tc>
          <w:tcPr>
            <w:tcW w:w="1794"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E59A9D1" w14:textId="77777777" w:rsidR="00DD2EED" w:rsidRDefault="00DD2EED" w:rsidP="003346BE">
            <w:r>
              <w:rPr>
                <w:sz w:val="15"/>
                <w:szCs w:val="15"/>
              </w:rPr>
              <w:t>48.6% of doxy recipients had STI in prior yr; f_elig of full cohort not reported</w:t>
            </w:r>
          </w:p>
        </w:tc>
        <w:tc>
          <w:tcPr>
            <w:tcW w:w="189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0D49916" w14:textId="77777777" w:rsidR="00DD2EED" w:rsidRDefault="00DD2EED" w:rsidP="003346BE">
            <w:r>
              <w:rPr>
                <w:b/>
                <w:bCs/>
                <w:sz w:val="15"/>
                <w:szCs w:val="15"/>
              </w:rPr>
              <w:t>19.5% dispensed ≥1 fill</w:t>
            </w:r>
          </w:p>
        </w:tc>
        <w:tc>
          <w:tcPr>
            <w:tcW w:w="19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47019285" w14:textId="77777777" w:rsidR="00DD2EED" w:rsidRDefault="00DD2EED" w:rsidP="003346BE">
            <w:r>
              <w:rPr>
                <w:b/>
                <w:bCs/>
                <w:sz w:val="15"/>
                <w:szCs w:val="15"/>
              </w:rPr>
              <w:t>80% decline (1.7%→0.3%; RR 0.20, 95% CI 0.11–0.37)</w:t>
            </w:r>
          </w:p>
        </w:tc>
        <w:tc>
          <w:tcPr>
            <w:tcW w:w="209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225ED4A1" w14:textId="77777777" w:rsidR="00DD2EED" w:rsidRDefault="00DD2EED" w:rsidP="003346BE">
            <w:r>
              <w:rPr>
                <w:sz w:val="15"/>
                <w:szCs w:val="15"/>
              </w:rPr>
              <w:t>Median 2 fills (IQR 1–3); 6.5 doses/mo; f/u 5.7 mo</w:t>
            </w:r>
          </w:p>
        </w:tc>
        <w:tc>
          <w:tcPr>
            <w:tcW w:w="196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2B0FF5F0" w14:textId="77777777" w:rsidR="00DD2EED" w:rsidRDefault="00DD2EED" w:rsidP="003346BE">
            <w:r>
              <w:rPr>
                <w:sz w:val="15"/>
                <w:szCs w:val="15"/>
              </w:rPr>
              <w:t>Integrated health system, CA</w:t>
            </w:r>
          </w:p>
        </w:tc>
      </w:tr>
      <w:tr w:rsidR="00DD2EED" w14:paraId="1CE1B533" w14:textId="77777777" w:rsidTr="003346BE">
        <w:tc>
          <w:tcPr>
            <w:tcW w:w="379"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A04ED13" w14:textId="77777777" w:rsidR="00DD2EED" w:rsidRDefault="00DD2EED" w:rsidP="003346BE">
            <w:r>
              <w:rPr>
                <w:b/>
                <w:bCs/>
                <w:sz w:val="15"/>
                <w:szCs w:val="15"/>
              </w:rPr>
              <w:t>2</w:t>
            </w:r>
          </w:p>
        </w:tc>
        <w:tc>
          <w:tcPr>
            <w:tcW w:w="1695"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4A07BC88" w14:textId="77777777" w:rsidR="00DD2EED" w:rsidRDefault="00DD2EED" w:rsidP="003346BE">
            <w:r>
              <w:rPr>
                <w:b/>
                <w:bCs/>
                <w:sz w:val="15"/>
                <w:szCs w:val="15"/>
              </w:rPr>
              <w:t>Sankaran 2025 (SF City Clinic) JAMA Intern Med</w:t>
            </w:r>
          </w:p>
        </w:tc>
        <w:tc>
          <w:tcPr>
            <w:tcW w:w="1892"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25D883F3" w14:textId="77777777" w:rsidR="00DD2EED" w:rsidRDefault="00DD2EED" w:rsidP="003346BE">
            <w:r>
              <w:rPr>
                <w:sz w:val="15"/>
                <w:szCs w:val="15"/>
              </w:rPr>
              <w:t>MSM/TGW citywide SF, Nov 2022–Nov 2023 (pop-level)</w:t>
            </w:r>
          </w:p>
        </w:tc>
        <w:tc>
          <w:tcPr>
            <w:tcW w:w="703"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7E4AD33F" w14:textId="77777777" w:rsidR="00DD2EED" w:rsidRDefault="00DD2EED" w:rsidP="003346BE">
            <w:r>
              <w:rPr>
                <w:sz w:val="15"/>
                <w:szCs w:val="15"/>
              </w:rPr>
              <w:t>20,406</w:t>
            </w:r>
          </w:p>
        </w:tc>
        <w:tc>
          <w:tcPr>
            <w:tcW w:w="1794"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7970D27" w14:textId="77777777" w:rsidR="00DD2EED" w:rsidRPr="00C51BF5" w:rsidRDefault="00DD2EED" w:rsidP="003346BE">
            <w:r w:rsidRPr="00C51BF5">
              <w:rPr>
                <w:sz w:val="15"/>
                <w:szCs w:val="15"/>
              </w:rPr>
              <w:t>74% (≥1 STI + ≥1 partner); 60% (≥2 partners, no STI)</w:t>
            </w:r>
          </w:p>
        </w:tc>
        <w:tc>
          <w:tcPr>
            <w:tcW w:w="1893"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8E04EFD" w14:textId="77777777" w:rsidR="00DD2EED" w:rsidRPr="00C51BF5" w:rsidRDefault="00DD2EED" w:rsidP="003346BE">
            <w:pPr>
              <w:rPr>
                <w:b/>
                <w:bCs/>
              </w:rPr>
            </w:pPr>
            <w:r w:rsidRPr="00C51BF5">
              <w:rPr>
                <w:b/>
                <w:bCs/>
                <w:sz w:val="15"/>
                <w:szCs w:val="15"/>
              </w:rPr>
              <w:t>19.5% initiated doxy-PEP at 3 sentinel clinics (3,974 of 20,406)</w:t>
            </w:r>
          </w:p>
        </w:tc>
        <w:tc>
          <w:tcPr>
            <w:tcW w:w="1992"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7042EDC3" w14:textId="77777777" w:rsidR="00DD2EED" w:rsidRDefault="00DD2EED" w:rsidP="003346BE">
            <w:r>
              <w:rPr>
                <w:b/>
                <w:bCs/>
                <w:sz w:val="15"/>
                <w:szCs w:val="15"/>
              </w:rPr>
              <w:t>51% decline citywide vs projected (95% CI −58% to −43%)</w:t>
            </w:r>
          </w:p>
        </w:tc>
        <w:tc>
          <w:tcPr>
            <w:tcW w:w="2091"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52A85856" w14:textId="77777777" w:rsidR="00DD2EED" w:rsidRDefault="00DD2EED" w:rsidP="003346BE">
            <w:r>
              <w:rPr>
                <w:sz w:val="15"/>
                <w:szCs w:val="15"/>
              </w:rPr>
              <w:t>Not reported</w:t>
            </w:r>
          </w:p>
        </w:tc>
        <w:tc>
          <w:tcPr>
            <w:tcW w:w="1961"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F51B6E2" w14:textId="77777777" w:rsidR="00DD2EED" w:rsidRDefault="00DD2EED" w:rsidP="003346BE">
            <w:r>
              <w:rPr>
                <w:sz w:val="15"/>
                <w:szCs w:val="15"/>
              </w:rPr>
              <w:t>Pop surveillance, SF</w:t>
            </w:r>
          </w:p>
        </w:tc>
      </w:tr>
      <w:tr w:rsidR="00DD2EED" w14:paraId="76C8DDFF" w14:textId="77777777" w:rsidTr="003346BE">
        <w:tc>
          <w:tcPr>
            <w:tcW w:w="379"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9F128BE" w14:textId="77777777" w:rsidR="00DD2EED" w:rsidRDefault="00DD2EED" w:rsidP="003346BE">
            <w:r>
              <w:rPr>
                <w:b/>
                <w:bCs/>
                <w:sz w:val="15"/>
                <w:szCs w:val="15"/>
              </w:rPr>
              <w:t>3</w:t>
            </w:r>
          </w:p>
        </w:tc>
        <w:tc>
          <w:tcPr>
            <w:tcW w:w="1695"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53B4B1E0" w14:textId="77777777" w:rsidR="00DD2EED" w:rsidRDefault="00DD2EED" w:rsidP="003346BE">
            <w:r>
              <w:rPr>
                <w:b/>
                <w:bCs/>
                <w:sz w:val="15"/>
                <w:szCs w:val="15"/>
              </w:rPr>
              <w:t>Scott 2024 (SF) CROI Abs 126</w:t>
            </w:r>
          </w:p>
        </w:tc>
        <w:tc>
          <w:tcPr>
            <w:tcW w:w="18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5618C8B2" w14:textId="77777777" w:rsidR="00DD2EED" w:rsidRDefault="00DD2EED" w:rsidP="003346BE">
            <w:r>
              <w:rPr>
                <w:sz w:val="15"/>
                <w:szCs w:val="15"/>
              </w:rPr>
              <w:t>PrEP clients offered doxy-PEP at SF clinic</w:t>
            </w:r>
          </w:p>
        </w:tc>
        <w:tc>
          <w:tcPr>
            <w:tcW w:w="70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0FD84B34" w14:textId="77777777" w:rsidR="00DD2EED" w:rsidRDefault="00DD2EED" w:rsidP="003346BE">
            <w:r>
              <w:rPr>
                <w:sz w:val="15"/>
                <w:szCs w:val="15"/>
              </w:rPr>
              <w:t>3,081</w:t>
            </w:r>
          </w:p>
        </w:tc>
        <w:tc>
          <w:tcPr>
            <w:tcW w:w="1794"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7C9CB00" w14:textId="77777777" w:rsidR="00DD2EED" w:rsidRDefault="00DD2EED" w:rsidP="003346BE">
            <w:r>
              <w:rPr>
                <w:sz w:val="15"/>
                <w:szCs w:val="15"/>
              </w:rPr>
              <w:t>All PrEP clients offered</w:t>
            </w:r>
          </w:p>
        </w:tc>
        <w:tc>
          <w:tcPr>
            <w:tcW w:w="189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37DB949" w14:textId="77777777" w:rsidR="00DD2EED" w:rsidRDefault="00DD2EED" w:rsidP="003346BE">
            <w:r>
              <w:rPr>
                <w:b/>
                <w:bCs/>
                <w:sz w:val="15"/>
                <w:szCs w:val="15"/>
              </w:rPr>
              <w:t>39% initiated</w:t>
            </w:r>
          </w:p>
        </w:tc>
        <w:tc>
          <w:tcPr>
            <w:tcW w:w="19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5939E9C7" w14:textId="77777777" w:rsidR="00DD2EED" w:rsidRDefault="00DD2EED" w:rsidP="003346BE">
            <w:r>
              <w:rPr>
                <w:b/>
                <w:bCs/>
                <w:sz w:val="15"/>
                <w:szCs w:val="15"/>
              </w:rPr>
              <w:t>78% decline pre vs post (p=.001)</w:t>
            </w:r>
          </w:p>
        </w:tc>
        <w:tc>
          <w:tcPr>
            <w:tcW w:w="209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DCA6358" w14:textId="77777777" w:rsidR="00DD2EED" w:rsidRDefault="00DD2EED" w:rsidP="003346BE">
            <w:r>
              <w:rPr>
                <w:sz w:val="15"/>
                <w:szCs w:val="15"/>
              </w:rPr>
              <w:t>Not reported</w:t>
            </w:r>
          </w:p>
        </w:tc>
        <w:tc>
          <w:tcPr>
            <w:tcW w:w="196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851D798" w14:textId="77777777" w:rsidR="00DD2EED" w:rsidRDefault="00DD2EED" w:rsidP="003346BE">
            <w:r>
              <w:rPr>
                <w:sz w:val="15"/>
                <w:szCs w:val="15"/>
              </w:rPr>
              <w:t>Sexual health clinic, SF</w:t>
            </w:r>
          </w:p>
        </w:tc>
      </w:tr>
      <w:tr w:rsidR="00DD2EED" w14:paraId="5FB158D7" w14:textId="77777777" w:rsidTr="003346BE">
        <w:tc>
          <w:tcPr>
            <w:tcW w:w="379"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2F9828A" w14:textId="77777777" w:rsidR="00DD2EED" w:rsidRDefault="00DD2EED" w:rsidP="003346BE">
            <w:r>
              <w:rPr>
                <w:b/>
                <w:bCs/>
                <w:sz w:val="15"/>
                <w:szCs w:val="15"/>
              </w:rPr>
              <w:t>4</w:t>
            </w:r>
          </w:p>
        </w:tc>
        <w:tc>
          <w:tcPr>
            <w:tcW w:w="1695"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0911A833" w14:textId="77777777" w:rsidR="00DD2EED" w:rsidRDefault="00DD2EED" w:rsidP="003346BE">
            <w:r>
              <w:rPr>
                <w:b/>
                <w:bCs/>
                <w:sz w:val="15"/>
                <w:szCs w:val="15"/>
              </w:rPr>
              <w:t>Lewis 2025 (Phila) Sex Transm Dis</w:t>
            </w:r>
          </w:p>
        </w:tc>
        <w:tc>
          <w:tcPr>
            <w:tcW w:w="1892"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056E6B9F" w14:textId="77777777" w:rsidR="00DD2EED" w:rsidRDefault="00DD2EED" w:rsidP="003346BE">
            <w:r>
              <w:rPr>
                <w:sz w:val="15"/>
                <w:szCs w:val="15"/>
              </w:rPr>
              <w:t>PrEP-eligible MSM, urban public STD clinic, 2019–2023</w:t>
            </w:r>
          </w:p>
        </w:tc>
        <w:tc>
          <w:tcPr>
            <w:tcW w:w="703"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782363FD" w14:textId="77777777" w:rsidR="00DD2EED" w:rsidRDefault="00DD2EED" w:rsidP="003346BE">
            <w:r>
              <w:rPr>
                <w:sz w:val="15"/>
                <w:szCs w:val="15"/>
              </w:rPr>
              <w:t>508/416</w:t>
            </w:r>
          </w:p>
        </w:tc>
        <w:tc>
          <w:tcPr>
            <w:tcW w:w="1794"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00BFC7B7" w14:textId="77777777" w:rsidR="00DD2EED" w:rsidRDefault="00DD2EED" w:rsidP="003346BE">
            <w:r>
              <w:rPr>
                <w:sz w:val="15"/>
                <w:szCs w:val="15"/>
              </w:rPr>
              <w:t>508 eligible (≥2 visits); PrEP-eligible MSM</w:t>
            </w:r>
          </w:p>
        </w:tc>
        <w:tc>
          <w:tcPr>
            <w:tcW w:w="1893"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585D730C" w14:textId="77777777" w:rsidR="00DD2EED" w:rsidRDefault="00DD2EED" w:rsidP="003346BE">
            <w:r>
              <w:rPr>
                <w:b/>
                <w:bCs/>
                <w:sz w:val="15"/>
                <w:szCs w:val="15"/>
              </w:rPr>
              <w:t>82% accepted</w:t>
            </w:r>
          </w:p>
        </w:tc>
        <w:tc>
          <w:tcPr>
            <w:tcW w:w="1992"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4137CB6" w14:textId="77777777" w:rsidR="00DD2EED" w:rsidRDefault="00DD2EED" w:rsidP="003346BE">
            <w:r>
              <w:rPr>
                <w:sz w:val="15"/>
                <w:szCs w:val="15"/>
              </w:rPr>
              <w:t>HR 0.51 (0.17–1.54) n.s.; IRR 0.52 (0.28–0.98) in crossover</w:t>
            </w:r>
          </w:p>
        </w:tc>
        <w:tc>
          <w:tcPr>
            <w:tcW w:w="2091"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4AA41FE4" w14:textId="77777777" w:rsidR="00DD2EED" w:rsidRDefault="00DD2EED" w:rsidP="003346BE">
            <w:r>
              <w:rPr>
                <w:sz w:val="15"/>
                <w:szCs w:val="15"/>
              </w:rPr>
              <w:t>54.3% medium; 21.2% low; 24.5% high</w:t>
            </w:r>
          </w:p>
        </w:tc>
        <w:tc>
          <w:tcPr>
            <w:tcW w:w="1961"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5685C80" w14:textId="77777777" w:rsidR="00DD2EED" w:rsidRDefault="00DD2EED" w:rsidP="003346BE">
            <w:r>
              <w:rPr>
                <w:sz w:val="15"/>
                <w:szCs w:val="15"/>
              </w:rPr>
              <w:t>Public STD clinic, Phila</w:t>
            </w:r>
          </w:p>
        </w:tc>
      </w:tr>
      <w:tr w:rsidR="00DD2EED" w14:paraId="1FE5FE45" w14:textId="77777777" w:rsidTr="003346BE">
        <w:tc>
          <w:tcPr>
            <w:tcW w:w="379"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1AA0EBE" w14:textId="77777777" w:rsidR="00DD2EED" w:rsidRDefault="00DD2EED" w:rsidP="003346BE">
            <w:r>
              <w:rPr>
                <w:b/>
                <w:bCs/>
                <w:sz w:val="15"/>
                <w:szCs w:val="15"/>
              </w:rPr>
              <w:t>5</w:t>
            </w:r>
          </w:p>
        </w:tc>
        <w:tc>
          <w:tcPr>
            <w:tcW w:w="1695"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6404524F" w14:textId="77777777" w:rsidR="00DD2EED" w:rsidRDefault="00DD2EED" w:rsidP="003346BE">
            <w:r>
              <w:rPr>
                <w:b/>
                <w:bCs/>
                <w:sz w:val="15"/>
                <w:szCs w:val="15"/>
              </w:rPr>
              <w:t>Traeger 2024 Sex Transm Dis</w:t>
            </w:r>
          </w:p>
        </w:tc>
        <w:tc>
          <w:tcPr>
            <w:tcW w:w="18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4D67EE3" w14:textId="77777777" w:rsidR="00DD2EED" w:rsidRDefault="00DD2EED" w:rsidP="003346BE">
            <w:r>
              <w:rPr>
                <w:sz w:val="15"/>
                <w:szCs w:val="15"/>
              </w:rPr>
              <w:t>US national GBM via apps, Sept 2023</w:t>
            </w:r>
          </w:p>
        </w:tc>
        <w:tc>
          <w:tcPr>
            <w:tcW w:w="70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03CE8A4F" w14:textId="77777777" w:rsidR="00DD2EED" w:rsidRDefault="00DD2EED" w:rsidP="003346BE">
            <w:r>
              <w:rPr>
                <w:sz w:val="15"/>
                <w:szCs w:val="15"/>
              </w:rPr>
              <w:t>903</w:t>
            </w:r>
          </w:p>
        </w:tc>
        <w:tc>
          <w:tcPr>
            <w:tcW w:w="1794"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259CA2E3" w14:textId="77777777" w:rsidR="00DD2EED" w:rsidRDefault="00DD2EED" w:rsidP="003346BE">
            <w:r>
              <w:rPr>
                <w:sz w:val="15"/>
                <w:szCs w:val="15"/>
              </w:rPr>
              <w:t>42.5% on PrEP; CDC elig estimated from survey</w:t>
            </w:r>
          </w:p>
        </w:tc>
        <w:tc>
          <w:tcPr>
            <w:tcW w:w="189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05219C0F" w14:textId="77777777" w:rsidR="00DD2EED" w:rsidRDefault="00DD2EED" w:rsidP="003346BE">
            <w:r>
              <w:rPr>
                <w:b/>
                <w:bCs/>
                <w:sz w:val="15"/>
                <w:szCs w:val="15"/>
              </w:rPr>
              <w:t>21% of CDC-eligible prescribed; 25.1% of PrEP users</w:t>
            </w:r>
          </w:p>
        </w:tc>
        <w:tc>
          <w:tcPr>
            <w:tcW w:w="19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56CAAC3" w14:textId="77777777" w:rsidR="00DD2EED" w:rsidRDefault="00DD2EED" w:rsidP="003346BE">
            <w:r>
              <w:rPr>
                <w:sz w:val="15"/>
                <w:szCs w:val="15"/>
              </w:rPr>
              <w:t>Not assessed (cross-sectional)</w:t>
            </w:r>
          </w:p>
        </w:tc>
        <w:tc>
          <w:tcPr>
            <w:tcW w:w="209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64DFE756" w14:textId="77777777" w:rsidR="00DD2EED" w:rsidRDefault="00DD2EED" w:rsidP="003346BE">
            <w:r>
              <w:rPr>
                <w:sz w:val="15"/>
                <w:szCs w:val="15"/>
              </w:rPr>
              <w:t>38% monthly; 10% near-daily; 22% not taken 4 wks</w:t>
            </w:r>
          </w:p>
        </w:tc>
        <w:tc>
          <w:tcPr>
            <w:tcW w:w="196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CBAA8AD" w14:textId="77777777" w:rsidR="00DD2EED" w:rsidRDefault="00DD2EED" w:rsidP="003346BE">
            <w:r>
              <w:rPr>
                <w:sz w:val="15"/>
                <w:szCs w:val="15"/>
              </w:rPr>
              <w:t>National online survey</w:t>
            </w:r>
          </w:p>
        </w:tc>
      </w:tr>
      <w:tr w:rsidR="00DD2EED" w14:paraId="168A8B2D" w14:textId="77777777" w:rsidTr="003346BE">
        <w:tc>
          <w:tcPr>
            <w:tcW w:w="379"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555855A3" w14:textId="77777777" w:rsidR="00DD2EED" w:rsidRDefault="00DD2EED" w:rsidP="003346BE">
            <w:r>
              <w:rPr>
                <w:b/>
                <w:bCs/>
                <w:sz w:val="15"/>
                <w:szCs w:val="15"/>
              </w:rPr>
              <w:t>6</w:t>
            </w:r>
          </w:p>
        </w:tc>
        <w:tc>
          <w:tcPr>
            <w:tcW w:w="1695"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38DA2D60" w14:textId="77777777" w:rsidR="00DD2EED" w:rsidRDefault="00DD2EED" w:rsidP="003346BE">
            <w:r>
              <w:rPr>
                <w:b/>
                <w:bCs/>
                <w:sz w:val="15"/>
                <w:szCs w:val="15"/>
              </w:rPr>
              <w:t>Martinson 2025 AIDS</w:t>
            </w:r>
          </w:p>
        </w:tc>
        <w:tc>
          <w:tcPr>
            <w:tcW w:w="1892"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250B8994" w14:textId="77777777" w:rsidR="00DD2EED" w:rsidRDefault="00DD2EED" w:rsidP="003346BE">
            <w:r>
              <w:rPr>
                <w:sz w:val="15"/>
                <w:szCs w:val="15"/>
              </w:rPr>
              <w:t>MSM with HIV, 46 US states, Oct 2023–Oct 2024</w:t>
            </w:r>
          </w:p>
        </w:tc>
        <w:tc>
          <w:tcPr>
            <w:tcW w:w="703"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46A9B41A" w14:textId="77777777" w:rsidR="00DD2EED" w:rsidRDefault="00DD2EED" w:rsidP="003346BE">
            <w:r>
              <w:rPr>
                <w:sz w:val="15"/>
                <w:szCs w:val="15"/>
              </w:rPr>
              <w:t>827</w:t>
            </w:r>
          </w:p>
        </w:tc>
        <w:tc>
          <w:tcPr>
            <w:tcW w:w="1794"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776F3244" w14:textId="77777777" w:rsidR="00DD2EED" w:rsidRDefault="00DD2EED" w:rsidP="003346BE">
            <w:r>
              <w:rPr>
                <w:b/>
                <w:bCs/>
                <w:sz w:val="15"/>
                <w:szCs w:val="15"/>
              </w:rPr>
              <w:t>43.5% CDC-eligible (360/827 had bSTI past yr)</w:t>
            </w:r>
          </w:p>
        </w:tc>
        <w:tc>
          <w:tcPr>
            <w:tcW w:w="1893"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7FE85F53" w14:textId="77777777" w:rsidR="00DD2EED" w:rsidRDefault="00DD2EED" w:rsidP="003346BE">
            <w:r>
              <w:rPr>
                <w:b/>
                <w:bCs/>
                <w:sz w:val="15"/>
                <w:szCs w:val="15"/>
              </w:rPr>
              <w:t>13% currently taking; 20% of CDC-eligible prescribed</w:t>
            </w:r>
          </w:p>
        </w:tc>
        <w:tc>
          <w:tcPr>
            <w:tcW w:w="1992"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09DE07A" w14:textId="77777777" w:rsidR="00DD2EED" w:rsidRDefault="00DD2EED" w:rsidP="003346BE">
            <w:r>
              <w:rPr>
                <w:sz w:val="15"/>
                <w:szCs w:val="15"/>
              </w:rPr>
              <w:t>Not assessed (cross-sectional)</w:t>
            </w:r>
          </w:p>
        </w:tc>
        <w:tc>
          <w:tcPr>
            <w:tcW w:w="2091"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13B95C66" w14:textId="77777777" w:rsidR="00DD2EED" w:rsidRDefault="00DD2EED" w:rsidP="003346BE">
            <w:r>
              <w:rPr>
                <w:sz w:val="15"/>
                <w:szCs w:val="15"/>
              </w:rPr>
              <w:t>N/A</w:t>
            </w:r>
          </w:p>
        </w:tc>
        <w:tc>
          <w:tcPr>
            <w:tcW w:w="1961"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491A71BF" w14:textId="77777777" w:rsidR="00DD2EED" w:rsidRDefault="00DD2EED" w:rsidP="003346BE">
            <w:r>
              <w:rPr>
                <w:sz w:val="15"/>
                <w:szCs w:val="15"/>
              </w:rPr>
              <w:t>National survey (PLWH)</w:t>
            </w:r>
          </w:p>
        </w:tc>
      </w:tr>
      <w:tr w:rsidR="00DD2EED" w14:paraId="2F2C954F" w14:textId="77777777" w:rsidTr="003346BE">
        <w:tc>
          <w:tcPr>
            <w:tcW w:w="379"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5C09E835" w14:textId="77777777" w:rsidR="00DD2EED" w:rsidRDefault="00DD2EED" w:rsidP="003346BE">
            <w:r>
              <w:rPr>
                <w:b/>
                <w:bCs/>
                <w:sz w:val="15"/>
                <w:szCs w:val="15"/>
              </w:rPr>
              <w:t>7</w:t>
            </w:r>
          </w:p>
        </w:tc>
        <w:tc>
          <w:tcPr>
            <w:tcW w:w="1695"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031E0F33" w14:textId="77777777" w:rsidR="00DD2EED" w:rsidRDefault="00DD2EED" w:rsidP="003346BE">
            <w:r>
              <w:rPr>
                <w:b/>
                <w:bCs/>
                <w:sz w:val="15"/>
                <w:szCs w:val="15"/>
              </w:rPr>
              <w:t>Perkins 2025 (SF NHBS) AIDS Behav</w:t>
            </w:r>
          </w:p>
        </w:tc>
        <w:tc>
          <w:tcPr>
            <w:tcW w:w="18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339D81E" w14:textId="77777777" w:rsidR="00DD2EED" w:rsidRDefault="00DD2EED" w:rsidP="003346BE">
            <w:r>
              <w:rPr>
                <w:sz w:val="15"/>
                <w:szCs w:val="15"/>
              </w:rPr>
              <w:t>MSM in San Francisco, 2023</w:t>
            </w:r>
          </w:p>
        </w:tc>
        <w:tc>
          <w:tcPr>
            <w:tcW w:w="70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4D24C068" w14:textId="77777777" w:rsidR="00DD2EED" w:rsidRDefault="00DD2EED" w:rsidP="003346BE">
            <w:r>
              <w:rPr>
                <w:sz w:val="15"/>
                <w:szCs w:val="15"/>
              </w:rPr>
              <w:t>533</w:t>
            </w:r>
          </w:p>
        </w:tc>
        <w:tc>
          <w:tcPr>
            <w:tcW w:w="1794"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5F62788" w14:textId="77777777" w:rsidR="00DD2EED" w:rsidRDefault="00DD2EED" w:rsidP="003346BE">
            <w:r>
              <w:rPr>
                <w:sz w:val="15"/>
                <w:szCs w:val="15"/>
              </w:rPr>
              <w:t>Not reported</w:t>
            </w:r>
          </w:p>
        </w:tc>
        <w:tc>
          <w:tcPr>
            <w:tcW w:w="189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F574667" w14:textId="77777777" w:rsidR="00DD2EED" w:rsidRDefault="00DD2EED" w:rsidP="003346BE">
            <w:r>
              <w:rPr>
                <w:b/>
                <w:bCs/>
                <w:sz w:val="15"/>
                <w:szCs w:val="15"/>
              </w:rPr>
              <w:t>19.3% used past yr; 66.6% aware</w:t>
            </w:r>
          </w:p>
        </w:tc>
        <w:tc>
          <w:tcPr>
            <w:tcW w:w="19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234A785" w14:textId="77777777" w:rsidR="00DD2EED" w:rsidRDefault="00DD2EED" w:rsidP="003346BE">
            <w:r>
              <w:rPr>
                <w:sz w:val="15"/>
                <w:szCs w:val="15"/>
              </w:rPr>
              <w:t>Not assessed</w:t>
            </w:r>
          </w:p>
        </w:tc>
        <w:tc>
          <w:tcPr>
            <w:tcW w:w="209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690B8BCE" w14:textId="77777777" w:rsidR="00DD2EED" w:rsidRDefault="00DD2EED" w:rsidP="003346BE">
            <w:r>
              <w:rPr>
                <w:sz w:val="15"/>
                <w:szCs w:val="15"/>
              </w:rPr>
              <w:t>Not reported</w:t>
            </w:r>
          </w:p>
        </w:tc>
        <w:tc>
          <w:tcPr>
            <w:tcW w:w="196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AFF4CA7" w14:textId="77777777" w:rsidR="00DD2EED" w:rsidRDefault="00DD2EED" w:rsidP="003346BE">
            <w:r>
              <w:rPr>
                <w:sz w:val="15"/>
                <w:szCs w:val="15"/>
              </w:rPr>
              <w:t>Community surv, SF</w:t>
            </w:r>
          </w:p>
        </w:tc>
      </w:tr>
      <w:tr w:rsidR="00DD2EED" w14:paraId="2A72B96A" w14:textId="77777777" w:rsidTr="003346BE">
        <w:tc>
          <w:tcPr>
            <w:tcW w:w="379"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5C68CE3D" w14:textId="77777777" w:rsidR="00DD2EED" w:rsidRDefault="00DD2EED" w:rsidP="003346BE">
            <w:r>
              <w:rPr>
                <w:b/>
                <w:bCs/>
                <w:sz w:val="15"/>
                <w:szCs w:val="15"/>
              </w:rPr>
              <w:t>8</w:t>
            </w:r>
          </w:p>
        </w:tc>
        <w:tc>
          <w:tcPr>
            <w:tcW w:w="1695"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3BBCF27F" w14:textId="77777777" w:rsidR="00DD2EED" w:rsidRDefault="00DD2EED" w:rsidP="003346BE">
            <w:r>
              <w:rPr>
                <w:b/>
                <w:bCs/>
                <w:sz w:val="15"/>
                <w:szCs w:val="15"/>
              </w:rPr>
              <w:t>Castel 2025 (DC) CROI Abs 164</w:t>
            </w:r>
          </w:p>
        </w:tc>
        <w:tc>
          <w:tcPr>
            <w:tcW w:w="1892"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5AAFC109" w14:textId="77777777" w:rsidR="00DD2EED" w:rsidRDefault="00DD2EED" w:rsidP="003346BE">
            <w:r>
              <w:rPr>
                <w:sz w:val="15"/>
                <w:szCs w:val="15"/>
              </w:rPr>
              <w:t>PLWH at DC clinic, 2023–2024</w:t>
            </w:r>
          </w:p>
        </w:tc>
        <w:tc>
          <w:tcPr>
            <w:tcW w:w="703"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238D5A60" w14:textId="77777777" w:rsidR="00DD2EED" w:rsidRDefault="00DD2EED" w:rsidP="003346BE">
            <w:r>
              <w:rPr>
                <w:sz w:val="15"/>
                <w:szCs w:val="15"/>
              </w:rPr>
              <w:t>~300 elig</w:t>
            </w:r>
          </w:p>
        </w:tc>
        <w:tc>
          <w:tcPr>
            <w:tcW w:w="1794"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00D0E221" w14:textId="77777777" w:rsidR="00DD2EED" w:rsidRDefault="00DD2EED" w:rsidP="003346BE">
            <w:r>
              <w:rPr>
                <w:sz w:val="15"/>
                <w:szCs w:val="15"/>
              </w:rPr>
              <w:t>77–85% of 347 STI dx were doxy-eligible</w:t>
            </w:r>
          </w:p>
        </w:tc>
        <w:tc>
          <w:tcPr>
            <w:tcW w:w="1893"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687FC9E0" w14:textId="77777777" w:rsidR="00DD2EED" w:rsidRDefault="00DD2EED" w:rsidP="003346BE">
            <w:r>
              <w:rPr>
                <w:b/>
                <w:bCs/>
                <w:sz w:val="15"/>
                <w:szCs w:val="15"/>
              </w:rPr>
              <w:t>15% of eligible prescribed</w:t>
            </w:r>
          </w:p>
        </w:tc>
        <w:tc>
          <w:tcPr>
            <w:tcW w:w="1992"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097097EE" w14:textId="77777777" w:rsidR="00DD2EED" w:rsidRDefault="00DD2EED" w:rsidP="003346BE">
            <w:r>
              <w:rPr>
                <w:sz w:val="15"/>
                <w:szCs w:val="15"/>
              </w:rPr>
              <w:t>Not reported</w:t>
            </w:r>
          </w:p>
        </w:tc>
        <w:tc>
          <w:tcPr>
            <w:tcW w:w="2091"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3F814693" w14:textId="77777777" w:rsidR="00DD2EED" w:rsidRDefault="00DD2EED" w:rsidP="003346BE">
            <w:r>
              <w:rPr>
                <w:sz w:val="15"/>
                <w:szCs w:val="15"/>
              </w:rPr>
              <w:t>Not reported</w:t>
            </w:r>
          </w:p>
        </w:tc>
        <w:tc>
          <w:tcPr>
            <w:tcW w:w="1961" w:type="dxa"/>
            <w:tcBorders>
              <w:top w:val="single" w:sz="1" w:space="0" w:color="B0B0B0"/>
              <w:left w:val="single" w:sz="1" w:space="0" w:color="B0B0B0"/>
              <w:bottom w:val="single" w:sz="1" w:space="0" w:color="B0B0B0"/>
              <w:right w:val="single" w:sz="1" w:space="0" w:color="B0B0B0"/>
            </w:tcBorders>
            <w:shd w:val="clear" w:color="auto" w:fill="F0F4FA"/>
            <w:tcMar>
              <w:top w:w="50" w:type="dxa"/>
              <w:left w:w="80" w:type="dxa"/>
              <w:bottom w:w="50" w:type="dxa"/>
              <w:right w:w="80" w:type="dxa"/>
            </w:tcMar>
          </w:tcPr>
          <w:p w14:paraId="5D7D4952" w14:textId="77777777" w:rsidR="00DD2EED" w:rsidRDefault="00DD2EED" w:rsidP="003346BE">
            <w:r>
              <w:rPr>
                <w:sz w:val="15"/>
                <w:szCs w:val="15"/>
              </w:rPr>
              <w:t>HIV clinic, DC</w:t>
            </w:r>
          </w:p>
        </w:tc>
      </w:tr>
      <w:tr w:rsidR="00DD2EED" w14:paraId="1F44091F" w14:textId="77777777" w:rsidTr="003346BE">
        <w:tc>
          <w:tcPr>
            <w:tcW w:w="379"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0E3FDD32" w14:textId="77777777" w:rsidR="00DD2EED" w:rsidRDefault="00DD2EED" w:rsidP="003346BE">
            <w:r>
              <w:rPr>
                <w:b/>
                <w:bCs/>
                <w:sz w:val="15"/>
                <w:szCs w:val="15"/>
              </w:rPr>
              <w:t>9</w:t>
            </w:r>
          </w:p>
        </w:tc>
        <w:tc>
          <w:tcPr>
            <w:tcW w:w="1695"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431577CB" w14:textId="77777777" w:rsidR="00DD2EED" w:rsidRDefault="00DD2EED" w:rsidP="003346BE">
            <w:r>
              <w:rPr>
                <w:b/>
                <w:bCs/>
                <w:sz w:val="15"/>
                <w:szCs w:val="15"/>
              </w:rPr>
              <w:t>Osmundson 2025 Open Forum Infect Dis</w:t>
            </w:r>
          </w:p>
        </w:tc>
        <w:tc>
          <w:tcPr>
            <w:tcW w:w="18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29A17C2B" w14:textId="77777777" w:rsidR="00DD2EED" w:rsidRDefault="00DD2EED" w:rsidP="003346BE">
            <w:r>
              <w:rPr>
                <w:sz w:val="15"/>
                <w:szCs w:val="15"/>
              </w:rPr>
              <w:t>MSM + TGW with STI, primary care, 2023</w:t>
            </w:r>
          </w:p>
        </w:tc>
        <w:tc>
          <w:tcPr>
            <w:tcW w:w="70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32533CC" w14:textId="77777777" w:rsidR="00DD2EED" w:rsidRDefault="00DD2EED" w:rsidP="003346BE">
            <w:r>
              <w:rPr>
                <w:sz w:val="15"/>
                <w:szCs w:val="15"/>
              </w:rPr>
              <w:t>117 STI+</w:t>
            </w:r>
          </w:p>
        </w:tc>
        <w:tc>
          <w:tcPr>
            <w:tcW w:w="1794"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540D919" w14:textId="77777777" w:rsidR="00DD2EED" w:rsidRDefault="00DD2EED" w:rsidP="003346BE">
            <w:r>
              <w:rPr>
                <w:sz w:val="15"/>
                <w:szCs w:val="15"/>
              </w:rPr>
              <w:t>18.7% of 627 MSM/TGW had ≥1 STI</w:t>
            </w:r>
          </w:p>
        </w:tc>
        <w:tc>
          <w:tcPr>
            <w:tcW w:w="189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13D57292" w14:textId="77777777" w:rsidR="00DD2EED" w:rsidRDefault="00DD2EED" w:rsidP="003346BE">
            <w:r>
              <w:rPr>
                <w:b/>
                <w:bCs/>
                <w:sz w:val="15"/>
                <w:szCs w:val="15"/>
              </w:rPr>
              <w:t>39.3% prescribed among STI+</w:t>
            </w:r>
          </w:p>
        </w:tc>
        <w:tc>
          <w:tcPr>
            <w:tcW w:w="19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E990062" w14:textId="77777777" w:rsidR="00DD2EED" w:rsidRDefault="00DD2EED" w:rsidP="003346BE">
            <w:r>
              <w:rPr>
                <w:sz w:val="15"/>
                <w:szCs w:val="15"/>
              </w:rPr>
              <w:t>Not reported</w:t>
            </w:r>
          </w:p>
        </w:tc>
        <w:tc>
          <w:tcPr>
            <w:tcW w:w="209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4EB0BC64" w14:textId="77777777" w:rsidR="00DD2EED" w:rsidRDefault="00DD2EED" w:rsidP="003346BE">
            <w:r>
              <w:rPr>
                <w:sz w:val="15"/>
                <w:szCs w:val="15"/>
              </w:rPr>
              <w:t>Not reported</w:t>
            </w:r>
          </w:p>
        </w:tc>
        <w:tc>
          <w:tcPr>
            <w:tcW w:w="196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6D382DDB" w14:textId="77777777" w:rsidR="00DD2EED" w:rsidRDefault="00DD2EED" w:rsidP="003346BE">
            <w:r>
              <w:rPr>
                <w:sz w:val="15"/>
                <w:szCs w:val="15"/>
              </w:rPr>
              <w:t>Primary care, Midwest</w:t>
            </w:r>
          </w:p>
        </w:tc>
      </w:tr>
      <w:tr w:rsidR="00DD2EED" w14:paraId="02EF1DD1" w14:textId="77777777" w:rsidTr="003346BE">
        <w:tc>
          <w:tcPr>
            <w:tcW w:w="14400" w:type="dxa"/>
            <w:gridSpan w:val="9"/>
            <w:tcBorders>
              <w:top w:val="single" w:sz="1" w:space="0" w:color="B0B0B0"/>
              <w:left w:val="single" w:sz="1" w:space="0" w:color="B0B0B0"/>
              <w:bottom w:val="single" w:sz="1" w:space="0" w:color="B0B0B0"/>
              <w:right w:val="single" w:sz="1" w:space="0" w:color="B0B0B0"/>
            </w:tcBorders>
            <w:shd w:val="clear" w:color="auto" w:fill="8B4513"/>
            <w:tcMar>
              <w:top w:w="80" w:type="dxa"/>
              <w:left w:w="120" w:type="dxa"/>
              <w:bottom w:w="80" w:type="dxa"/>
              <w:right w:w="120" w:type="dxa"/>
            </w:tcMar>
          </w:tcPr>
          <w:p w14:paraId="101EA6BB" w14:textId="77777777" w:rsidR="00DD2EED" w:rsidRDefault="00DD2EED" w:rsidP="003346BE">
            <w:r>
              <w:rPr>
                <w:b/>
                <w:bCs/>
                <w:color w:val="FFFFFF"/>
                <w:sz w:val="17"/>
                <w:szCs w:val="17"/>
              </w:rPr>
              <w:t>SECTION B: Randomized Controlled Trials</w:t>
            </w:r>
          </w:p>
        </w:tc>
      </w:tr>
      <w:tr w:rsidR="00DD2EED" w14:paraId="3A3E832E" w14:textId="77777777" w:rsidTr="003346BE">
        <w:tc>
          <w:tcPr>
            <w:tcW w:w="379"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2A579226" w14:textId="77777777" w:rsidR="00DD2EED" w:rsidRDefault="00DD2EED" w:rsidP="003346BE">
            <w:r>
              <w:rPr>
                <w:b/>
                <w:bCs/>
                <w:sz w:val="15"/>
                <w:szCs w:val="15"/>
              </w:rPr>
              <w:t>10</w:t>
            </w:r>
          </w:p>
        </w:tc>
        <w:tc>
          <w:tcPr>
            <w:tcW w:w="1695"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7C8E909F" w14:textId="77777777" w:rsidR="00DD2EED" w:rsidRDefault="00DD2EED" w:rsidP="003346BE">
            <w:r>
              <w:rPr>
                <w:b/>
                <w:bCs/>
                <w:sz w:val="15"/>
                <w:szCs w:val="15"/>
              </w:rPr>
              <w:t>Molina 2018 (IPERGAY) Lancet Infect Dis</w:t>
            </w:r>
          </w:p>
        </w:tc>
        <w:tc>
          <w:tcPr>
            <w:tcW w:w="1892"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044F2C49" w14:textId="77777777" w:rsidR="00DD2EED" w:rsidRDefault="00DD2EED" w:rsidP="003346BE">
            <w:r>
              <w:rPr>
                <w:sz w:val="15"/>
                <w:szCs w:val="15"/>
              </w:rPr>
              <w:t>MSM on event-driven HIV PrEP in France; median 10 partners/2 mo</w:t>
            </w:r>
          </w:p>
        </w:tc>
        <w:tc>
          <w:tcPr>
            <w:tcW w:w="703"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6C629E32" w14:textId="77777777" w:rsidR="00DD2EED" w:rsidRDefault="00DD2EED" w:rsidP="003346BE">
            <w:r>
              <w:rPr>
                <w:sz w:val="15"/>
                <w:szCs w:val="15"/>
              </w:rPr>
              <w:t>232</w:t>
            </w:r>
          </w:p>
        </w:tc>
        <w:tc>
          <w:tcPr>
            <w:tcW w:w="1794"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1E5BCE6A" w14:textId="77777777" w:rsidR="00DD2EED" w:rsidRDefault="00DD2EED" w:rsidP="003346BE">
            <w:r>
              <w:rPr>
                <w:sz w:val="15"/>
                <w:szCs w:val="15"/>
              </w:rPr>
              <w:t>100% (enrollment: condomless sex with men + on PrEP)</w:t>
            </w:r>
          </w:p>
        </w:tc>
        <w:tc>
          <w:tcPr>
            <w:tcW w:w="1893"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430A81DD" w14:textId="77777777" w:rsidR="00DD2EED" w:rsidRDefault="00DD2EED" w:rsidP="003346BE">
            <w:r>
              <w:rPr>
                <w:sz w:val="15"/>
                <w:szCs w:val="15"/>
              </w:rPr>
              <w:t>Trial: 1:1 randomization to doxy-PEP vs no PEP</w:t>
            </w:r>
          </w:p>
        </w:tc>
        <w:tc>
          <w:tcPr>
            <w:tcW w:w="1992"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0524CE76" w14:textId="77777777" w:rsidR="00DD2EED" w:rsidRDefault="00DD2EED" w:rsidP="003346BE">
            <w:r>
              <w:rPr>
                <w:b/>
                <w:bCs/>
                <w:sz w:val="15"/>
                <w:szCs w:val="15"/>
              </w:rPr>
              <w:t>73% reduction: HR 0.27 (95% CI 0.07–0.98, p=.047)</w:t>
            </w:r>
          </w:p>
        </w:tc>
        <w:tc>
          <w:tcPr>
            <w:tcW w:w="2091"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701129CE" w14:textId="77777777" w:rsidR="00DD2EED" w:rsidRDefault="00DD2EED" w:rsidP="003346BE">
            <w:r>
              <w:rPr>
                <w:sz w:val="15"/>
                <w:szCs w:val="15"/>
              </w:rPr>
              <w:t>Median 680 mg/mo (IQR 280–1450); f/u 8.7 mo</w:t>
            </w:r>
          </w:p>
        </w:tc>
        <w:tc>
          <w:tcPr>
            <w:tcW w:w="1961"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5D7DB2BA" w14:textId="77777777" w:rsidR="00DD2EED" w:rsidRDefault="00DD2EED" w:rsidP="003346BE">
            <w:r>
              <w:rPr>
                <w:sz w:val="15"/>
                <w:szCs w:val="15"/>
              </w:rPr>
              <w:t>RCT, France</w:t>
            </w:r>
          </w:p>
        </w:tc>
      </w:tr>
      <w:tr w:rsidR="00DD2EED" w14:paraId="7AFA2681" w14:textId="77777777" w:rsidTr="003346BE">
        <w:tc>
          <w:tcPr>
            <w:tcW w:w="379"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0B3B4DFC" w14:textId="77777777" w:rsidR="00DD2EED" w:rsidRDefault="00DD2EED" w:rsidP="003346BE">
            <w:r>
              <w:rPr>
                <w:b/>
                <w:bCs/>
                <w:sz w:val="15"/>
                <w:szCs w:val="15"/>
              </w:rPr>
              <w:t>11</w:t>
            </w:r>
          </w:p>
        </w:tc>
        <w:tc>
          <w:tcPr>
            <w:tcW w:w="1695"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7D2B80F4" w14:textId="77777777" w:rsidR="00DD2EED" w:rsidRDefault="00DD2EED" w:rsidP="003346BE">
            <w:r>
              <w:rPr>
                <w:b/>
                <w:bCs/>
                <w:sz w:val="15"/>
                <w:szCs w:val="15"/>
              </w:rPr>
              <w:t>Luetkemeyer 2023/2025 (DoxyPEP) NEJM / Lancet ID</w:t>
            </w:r>
          </w:p>
        </w:tc>
        <w:tc>
          <w:tcPr>
            <w:tcW w:w="18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08FF0AA1" w14:textId="77777777" w:rsidR="00DD2EED" w:rsidRDefault="00DD2EED" w:rsidP="003346BE">
            <w:r>
              <w:rPr>
                <w:sz w:val="15"/>
                <w:szCs w:val="15"/>
              </w:rPr>
              <w:t>MSM (96%) + TGW (4%) on PrEP or PLWH with ≥1 STI in past yr, SF/Seattle</w:t>
            </w:r>
          </w:p>
        </w:tc>
        <w:tc>
          <w:tcPr>
            <w:tcW w:w="70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B476AE0" w14:textId="77777777" w:rsidR="00DD2EED" w:rsidRDefault="00DD2EED" w:rsidP="003346BE">
            <w:r>
              <w:rPr>
                <w:sz w:val="15"/>
                <w:szCs w:val="15"/>
              </w:rPr>
              <w:t>501</w:t>
            </w:r>
          </w:p>
        </w:tc>
        <w:tc>
          <w:tcPr>
            <w:tcW w:w="1794"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DDBE98B" w14:textId="77777777" w:rsidR="00DD2EED" w:rsidRDefault="00DD2EED" w:rsidP="003346BE">
            <w:r>
              <w:rPr>
                <w:sz w:val="15"/>
                <w:szCs w:val="15"/>
              </w:rPr>
              <w:t>100% (enrollment: ≥1 bacterial STI in past yr)</w:t>
            </w:r>
          </w:p>
        </w:tc>
        <w:tc>
          <w:tcPr>
            <w:tcW w:w="1893"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89B4EFD" w14:textId="77777777" w:rsidR="00DD2EED" w:rsidRDefault="00DD2EED" w:rsidP="003346BE">
            <w:r>
              <w:rPr>
                <w:sz w:val="15"/>
                <w:szCs w:val="15"/>
              </w:rPr>
              <w:t>Trial: 2:1 randomization to doxy-PEP vs standard care</w:t>
            </w:r>
          </w:p>
        </w:tc>
        <w:tc>
          <w:tcPr>
            <w:tcW w:w="1992"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3932236A" w14:textId="77777777" w:rsidR="00DD2EED" w:rsidRDefault="00DD2EED" w:rsidP="003346BE">
            <w:r>
              <w:rPr>
                <w:b/>
                <w:bCs/>
                <w:sz w:val="15"/>
                <w:szCs w:val="15"/>
              </w:rPr>
              <w:t>PrEP cohort: 87% reduction, RR 0.13 (0.03–0.59). PLWH: 77%, RR 0.23 (0.04–1.29, n.s.)</w:t>
            </w:r>
          </w:p>
        </w:tc>
        <w:tc>
          <w:tcPr>
            <w:tcW w:w="209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53857BBD" w14:textId="77777777" w:rsidR="00DD2EED" w:rsidRDefault="00DD2EED" w:rsidP="003346BE">
            <w:r>
              <w:rPr>
                <w:sz w:val="15"/>
                <w:szCs w:val="15"/>
              </w:rPr>
              <w:t>Self-report ~87% of sex acts covered; median 4 doses/mo</w:t>
            </w:r>
          </w:p>
        </w:tc>
        <w:tc>
          <w:tcPr>
            <w:tcW w:w="1961" w:type="dxa"/>
            <w:tcBorders>
              <w:top w:val="single" w:sz="1" w:space="0" w:color="B0B0B0"/>
              <w:left w:val="single" w:sz="1" w:space="0" w:color="B0B0B0"/>
              <w:bottom w:val="single" w:sz="1" w:space="0" w:color="B0B0B0"/>
              <w:right w:val="single" w:sz="1" w:space="0" w:color="B0B0B0"/>
            </w:tcBorders>
            <w:shd w:val="clear" w:color="auto" w:fill="FFFFFF"/>
            <w:tcMar>
              <w:top w:w="50" w:type="dxa"/>
              <w:left w:w="80" w:type="dxa"/>
              <w:bottom w:w="50" w:type="dxa"/>
              <w:right w:w="80" w:type="dxa"/>
            </w:tcMar>
          </w:tcPr>
          <w:p w14:paraId="42E8E085" w14:textId="77777777" w:rsidR="00DD2EED" w:rsidRDefault="00DD2EED" w:rsidP="003346BE">
            <w:r>
              <w:rPr>
                <w:sz w:val="15"/>
                <w:szCs w:val="15"/>
              </w:rPr>
              <w:t>RCT, US (SF/Seattle)</w:t>
            </w:r>
          </w:p>
        </w:tc>
      </w:tr>
      <w:tr w:rsidR="00DD2EED" w14:paraId="52B2151B" w14:textId="77777777" w:rsidTr="003346BE">
        <w:tc>
          <w:tcPr>
            <w:tcW w:w="379"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69A41B0C" w14:textId="77777777" w:rsidR="00DD2EED" w:rsidRDefault="00DD2EED" w:rsidP="003346BE">
            <w:r>
              <w:rPr>
                <w:b/>
                <w:bCs/>
                <w:sz w:val="15"/>
                <w:szCs w:val="15"/>
              </w:rPr>
              <w:t>12</w:t>
            </w:r>
          </w:p>
        </w:tc>
        <w:tc>
          <w:tcPr>
            <w:tcW w:w="1695"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57AE82AF" w14:textId="77777777" w:rsidR="00DD2EED" w:rsidRDefault="00DD2EED" w:rsidP="003346BE">
            <w:r>
              <w:rPr>
                <w:b/>
                <w:bCs/>
                <w:sz w:val="15"/>
                <w:szCs w:val="15"/>
              </w:rPr>
              <w:t>Molina 2024 (DOXYVAC) Lancet Infect Dis</w:t>
            </w:r>
          </w:p>
        </w:tc>
        <w:tc>
          <w:tcPr>
            <w:tcW w:w="1892"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5CD85FEB" w14:textId="77777777" w:rsidR="00DD2EED" w:rsidRDefault="00DD2EED" w:rsidP="003346BE">
            <w:r>
              <w:rPr>
                <w:sz w:val="15"/>
                <w:szCs w:val="15"/>
              </w:rPr>
              <w:t>MSM on HIV PrEP ≥6 mo with ≥1 STI in prior yr, France; 2×2 factorial with 4CMenB</w:t>
            </w:r>
          </w:p>
        </w:tc>
        <w:tc>
          <w:tcPr>
            <w:tcW w:w="703"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73E4AD3C" w14:textId="77777777" w:rsidR="00DD2EED" w:rsidRDefault="00DD2EED" w:rsidP="003346BE">
            <w:r>
              <w:rPr>
                <w:sz w:val="15"/>
                <w:szCs w:val="15"/>
              </w:rPr>
              <w:t>545</w:t>
            </w:r>
          </w:p>
        </w:tc>
        <w:tc>
          <w:tcPr>
            <w:tcW w:w="1794"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26D6C219" w14:textId="77777777" w:rsidR="00DD2EED" w:rsidRDefault="00DD2EED" w:rsidP="003346BE">
            <w:r>
              <w:rPr>
                <w:sz w:val="15"/>
                <w:szCs w:val="15"/>
              </w:rPr>
              <w:t>100% (enrollment: PrEP ≥6 mo + STI in past yr)</w:t>
            </w:r>
          </w:p>
        </w:tc>
        <w:tc>
          <w:tcPr>
            <w:tcW w:w="1893"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17E0F0C2" w14:textId="77777777" w:rsidR="00DD2EED" w:rsidRDefault="00DD2EED" w:rsidP="003346BE">
            <w:r>
              <w:rPr>
                <w:sz w:val="15"/>
                <w:szCs w:val="15"/>
              </w:rPr>
              <w:t>Trial: 2:1 randomization; stopped early for efficacy</w:t>
            </w:r>
          </w:p>
        </w:tc>
        <w:tc>
          <w:tcPr>
            <w:tcW w:w="1992"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2B80F461" w14:textId="77777777" w:rsidR="00DD2EED" w:rsidRDefault="00DD2EED" w:rsidP="003346BE">
            <w:r>
              <w:rPr>
                <w:b/>
                <w:bCs/>
                <w:sz w:val="15"/>
                <w:szCs w:val="15"/>
              </w:rPr>
              <w:t>79% reduction: aHR 0.21 (95% CI 0.09–0.47)</w:t>
            </w:r>
          </w:p>
        </w:tc>
        <w:tc>
          <w:tcPr>
            <w:tcW w:w="2091"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0D2C0608" w14:textId="77777777" w:rsidR="00DD2EED" w:rsidRDefault="00DD2EED" w:rsidP="003346BE">
            <w:r>
              <w:rPr>
                <w:sz w:val="15"/>
                <w:szCs w:val="15"/>
              </w:rPr>
              <w:t>Median f/u 14 mo (IQR 9–18); 3 (0.9%) d/c for AE</w:t>
            </w:r>
          </w:p>
        </w:tc>
        <w:tc>
          <w:tcPr>
            <w:tcW w:w="1961" w:type="dxa"/>
            <w:tcBorders>
              <w:top w:val="single" w:sz="1" w:space="0" w:color="B0B0B0"/>
              <w:left w:val="single" w:sz="1" w:space="0" w:color="B0B0B0"/>
              <w:bottom w:val="single" w:sz="1" w:space="0" w:color="B0B0B0"/>
              <w:right w:val="single" w:sz="1" w:space="0" w:color="B0B0B0"/>
            </w:tcBorders>
            <w:shd w:val="clear" w:color="auto" w:fill="FFF8F0"/>
            <w:tcMar>
              <w:top w:w="50" w:type="dxa"/>
              <w:left w:w="80" w:type="dxa"/>
              <w:bottom w:w="50" w:type="dxa"/>
              <w:right w:w="80" w:type="dxa"/>
            </w:tcMar>
          </w:tcPr>
          <w:p w14:paraId="6CF01DBF" w14:textId="77777777" w:rsidR="00DD2EED" w:rsidRDefault="00DD2EED" w:rsidP="003346BE">
            <w:r>
              <w:rPr>
                <w:sz w:val="15"/>
                <w:szCs w:val="15"/>
              </w:rPr>
              <w:t>RCT, France</w:t>
            </w:r>
          </w:p>
        </w:tc>
      </w:tr>
    </w:tbl>
    <w:p w14:paraId="6E95460D" w14:textId="77777777" w:rsidR="00E30191" w:rsidRDefault="00E30191" w:rsidP="00DD2EED">
      <w:pPr>
        <w:spacing w:before="200" w:after="60"/>
        <w:rPr>
          <w:b/>
          <w:bCs/>
          <w:sz w:val="20"/>
          <w:szCs w:val="20"/>
        </w:rPr>
      </w:pPr>
    </w:p>
    <w:p w14:paraId="417E740C" w14:textId="77777777" w:rsidR="00E30191" w:rsidRDefault="00E30191" w:rsidP="00DD2EED">
      <w:pPr>
        <w:spacing w:before="200" w:after="60"/>
        <w:rPr>
          <w:b/>
          <w:bCs/>
          <w:sz w:val="20"/>
          <w:szCs w:val="20"/>
        </w:rPr>
        <w:sectPr w:rsidR="00E30191" w:rsidSect="00E30191">
          <w:pgSz w:w="15840" w:h="12226" w:orient="landscape"/>
          <w:pgMar w:top="720" w:right="720" w:bottom="720" w:left="720" w:header="706" w:footer="706" w:gutter="0"/>
          <w:cols w:space="720"/>
          <w:docGrid w:linePitch="360"/>
        </w:sectPr>
      </w:pPr>
    </w:p>
    <w:p w14:paraId="2E0E0773" w14:textId="77777777" w:rsidR="00E30191" w:rsidRDefault="00DD2EED" w:rsidP="00E30191">
      <w:pPr>
        <w:spacing w:before="200" w:after="60"/>
      </w:pPr>
      <w:r>
        <w:rPr>
          <w:b/>
          <w:bCs/>
          <w:sz w:val="20"/>
          <w:szCs w:val="20"/>
        </w:rPr>
        <w:lastRenderedPageBreak/>
        <w:t>Notes</w:t>
      </w:r>
    </w:p>
    <w:p w14:paraId="4D0EF7AB" w14:textId="29531F97" w:rsidR="00E30191" w:rsidRPr="00E30191" w:rsidRDefault="00DD2EED" w:rsidP="00E30191">
      <w:pPr>
        <w:spacing w:before="200" w:after="60"/>
      </w:pPr>
      <w:r>
        <w:rPr>
          <w:sz w:val="20"/>
          <w:szCs w:val="20"/>
        </w:rPr>
        <w:t>Eligibility (</w:t>
      </w:r>
      <w:r w:rsidRPr="00E30191">
        <w:rPr>
          <w:sz w:val="20"/>
          <w:szCs w:val="20"/>
        </w:rPr>
        <w:t>CDC): MSM/TGW with ≥1 bacterial STI in past 12 months.</w:t>
      </w:r>
    </w:p>
    <w:p w14:paraId="0C810D86" w14:textId="4FB968F0" w:rsidR="00E30191" w:rsidRDefault="001B1400" w:rsidP="001B1400">
      <w:pPr>
        <w:spacing w:after="40"/>
      </w:pPr>
      <w:r>
        <w:rPr>
          <w:b/>
          <w:bCs/>
          <w:sz w:val="20"/>
          <w:szCs w:val="20"/>
        </w:rPr>
        <w:t xml:space="preserve">Eligibility: </w:t>
      </w:r>
      <w:r w:rsidR="00DD2EED" w:rsidRPr="001B1400">
        <w:rPr>
          <w:sz w:val="20"/>
          <w:szCs w:val="20"/>
        </w:rPr>
        <w:t xml:space="preserve">Martinson 2025 found 43.5% of MSM with HIV were CDC-eligible; Osmundson found 18.7% in primary </w:t>
      </w:r>
      <w:r w:rsidR="00DD2EED" w:rsidRPr="00E30191">
        <w:rPr>
          <w:sz w:val="20"/>
          <w:szCs w:val="20"/>
        </w:rPr>
        <w:t>care had ≥1 STI.</w:t>
      </w:r>
    </w:p>
    <w:p w14:paraId="5D9C23F2" w14:textId="3BDBD0B5" w:rsidR="004F105F" w:rsidRPr="006C1208" w:rsidRDefault="004F105F" w:rsidP="00E30191">
      <w:pPr>
        <w:spacing w:after="40"/>
        <w:rPr>
          <w:sz w:val="20"/>
          <w:szCs w:val="20"/>
        </w:rPr>
      </w:pPr>
      <w:r w:rsidRPr="004F105F">
        <w:rPr>
          <w:b/>
          <w:bCs/>
          <w:sz w:val="20"/>
          <w:szCs w:val="20"/>
        </w:rPr>
        <w:t xml:space="preserve">Uptake: </w:t>
      </w:r>
      <w:r w:rsidR="00720645" w:rsidRPr="00391BF8">
        <w:rPr>
          <w:sz w:val="20"/>
          <w:szCs w:val="20"/>
        </w:rPr>
        <w:t>median 20% [15% - 40%]</w:t>
      </w:r>
      <w:r w:rsidR="00391BF8" w:rsidRPr="00391BF8">
        <w:rPr>
          <w:sz w:val="20"/>
          <w:szCs w:val="20"/>
        </w:rPr>
        <w:t xml:space="preserve"> up to 80% in a in Philadelphia (Lewis)</w:t>
      </w:r>
    </w:p>
    <w:p w14:paraId="15321F26" w14:textId="77777777" w:rsidR="00D74DD4" w:rsidRDefault="00D74DD4" w:rsidP="006C1208">
      <w:pPr>
        <w:spacing w:after="40"/>
        <w:rPr>
          <w:sz w:val="20"/>
          <w:szCs w:val="20"/>
        </w:rPr>
      </w:pPr>
    </w:p>
    <w:p w14:paraId="206DC73E" w14:textId="64C92F8D" w:rsidR="00DD2EED" w:rsidRDefault="00D74DD4" w:rsidP="006C1208">
      <w:pPr>
        <w:spacing w:after="40"/>
        <w:rPr>
          <w:sz w:val="20"/>
          <w:szCs w:val="20"/>
        </w:rPr>
      </w:pPr>
      <w:r>
        <w:rPr>
          <w:sz w:val="20"/>
          <w:szCs w:val="20"/>
        </w:rPr>
        <w:t>Uptake:</w:t>
      </w:r>
    </w:p>
    <w:tbl>
      <w:tblPr>
        <w:tblStyle w:val="PlainTable5"/>
        <w:tblW w:w="10021" w:type="dxa"/>
        <w:tblLook w:val="04A0" w:firstRow="1" w:lastRow="0" w:firstColumn="1" w:lastColumn="0" w:noHBand="0" w:noVBand="1"/>
      </w:tblPr>
      <w:tblGrid>
        <w:gridCol w:w="2540"/>
        <w:gridCol w:w="3716"/>
        <w:gridCol w:w="3765"/>
      </w:tblGrid>
      <w:tr w:rsidR="00D74DD4" w:rsidRPr="00D74DD4" w14:paraId="306CD626" w14:textId="77777777" w:rsidTr="00D74D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3A20BF" w14:textId="77777777" w:rsidR="00D74DD4" w:rsidRPr="00D74DD4" w:rsidRDefault="00D74DD4" w:rsidP="00D74DD4">
            <w:pPr>
              <w:spacing w:after="40"/>
              <w:jc w:val="left"/>
              <w:rPr>
                <w:b/>
                <w:bCs/>
                <w:sz w:val="20"/>
                <w:szCs w:val="20"/>
              </w:rPr>
            </w:pPr>
            <w:r w:rsidRPr="00D74DD4">
              <w:rPr>
                <w:b/>
                <w:bCs/>
                <w:sz w:val="20"/>
                <w:szCs w:val="20"/>
              </w:rPr>
              <w:t>Stage</w:t>
            </w:r>
          </w:p>
        </w:tc>
        <w:tc>
          <w:tcPr>
            <w:tcW w:w="3716" w:type="dxa"/>
            <w:hideMark/>
          </w:tcPr>
          <w:p w14:paraId="2807175B" w14:textId="77777777" w:rsidR="00D74DD4" w:rsidRPr="00D74DD4" w:rsidRDefault="00D74DD4" w:rsidP="00D74DD4">
            <w:pPr>
              <w:spacing w:after="40"/>
              <w:cnfStyle w:val="100000000000" w:firstRow="1" w:lastRow="0" w:firstColumn="0" w:lastColumn="0" w:oddVBand="0" w:evenVBand="0" w:oddHBand="0" w:evenHBand="0" w:firstRowFirstColumn="0" w:firstRowLastColumn="0" w:lastRowFirstColumn="0" w:lastRowLastColumn="0"/>
              <w:rPr>
                <w:b/>
                <w:bCs/>
                <w:sz w:val="20"/>
                <w:szCs w:val="20"/>
              </w:rPr>
            </w:pPr>
            <w:r w:rsidRPr="00D74DD4">
              <w:rPr>
                <w:b/>
                <w:bCs/>
                <w:sz w:val="20"/>
                <w:szCs w:val="20"/>
              </w:rPr>
              <w:t>Estimate</w:t>
            </w:r>
          </w:p>
        </w:tc>
        <w:tc>
          <w:tcPr>
            <w:tcW w:w="0" w:type="auto"/>
            <w:hideMark/>
          </w:tcPr>
          <w:p w14:paraId="3317BAFA" w14:textId="77777777" w:rsidR="00D74DD4" w:rsidRPr="00D74DD4" w:rsidRDefault="00D74DD4" w:rsidP="00D74DD4">
            <w:pPr>
              <w:spacing w:after="40"/>
              <w:cnfStyle w:val="100000000000" w:firstRow="1" w:lastRow="0" w:firstColumn="0" w:lastColumn="0" w:oddVBand="0" w:evenVBand="0" w:oddHBand="0" w:evenHBand="0" w:firstRowFirstColumn="0" w:firstRowLastColumn="0" w:lastRowFirstColumn="0" w:lastRowLastColumn="0"/>
              <w:rPr>
                <w:b/>
                <w:bCs/>
                <w:sz w:val="20"/>
                <w:szCs w:val="20"/>
              </w:rPr>
            </w:pPr>
            <w:r w:rsidRPr="00D74DD4">
              <w:rPr>
                <w:b/>
                <w:bCs/>
                <w:sz w:val="20"/>
                <w:szCs w:val="20"/>
              </w:rPr>
              <w:t>Source/Context</w:t>
            </w:r>
          </w:p>
        </w:tc>
      </w:tr>
      <w:tr w:rsidR="00D74DD4" w:rsidRPr="00D74DD4" w14:paraId="271EDB0D" w14:textId="77777777" w:rsidTr="00D7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034AA" w14:textId="77777777" w:rsidR="00D74DD4" w:rsidRPr="00D74DD4" w:rsidRDefault="00D74DD4" w:rsidP="00D74DD4">
            <w:pPr>
              <w:spacing w:after="40"/>
              <w:jc w:val="left"/>
              <w:rPr>
                <w:sz w:val="20"/>
                <w:szCs w:val="20"/>
              </w:rPr>
            </w:pPr>
            <w:r w:rsidRPr="00D74DD4">
              <w:rPr>
                <w:b/>
                <w:bCs/>
                <w:sz w:val="20"/>
                <w:szCs w:val="20"/>
              </w:rPr>
              <w:t>Awareness</w:t>
            </w:r>
          </w:p>
        </w:tc>
        <w:tc>
          <w:tcPr>
            <w:tcW w:w="3716" w:type="dxa"/>
            <w:hideMark/>
          </w:tcPr>
          <w:p w14:paraId="37D134D3"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sz w:val="20"/>
                <w:szCs w:val="20"/>
              </w:rPr>
            </w:pPr>
            <w:r w:rsidRPr="00D74DD4">
              <w:rPr>
                <w:sz w:val="20"/>
                <w:szCs w:val="20"/>
              </w:rPr>
              <w:t>66.6% aware</w:t>
            </w:r>
          </w:p>
        </w:tc>
        <w:tc>
          <w:tcPr>
            <w:tcW w:w="0" w:type="auto"/>
            <w:hideMark/>
          </w:tcPr>
          <w:p w14:paraId="6FE45F09"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sz w:val="20"/>
                <w:szCs w:val="20"/>
              </w:rPr>
            </w:pPr>
            <w:r w:rsidRPr="00D74DD4">
              <w:rPr>
                <w:sz w:val="20"/>
                <w:szCs w:val="20"/>
              </w:rPr>
              <w:t>General population</w:t>
            </w:r>
          </w:p>
        </w:tc>
      </w:tr>
      <w:tr w:rsidR="00D74DD4" w:rsidRPr="00D74DD4" w14:paraId="20EB007A" w14:textId="77777777" w:rsidTr="00D74DD4">
        <w:tc>
          <w:tcPr>
            <w:cnfStyle w:val="001000000000" w:firstRow="0" w:lastRow="0" w:firstColumn="1" w:lastColumn="0" w:oddVBand="0" w:evenVBand="0" w:oddHBand="0" w:evenHBand="0" w:firstRowFirstColumn="0" w:firstRowLastColumn="0" w:lastRowFirstColumn="0" w:lastRowLastColumn="0"/>
            <w:tcW w:w="0" w:type="auto"/>
            <w:hideMark/>
          </w:tcPr>
          <w:p w14:paraId="65C64216" w14:textId="77777777" w:rsidR="00D74DD4" w:rsidRPr="00D74DD4" w:rsidRDefault="00D74DD4" w:rsidP="00D74DD4">
            <w:pPr>
              <w:spacing w:after="40"/>
              <w:jc w:val="left"/>
              <w:rPr>
                <w:sz w:val="20"/>
                <w:szCs w:val="20"/>
              </w:rPr>
            </w:pPr>
            <w:r w:rsidRPr="00D74DD4">
              <w:rPr>
                <w:b/>
                <w:bCs/>
                <w:sz w:val="20"/>
                <w:szCs w:val="20"/>
              </w:rPr>
              <w:t>Acceptance</w:t>
            </w:r>
          </w:p>
        </w:tc>
        <w:tc>
          <w:tcPr>
            <w:tcW w:w="3716" w:type="dxa"/>
            <w:hideMark/>
          </w:tcPr>
          <w:p w14:paraId="01E220F6"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D74DD4">
              <w:rPr>
                <w:sz w:val="20"/>
                <w:szCs w:val="20"/>
              </w:rPr>
              <w:t>82% accepted</w:t>
            </w:r>
          </w:p>
        </w:tc>
        <w:tc>
          <w:tcPr>
            <w:tcW w:w="0" w:type="auto"/>
            <w:hideMark/>
          </w:tcPr>
          <w:p w14:paraId="5B171E1C"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D74DD4">
              <w:rPr>
                <w:sz w:val="20"/>
                <w:szCs w:val="20"/>
              </w:rPr>
              <w:t>When offered</w:t>
            </w:r>
          </w:p>
        </w:tc>
      </w:tr>
      <w:tr w:rsidR="00D74DD4" w:rsidRPr="00D74DD4" w14:paraId="052C847D" w14:textId="77777777" w:rsidTr="00D7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E0CCD" w14:textId="77777777" w:rsidR="00D74DD4" w:rsidRPr="00D74DD4" w:rsidRDefault="00D74DD4" w:rsidP="00D74DD4">
            <w:pPr>
              <w:spacing w:after="40"/>
              <w:jc w:val="left"/>
              <w:rPr>
                <w:b/>
                <w:bCs/>
                <w:sz w:val="20"/>
                <w:szCs w:val="20"/>
              </w:rPr>
            </w:pPr>
            <w:r w:rsidRPr="00D74DD4">
              <w:rPr>
                <w:b/>
                <w:bCs/>
                <w:sz w:val="20"/>
                <w:szCs w:val="20"/>
              </w:rPr>
              <w:t>Prescribed</w:t>
            </w:r>
          </w:p>
        </w:tc>
        <w:tc>
          <w:tcPr>
            <w:tcW w:w="3716" w:type="dxa"/>
            <w:hideMark/>
          </w:tcPr>
          <w:p w14:paraId="68BE156C"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b/>
                <w:bCs/>
                <w:sz w:val="20"/>
                <w:szCs w:val="20"/>
              </w:rPr>
            </w:pPr>
            <w:r w:rsidRPr="00D74DD4">
              <w:rPr>
                <w:b/>
                <w:bCs/>
                <w:sz w:val="20"/>
                <w:szCs w:val="20"/>
              </w:rPr>
              <w:t>21% of CDC-eligible prescribed</w:t>
            </w:r>
          </w:p>
        </w:tc>
        <w:tc>
          <w:tcPr>
            <w:tcW w:w="0" w:type="auto"/>
            <w:hideMark/>
          </w:tcPr>
          <w:p w14:paraId="5F48C14D"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b/>
                <w:bCs/>
                <w:sz w:val="20"/>
                <w:szCs w:val="20"/>
              </w:rPr>
            </w:pPr>
            <w:r w:rsidRPr="00D74DD4">
              <w:rPr>
                <w:b/>
                <w:bCs/>
                <w:sz w:val="20"/>
                <w:szCs w:val="20"/>
              </w:rPr>
              <w:t>Eligible population</w:t>
            </w:r>
          </w:p>
        </w:tc>
      </w:tr>
      <w:tr w:rsidR="00D74DD4" w:rsidRPr="00D74DD4" w14:paraId="08466198" w14:textId="77777777" w:rsidTr="00D74DD4">
        <w:tc>
          <w:tcPr>
            <w:cnfStyle w:val="001000000000" w:firstRow="0" w:lastRow="0" w:firstColumn="1" w:lastColumn="0" w:oddVBand="0" w:evenVBand="0" w:oddHBand="0" w:evenHBand="0" w:firstRowFirstColumn="0" w:firstRowLastColumn="0" w:lastRowFirstColumn="0" w:lastRowLastColumn="0"/>
            <w:tcW w:w="0" w:type="auto"/>
            <w:hideMark/>
          </w:tcPr>
          <w:p w14:paraId="17E356E6" w14:textId="77777777" w:rsidR="00D74DD4" w:rsidRPr="00D74DD4" w:rsidRDefault="00D74DD4" w:rsidP="00D74DD4">
            <w:pPr>
              <w:spacing w:after="40"/>
              <w:jc w:val="left"/>
              <w:rPr>
                <w:b/>
                <w:bCs/>
                <w:sz w:val="20"/>
                <w:szCs w:val="20"/>
              </w:rPr>
            </w:pPr>
          </w:p>
        </w:tc>
        <w:tc>
          <w:tcPr>
            <w:tcW w:w="3716" w:type="dxa"/>
            <w:hideMark/>
          </w:tcPr>
          <w:p w14:paraId="078984D5"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b/>
                <w:bCs/>
                <w:sz w:val="20"/>
                <w:szCs w:val="20"/>
              </w:rPr>
            </w:pPr>
            <w:r w:rsidRPr="00D74DD4">
              <w:rPr>
                <w:b/>
                <w:bCs/>
                <w:sz w:val="20"/>
                <w:szCs w:val="20"/>
              </w:rPr>
              <w:t>25.1% of PrEP users prescribed</w:t>
            </w:r>
          </w:p>
        </w:tc>
        <w:tc>
          <w:tcPr>
            <w:tcW w:w="0" w:type="auto"/>
            <w:hideMark/>
          </w:tcPr>
          <w:p w14:paraId="41B99999"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b/>
                <w:bCs/>
                <w:sz w:val="20"/>
                <w:szCs w:val="20"/>
              </w:rPr>
            </w:pPr>
            <w:r w:rsidRPr="00D74DD4">
              <w:rPr>
                <w:b/>
                <w:bCs/>
                <w:sz w:val="20"/>
                <w:szCs w:val="20"/>
              </w:rPr>
              <w:t>PrEP users</w:t>
            </w:r>
          </w:p>
        </w:tc>
      </w:tr>
      <w:tr w:rsidR="00D74DD4" w:rsidRPr="00D74DD4" w14:paraId="5DCF4354" w14:textId="77777777" w:rsidTr="00D7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AC3FC" w14:textId="77777777" w:rsidR="00D74DD4" w:rsidRPr="00D74DD4" w:rsidRDefault="00D74DD4" w:rsidP="00D74DD4">
            <w:pPr>
              <w:spacing w:after="40"/>
              <w:jc w:val="left"/>
              <w:rPr>
                <w:b/>
                <w:bCs/>
                <w:sz w:val="20"/>
                <w:szCs w:val="20"/>
              </w:rPr>
            </w:pPr>
          </w:p>
        </w:tc>
        <w:tc>
          <w:tcPr>
            <w:tcW w:w="3716" w:type="dxa"/>
            <w:hideMark/>
          </w:tcPr>
          <w:p w14:paraId="10DD6421"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b/>
                <w:bCs/>
                <w:sz w:val="20"/>
                <w:szCs w:val="20"/>
              </w:rPr>
            </w:pPr>
            <w:r w:rsidRPr="00D74DD4">
              <w:rPr>
                <w:b/>
                <w:bCs/>
                <w:sz w:val="20"/>
                <w:szCs w:val="20"/>
              </w:rPr>
              <w:t>15% of eligible prescribed</w:t>
            </w:r>
          </w:p>
        </w:tc>
        <w:tc>
          <w:tcPr>
            <w:tcW w:w="0" w:type="auto"/>
            <w:hideMark/>
          </w:tcPr>
          <w:p w14:paraId="185707B4"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b/>
                <w:bCs/>
                <w:sz w:val="20"/>
                <w:szCs w:val="20"/>
              </w:rPr>
            </w:pPr>
            <w:r w:rsidRPr="00D74DD4">
              <w:rPr>
                <w:b/>
                <w:bCs/>
                <w:sz w:val="20"/>
                <w:szCs w:val="20"/>
              </w:rPr>
              <w:t>Eligible population</w:t>
            </w:r>
          </w:p>
        </w:tc>
      </w:tr>
      <w:tr w:rsidR="00D74DD4" w:rsidRPr="00D74DD4" w14:paraId="46E1B423" w14:textId="77777777" w:rsidTr="00D74DD4">
        <w:tc>
          <w:tcPr>
            <w:cnfStyle w:val="001000000000" w:firstRow="0" w:lastRow="0" w:firstColumn="1" w:lastColumn="0" w:oddVBand="0" w:evenVBand="0" w:oddHBand="0" w:evenHBand="0" w:firstRowFirstColumn="0" w:firstRowLastColumn="0" w:lastRowFirstColumn="0" w:lastRowLastColumn="0"/>
            <w:tcW w:w="0" w:type="auto"/>
            <w:hideMark/>
          </w:tcPr>
          <w:p w14:paraId="7356DD88" w14:textId="77777777" w:rsidR="00D74DD4" w:rsidRPr="00D74DD4" w:rsidRDefault="00D74DD4" w:rsidP="00D74DD4">
            <w:pPr>
              <w:spacing w:after="40"/>
              <w:jc w:val="left"/>
              <w:rPr>
                <w:b/>
                <w:bCs/>
                <w:sz w:val="20"/>
                <w:szCs w:val="20"/>
              </w:rPr>
            </w:pPr>
          </w:p>
        </w:tc>
        <w:tc>
          <w:tcPr>
            <w:tcW w:w="3716" w:type="dxa"/>
            <w:hideMark/>
          </w:tcPr>
          <w:p w14:paraId="667D9973" w14:textId="77777777" w:rsidR="00D74DD4" w:rsidRPr="005C64BB"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5C64BB">
              <w:rPr>
                <w:sz w:val="20"/>
                <w:szCs w:val="20"/>
              </w:rPr>
              <w:t>39.3% prescribed among STI+</w:t>
            </w:r>
          </w:p>
        </w:tc>
        <w:tc>
          <w:tcPr>
            <w:tcW w:w="0" w:type="auto"/>
            <w:hideMark/>
          </w:tcPr>
          <w:p w14:paraId="7B74B21B" w14:textId="77777777" w:rsidR="00D74DD4" w:rsidRPr="005C64BB"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5C64BB">
              <w:rPr>
                <w:sz w:val="20"/>
                <w:szCs w:val="20"/>
              </w:rPr>
              <w:t>After STI diagnosis</w:t>
            </w:r>
          </w:p>
        </w:tc>
      </w:tr>
      <w:tr w:rsidR="00D74DD4" w:rsidRPr="00D74DD4" w14:paraId="3998B454" w14:textId="77777777" w:rsidTr="00D7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88625" w14:textId="77777777" w:rsidR="00D74DD4" w:rsidRPr="00D74DD4" w:rsidRDefault="00D74DD4" w:rsidP="00D74DD4">
            <w:pPr>
              <w:spacing w:after="40"/>
              <w:jc w:val="left"/>
              <w:rPr>
                <w:b/>
                <w:bCs/>
                <w:sz w:val="20"/>
                <w:szCs w:val="20"/>
              </w:rPr>
            </w:pPr>
          </w:p>
        </w:tc>
        <w:tc>
          <w:tcPr>
            <w:tcW w:w="3716" w:type="dxa"/>
            <w:hideMark/>
          </w:tcPr>
          <w:p w14:paraId="36CF14B4"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b/>
                <w:bCs/>
                <w:sz w:val="20"/>
                <w:szCs w:val="20"/>
              </w:rPr>
            </w:pPr>
            <w:r w:rsidRPr="00D74DD4">
              <w:rPr>
                <w:b/>
                <w:bCs/>
                <w:sz w:val="20"/>
                <w:szCs w:val="20"/>
              </w:rPr>
              <w:t>20% of CDC-eligible prescribed</w:t>
            </w:r>
          </w:p>
        </w:tc>
        <w:tc>
          <w:tcPr>
            <w:tcW w:w="0" w:type="auto"/>
            <w:hideMark/>
          </w:tcPr>
          <w:p w14:paraId="415A205F"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b/>
                <w:bCs/>
                <w:sz w:val="20"/>
                <w:szCs w:val="20"/>
              </w:rPr>
            </w:pPr>
            <w:r w:rsidRPr="00D74DD4">
              <w:rPr>
                <w:b/>
                <w:bCs/>
                <w:sz w:val="20"/>
                <w:szCs w:val="20"/>
              </w:rPr>
              <w:t>Eligible population</w:t>
            </w:r>
          </w:p>
        </w:tc>
      </w:tr>
      <w:tr w:rsidR="00D74DD4" w:rsidRPr="00D74DD4" w14:paraId="4CA8AD49" w14:textId="77777777" w:rsidTr="00D74DD4">
        <w:tc>
          <w:tcPr>
            <w:cnfStyle w:val="001000000000" w:firstRow="0" w:lastRow="0" w:firstColumn="1" w:lastColumn="0" w:oddVBand="0" w:evenVBand="0" w:oddHBand="0" w:evenHBand="0" w:firstRowFirstColumn="0" w:firstRowLastColumn="0" w:lastRowFirstColumn="0" w:lastRowLastColumn="0"/>
            <w:tcW w:w="0" w:type="auto"/>
            <w:hideMark/>
          </w:tcPr>
          <w:p w14:paraId="324ACFDC" w14:textId="77777777" w:rsidR="00D74DD4" w:rsidRPr="00D74DD4" w:rsidRDefault="00D74DD4" w:rsidP="00D74DD4">
            <w:pPr>
              <w:spacing w:after="40"/>
              <w:jc w:val="left"/>
              <w:rPr>
                <w:sz w:val="20"/>
                <w:szCs w:val="20"/>
              </w:rPr>
            </w:pPr>
            <w:r w:rsidRPr="00D74DD4">
              <w:rPr>
                <w:b/>
                <w:bCs/>
                <w:sz w:val="20"/>
                <w:szCs w:val="20"/>
              </w:rPr>
              <w:t>Initiated</w:t>
            </w:r>
          </w:p>
        </w:tc>
        <w:tc>
          <w:tcPr>
            <w:tcW w:w="3716" w:type="dxa"/>
            <w:hideMark/>
          </w:tcPr>
          <w:p w14:paraId="7B15007D"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D74DD4">
              <w:rPr>
                <w:sz w:val="20"/>
                <w:szCs w:val="20"/>
              </w:rPr>
              <w:t>19.5% initiated</w:t>
            </w:r>
          </w:p>
        </w:tc>
        <w:tc>
          <w:tcPr>
            <w:tcW w:w="0" w:type="auto"/>
            <w:hideMark/>
          </w:tcPr>
          <w:p w14:paraId="6FC0A5E1"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D74DD4">
              <w:rPr>
                <w:sz w:val="20"/>
                <w:szCs w:val="20"/>
              </w:rPr>
              <w:t>Sentinel clinics</w:t>
            </w:r>
          </w:p>
        </w:tc>
      </w:tr>
      <w:tr w:rsidR="00D74DD4" w:rsidRPr="00D74DD4" w14:paraId="445C4E0E" w14:textId="77777777" w:rsidTr="00D7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CAFCB" w14:textId="77777777" w:rsidR="00D74DD4" w:rsidRPr="00D74DD4" w:rsidRDefault="00D74DD4" w:rsidP="00D74DD4">
            <w:pPr>
              <w:spacing w:after="40"/>
              <w:jc w:val="left"/>
              <w:rPr>
                <w:sz w:val="20"/>
                <w:szCs w:val="20"/>
              </w:rPr>
            </w:pPr>
          </w:p>
        </w:tc>
        <w:tc>
          <w:tcPr>
            <w:tcW w:w="3716" w:type="dxa"/>
            <w:hideMark/>
          </w:tcPr>
          <w:p w14:paraId="47C0FCA0"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sz w:val="20"/>
                <w:szCs w:val="20"/>
              </w:rPr>
            </w:pPr>
            <w:r w:rsidRPr="00D74DD4">
              <w:rPr>
                <w:sz w:val="20"/>
                <w:szCs w:val="20"/>
              </w:rPr>
              <w:t>39% initiated</w:t>
            </w:r>
          </w:p>
        </w:tc>
        <w:tc>
          <w:tcPr>
            <w:tcW w:w="0" w:type="auto"/>
            <w:hideMark/>
          </w:tcPr>
          <w:p w14:paraId="51A865F5"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sz w:val="20"/>
                <w:szCs w:val="20"/>
              </w:rPr>
            </w:pPr>
            <w:r w:rsidRPr="00D74DD4">
              <w:rPr>
                <w:sz w:val="20"/>
                <w:szCs w:val="20"/>
              </w:rPr>
              <w:t>Another setting</w:t>
            </w:r>
          </w:p>
        </w:tc>
      </w:tr>
      <w:tr w:rsidR="00D74DD4" w:rsidRPr="00D74DD4" w14:paraId="2D8D1930" w14:textId="77777777" w:rsidTr="00D74DD4">
        <w:tc>
          <w:tcPr>
            <w:cnfStyle w:val="001000000000" w:firstRow="0" w:lastRow="0" w:firstColumn="1" w:lastColumn="0" w:oddVBand="0" w:evenVBand="0" w:oddHBand="0" w:evenHBand="0" w:firstRowFirstColumn="0" w:firstRowLastColumn="0" w:lastRowFirstColumn="0" w:lastRowLastColumn="0"/>
            <w:tcW w:w="0" w:type="auto"/>
            <w:hideMark/>
          </w:tcPr>
          <w:p w14:paraId="242B5810" w14:textId="77777777" w:rsidR="00D74DD4" w:rsidRPr="00D74DD4" w:rsidRDefault="00D74DD4" w:rsidP="00D74DD4">
            <w:pPr>
              <w:spacing w:after="40"/>
              <w:jc w:val="left"/>
              <w:rPr>
                <w:sz w:val="20"/>
                <w:szCs w:val="20"/>
              </w:rPr>
            </w:pPr>
            <w:r w:rsidRPr="00D74DD4">
              <w:rPr>
                <w:b/>
                <w:bCs/>
                <w:sz w:val="20"/>
                <w:szCs w:val="20"/>
              </w:rPr>
              <w:t>Current use</w:t>
            </w:r>
          </w:p>
        </w:tc>
        <w:tc>
          <w:tcPr>
            <w:tcW w:w="3716" w:type="dxa"/>
            <w:hideMark/>
          </w:tcPr>
          <w:p w14:paraId="2DDE23A6"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D74DD4">
              <w:rPr>
                <w:sz w:val="20"/>
                <w:szCs w:val="20"/>
              </w:rPr>
              <w:t>13% currently taking</w:t>
            </w:r>
          </w:p>
        </w:tc>
        <w:tc>
          <w:tcPr>
            <w:tcW w:w="0" w:type="auto"/>
            <w:hideMark/>
          </w:tcPr>
          <w:p w14:paraId="3E0A55DF"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D74DD4">
              <w:rPr>
                <w:sz w:val="20"/>
                <w:szCs w:val="20"/>
              </w:rPr>
              <w:t>Point prevalence</w:t>
            </w:r>
          </w:p>
        </w:tc>
      </w:tr>
      <w:tr w:rsidR="00D74DD4" w:rsidRPr="00D74DD4" w14:paraId="52DCBE51" w14:textId="77777777" w:rsidTr="00D7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C23BA" w14:textId="77777777" w:rsidR="00D74DD4" w:rsidRPr="00D74DD4" w:rsidRDefault="00D74DD4" w:rsidP="00D74DD4">
            <w:pPr>
              <w:spacing w:after="40"/>
              <w:jc w:val="left"/>
              <w:rPr>
                <w:sz w:val="20"/>
                <w:szCs w:val="20"/>
              </w:rPr>
            </w:pPr>
            <w:r w:rsidRPr="00D74DD4">
              <w:rPr>
                <w:b/>
                <w:bCs/>
                <w:sz w:val="20"/>
                <w:szCs w:val="20"/>
              </w:rPr>
              <w:t>Past year use</w:t>
            </w:r>
          </w:p>
        </w:tc>
        <w:tc>
          <w:tcPr>
            <w:tcW w:w="3716" w:type="dxa"/>
            <w:hideMark/>
          </w:tcPr>
          <w:p w14:paraId="01C34F85"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sz w:val="20"/>
                <w:szCs w:val="20"/>
              </w:rPr>
            </w:pPr>
            <w:r w:rsidRPr="00D74DD4">
              <w:rPr>
                <w:sz w:val="20"/>
                <w:szCs w:val="20"/>
              </w:rPr>
              <w:t>19.3% used past year</w:t>
            </w:r>
          </w:p>
        </w:tc>
        <w:tc>
          <w:tcPr>
            <w:tcW w:w="0" w:type="auto"/>
            <w:hideMark/>
          </w:tcPr>
          <w:p w14:paraId="3CCE5697" w14:textId="77777777" w:rsidR="00D74DD4" w:rsidRPr="00D74DD4" w:rsidRDefault="00D74DD4" w:rsidP="00D74DD4">
            <w:pPr>
              <w:spacing w:after="40"/>
              <w:cnfStyle w:val="000000100000" w:firstRow="0" w:lastRow="0" w:firstColumn="0" w:lastColumn="0" w:oddVBand="0" w:evenVBand="0" w:oddHBand="1" w:evenHBand="0" w:firstRowFirstColumn="0" w:firstRowLastColumn="0" w:lastRowFirstColumn="0" w:lastRowLastColumn="0"/>
              <w:rPr>
                <w:sz w:val="20"/>
                <w:szCs w:val="20"/>
              </w:rPr>
            </w:pPr>
            <w:r w:rsidRPr="00D74DD4">
              <w:rPr>
                <w:sz w:val="20"/>
                <w:szCs w:val="20"/>
              </w:rPr>
              <w:t>Period prevalence</w:t>
            </w:r>
          </w:p>
        </w:tc>
      </w:tr>
      <w:tr w:rsidR="00D74DD4" w:rsidRPr="00D74DD4" w14:paraId="19BCDCE4" w14:textId="77777777" w:rsidTr="00D74DD4">
        <w:tc>
          <w:tcPr>
            <w:cnfStyle w:val="001000000000" w:firstRow="0" w:lastRow="0" w:firstColumn="1" w:lastColumn="0" w:oddVBand="0" w:evenVBand="0" w:oddHBand="0" w:evenHBand="0" w:firstRowFirstColumn="0" w:firstRowLastColumn="0" w:lastRowFirstColumn="0" w:lastRowLastColumn="0"/>
            <w:tcW w:w="0" w:type="auto"/>
            <w:hideMark/>
          </w:tcPr>
          <w:p w14:paraId="797E03A3" w14:textId="77777777" w:rsidR="00D74DD4" w:rsidRPr="00D74DD4" w:rsidRDefault="00D74DD4" w:rsidP="00D74DD4">
            <w:pPr>
              <w:spacing w:after="40"/>
              <w:jc w:val="left"/>
              <w:rPr>
                <w:sz w:val="20"/>
                <w:szCs w:val="20"/>
              </w:rPr>
            </w:pPr>
            <w:r w:rsidRPr="00D74DD4">
              <w:rPr>
                <w:b/>
                <w:bCs/>
                <w:sz w:val="20"/>
                <w:szCs w:val="20"/>
              </w:rPr>
              <w:t>Dispensed</w:t>
            </w:r>
          </w:p>
        </w:tc>
        <w:tc>
          <w:tcPr>
            <w:tcW w:w="3716" w:type="dxa"/>
            <w:hideMark/>
          </w:tcPr>
          <w:p w14:paraId="725E78BA"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D74DD4">
              <w:rPr>
                <w:sz w:val="20"/>
                <w:szCs w:val="20"/>
              </w:rPr>
              <w:t>19.5% dispensed ≥1 fill</w:t>
            </w:r>
          </w:p>
        </w:tc>
        <w:tc>
          <w:tcPr>
            <w:tcW w:w="0" w:type="auto"/>
            <w:hideMark/>
          </w:tcPr>
          <w:p w14:paraId="2D4A62CB" w14:textId="77777777" w:rsidR="00D74DD4" w:rsidRPr="00D74DD4" w:rsidRDefault="00D74DD4" w:rsidP="00D74DD4">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D74DD4">
              <w:rPr>
                <w:sz w:val="20"/>
                <w:szCs w:val="20"/>
              </w:rPr>
              <w:t>Pharmacy data</w:t>
            </w:r>
          </w:p>
        </w:tc>
      </w:tr>
    </w:tbl>
    <w:p w14:paraId="7329B681" w14:textId="77777777" w:rsidR="00D74DD4" w:rsidRDefault="00D74DD4" w:rsidP="006C1208">
      <w:pPr>
        <w:spacing w:after="40"/>
        <w:rPr>
          <w:sz w:val="20"/>
          <w:szCs w:val="20"/>
        </w:rPr>
      </w:pPr>
    </w:p>
    <w:p w14:paraId="019B7800" w14:textId="77777777" w:rsidR="00D74DD4" w:rsidRPr="006C1208" w:rsidRDefault="00D74DD4" w:rsidP="006C1208">
      <w:pPr>
        <w:spacing w:after="40"/>
        <w:rPr>
          <w:sz w:val="20"/>
          <w:szCs w:val="20"/>
        </w:rPr>
      </w:pPr>
    </w:p>
    <w:p w14:paraId="3CF822C0" w14:textId="05B5E667" w:rsidR="005750AC" w:rsidRDefault="005750AC" w:rsidP="005750AC">
      <w:pPr>
        <w:pStyle w:val="Heading2"/>
      </w:pPr>
      <w:r>
        <w:t xml:space="preserve">DOXY effectiveness </w:t>
      </w:r>
    </w:p>
    <w:p w14:paraId="0F7973BD" w14:textId="2BF78236" w:rsidR="005750AC" w:rsidRDefault="005750AC" w:rsidP="005750AC">
      <w:pPr>
        <w:spacing w:after="40"/>
        <w:rPr>
          <w:sz w:val="20"/>
          <w:szCs w:val="20"/>
        </w:rPr>
      </w:pPr>
      <w:r w:rsidRPr="001B1400">
        <w:rPr>
          <w:b/>
          <w:bCs/>
          <w:sz w:val="20"/>
          <w:szCs w:val="20"/>
        </w:rPr>
        <w:t>Efficacy</w:t>
      </w:r>
      <w:r w:rsidRPr="00E30191">
        <w:rPr>
          <w:sz w:val="20"/>
          <w:szCs w:val="20"/>
        </w:rPr>
        <w:t>: Individual-level efficacy from RCTs is 73–87% (RR/HR 0.13–0.27). Real</w:t>
      </w:r>
      <w:r>
        <w:rPr>
          <w:sz w:val="20"/>
          <w:szCs w:val="20"/>
        </w:rPr>
        <w:t>-world KPNC: Population-level 51% decline in SF (Sankaran) and 51% in Philadelphia (Lewis). Gap reflects coverage/uptake.</w:t>
      </w:r>
    </w:p>
    <w:p w14:paraId="010A9EC4" w14:textId="77777777" w:rsidR="005750AC" w:rsidRDefault="005750AC" w:rsidP="005750AC">
      <w:pPr>
        <w:pStyle w:val="Heading2"/>
      </w:pPr>
    </w:p>
    <w:p w14:paraId="609E0488" w14:textId="215E6291" w:rsidR="006C1208" w:rsidRDefault="006C1208" w:rsidP="006C1208">
      <w:pPr>
        <w:pStyle w:val="Heading3"/>
      </w:pPr>
      <w:r>
        <w:t>Molina 2018 (IPERGAY) Lancet Infect Dis</w:t>
      </w:r>
    </w:p>
    <w:p w14:paraId="24C1CD4A" w14:textId="252DED35" w:rsidR="00EC7C1D" w:rsidRPr="006C1208" w:rsidRDefault="001146E7" w:rsidP="006C1208">
      <w:pPr>
        <w:spacing w:after="40"/>
        <w:rPr>
          <w:sz w:val="20"/>
          <w:szCs w:val="20"/>
        </w:rPr>
      </w:pPr>
      <w:r w:rsidRPr="006C1208">
        <w:rPr>
          <w:sz w:val="20"/>
          <w:szCs w:val="20"/>
        </w:rPr>
        <w:t>The occurrence of a first STI in participants taking PEP was lower than in those not taking PEP </w:t>
      </w:r>
      <w:r w:rsidR="0053306E" w:rsidRPr="006C1208">
        <w:rPr>
          <w:b/>
          <w:bCs/>
          <w:sz w:val="20"/>
          <w:szCs w:val="20"/>
        </w:rPr>
        <w:t>(hazar</w:t>
      </w:r>
      <w:r w:rsidR="006C1208">
        <w:rPr>
          <w:b/>
          <w:bCs/>
          <w:sz w:val="20"/>
          <w:szCs w:val="20"/>
        </w:rPr>
        <w:t>d</w:t>
      </w:r>
      <w:r w:rsidR="0053306E" w:rsidRPr="006C1208">
        <w:rPr>
          <w:b/>
          <w:bCs/>
          <w:sz w:val="20"/>
          <w:szCs w:val="20"/>
        </w:rPr>
        <w:t xml:space="preserve"> ratio HR:(0·27; CI 0·07–0·98; p=0·047)</w:t>
      </w:r>
      <w:r w:rsidR="00EC7C1D" w:rsidRPr="006C1208">
        <w:rPr>
          <w:b/>
          <w:bCs/>
          <w:sz w:val="20"/>
          <w:szCs w:val="20"/>
        </w:rPr>
        <w:t xml:space="preserve"> </w:t>
      </w:r>
      <w:r w:rsidR="006C1208">
        <w:rPr>
          <w:sz w:val="20"/>
          <w:szCs w:val="20"/>
        </w:rPr>
        <w:t>.</w:t>
      </w:r>
    </w:p>
    <w:p w14:paraId="353458AF" w14:textId="77777777" w:rsidR="006C1208" w:rsidRDefault="006C1208" w:rsidP="006C1208">
      <w:pPr>
        <w:spacing w:after="40"/>
        <w:rPr>
          <w:sz w:val="20"/>
          <w:szCs w:val="20"/>
        </w:rPr>
      </w:pPr>
    </w:p>
    <w:p w14:paraId="0596F64D" w14:textId="1D17CD86" w:rsidR="00EF078B" w:rsidRPr="006C1208" w:rsidRDefault="00EC7C1D" w:rsidP="006C1208">
      <w:pPr>
        <w:spacing w:after="40"/>
        <w:rPr>
          <w:sz w:val="20"/>
          <w:szCs w:val="20"/>
        </w:rPr>
      </w:pPr>
      <w:r w:rsidRPr="006C1208">
        <w:rPr>
          <w:sz w:val="20"/>
          <w:szCs w:val="20"/>
        </w:rPr>
        <w:t>Hazard ratios (HRs) were estimated by use of Cox </w:t>
      </w:r>
      <w:hyperlink r:id="rId10" w:history="1">
        <w:r w:rsidRPr="006C1208">
          <w:rPr>
            <w:sz w:val="20"/>
            <w:szCs w:val="20"/>
          </w:rPr>
          <w:t>proportional hazards models</w:t>
        </w:r>
      </w:hyperlink>
    </w:p>
    <w:p w14:paraId="59266E48" w14:textId="52AC210D" w:rsidR="00EF078B" w:rsidRPr="006C1208" w:rsidRDefault="00EF078B" w:rsidP="006C1208">
      <w:pPr>
        <w:spacing w:after="40"/>
        <w:rPr>
          <w:sz w:val="20"/>
          <w:szCs w:val="20"/>
        </w:rPr>
      </w:pPr>
      <w:r w:rsidRPr="006C1208">
        <w:rPr>
          <w:sz w:val="20"/>
          <w:szCs w:val="20"/>
        </w:rPr>
        <w:t>Cox model specifies the hazard (instantaneous risk) of an event at time t as:</w:t>
      </w:r>
    </w:p>
    <w:p w14:paraId="13C09997" w14:textId="77777777" w:rsidR="00EF078B" w:rsidRPr="006C1208" w:rsidRDefault="00EF078B" w:rsidP="006C1208">
      <w:pPr>
        <w:spacing w:after="40"/>
        <w:jc w:val="center"/>
        <w:rPr>
          <w:sz w:val="20"/>
          <w:szCs w:val="20"/>
        </w:rPr>
      </w:pPr>
      <w:r w:rsidRPr="006C1208">
        <w:rPr>
          <w:sz w:val="20"/>
          <w:szCs w:val="20"/>
        </w:rPr>
        <w:t>h(t | X) = h</w:t>
      </w:r>
      <w:r w:rsidRPr="006C1208">
        <w:rPr>
          <w:rFonts w:ascii="Cambria Math" w:hAnsi="Cambria Math" w:cs="Cambria Math"/>
          <w:sz w:val="20"/>
          <w:szCs w:val="20"/>
        </w:rPr>
        <w:t>₀</w:t>
      </w:r>
      <w:r w:rsidRPr="006C1208">
        <w:rPr>
          <w:sz w:val="20"/>
          <w:szCs w:val="20"/>
        </w:rPr>
        <w:t>(t) × exp(β × X)</w:t>
      </w:r>
    </w:p>
    <w:p w14:paraId="4373E0AC" w14:textId="45693C43" w:rsidR="00115701" w:rsidRPr="006C1208" w:rsidRDefault="00115701" w:rsidP="006C1208">
      <w:pPr>
        <w:spacing w:after="40"/>
        <w:rPr>
          <w:sz w:val="20"/>
          <w:szCs w:val="20"/>
        </w:rPr>
      </w:pPr>
      <w:r w:rsidRPr="006C1208">
        <w:rPr>
          <w:sz w:val="20"/>
          <w:szCs w:val="20"/>
        </w:rPr>
        <w:t>where</w:t>
      </w:r>
    </w:p>
    <w:p w14:paraId="324B1AA8" w14:textId="77777777" w:rsidR="00115701" w:rsidRPr="006C1208" w:rsidRDefault="00115701" w:rsidP="006C1208">
      <w:pPr>
        <w:tabs>
          <w:tab w:val="num" w:pos="720"/>
        </w:tabs>
        <w:spacing w:after="40"/>
        <w:jc w:val="center"/>
        <w:rPr>
          <w:sz w:val="20"/>
          <w:szCs w:val="20"/>
        </w:rPr>
      </w:pPr>
      <w:r w:rsidRPr="006C1208">
        <w:rPr>
          <w:sz w:val="20"/>
          <w:szCs w:val="20"/>
        </w:rPr>
        <w:t>h(t | X) = hazard of STI at time t given treatment X</w:t>
      </w:r>
    </w:p>
    <w:p w14:paraId="064A7C65" w14:textId="77777777" w:rsidR="00115701" w:rsidRPr="006C1208" w:rsidRDefault="00115701" w:rsidP="006C1208">
      <w:pPr>
        <w:pStyle w:val="ListParagraph"/>
        <w:numPr>
          <w:ilvl w:val="0"/>
          <w:numId w:val="10"/>
        </w:numPr>
        <w:tabs>
          <w:tab w:val="num" w:pos="720"/>
        </w:tabs>
        <w:spacing w:after="40"/>
        <w:rPr>
          <w:sz w:val="20"/>
          <w:szCs w:val="20"/>
        </w:rPr>
      </w:pPr>
      <w:r w:rsidRPr="006C1208">
        <w:rPr>
          <w:sz w:val="20"/>
          <w:szCs w:val="20"/>
        </w:rPr>
        <w:t>h</w:t>
      </w:r>
      <w:r w:rsidRPr="006C1208">
        <w:rPr>
          <w:rFonts w:ascii="Cambria Math" w:hAnsi="Cambria Math" w:cs="Cambria Math"/>
          <w:sz w:val="20"/>
          <w:szCs w:val="20"/>
        </w:rPr>
        <w:t>₀</w:t>
      </w:r>
      <w:r w:rsidRPr="006C1208">
        <w:rPr>
          <w:sz w:val="20"/>
          <w:szCs w:val="20"/>
        </w:rPr>
        <w:t>(t) = baseline hazard (left unspecified — the "semi-parametric" part)</w:t>
      </w:r>
    </w:p>
    <w:p w14:paraId="7292EE9A" w14:textId="77777777" w:rsidR="00115701" w:rsidRPr="006C1208" w:rsidRDefault="00115701" w:rsidP="006C1208">
      <w:pPr>
        <w:pStyle w:val="ListParagraph"/>
        <w:numPr>
          <w:ilvl w:val="0"/>
          <w:numId w:val="10"/>
        </w:numPr>
        <w:tabs>
          <w:tab w:val="num" w:pos="720"/>
        </w:tabs>
        <w:spacing w:after="40"/>
        <w:rPr>
          <w:sz w:val="20"/>
          <w:szCs w:val="20"/>
        </w:rPr>
      </w:pPr>
      <w:r w:rsidRPr="006C1208">
        <w:rPr>
          <w:sz w:val="20"/>
          <w:szCs w:val="20"/>
        </w:rPr>
        <w:t>X = treatment indicator (0 = no PEP, 1 = PEP)</w:t>
      </w:r>
    </w:p>
    <w:p w14:paraId="09D887D4" w14:textId="77777777" w:rsidR="00115701" w:rsidRPr="006C1208" w:rsidRDefault="00115701" w:rsidP="006C1208">
      <w:pPr>
        <w:pStyle w:val="ListParagraph"/>
        <w:numPr>
          <w:ilvl w:val="0"/>
          <w:numId w:val="10"/>
        </w:numPr>
        <w:tabs>
          <w:tab w:val="num" w:pos="720"/>
        </w:tabs>
        <w:spacing w:after="40"/>
        <w:rPr>
          <w:sz w:val="20"/>
          <w:szCs w:val="20"/>
        </w:rPr>
      </w:pPr>
      <w:r w:rsidRPr="006C1208">
        <w:rPr>
          <w:sz w:val="20"/>
          <w:szCs w:val="20"/>
        </w:rPr>
        <w:t>β = log hazard ratio (the parameter being estimated)</w:t>
      </w:r>
    </w:p>
    <w:p w14:paraId="7960EC12" w14:textId="79EB47E4" w:rsidR="00115701" w:rsidRPr="006C1208" w:rsidRDefault="00115701" w:rsidP="006C1208">
      <w:pPr>
        <w:spacing w:after="40"/>
        <w:rPr>
          <w:sz w:val="20"/>
          <w:szCs w:val="20"/>
        </w:rPr>
      </w:pPr>
      <w:r w:rsidRPr="006C1208">
        <w:rPr>
          <w:sz w:val="20"/>
          <w:szCs w:val="20"/>
        </w:rPr>
        <w:t>Then the hazard Ratio is:</w:t>
      </w:r>
    </w:p>
    <w:p w14:paraId="11A72A92" w14:textId="77777777" w:rsidR="00115701" w:rsidRPr="006C1208" w:rsidRDefault="00115701" w:rsidP="006C1208">
      <w:pPr>
        <w:spacing w:after="40"/>
        <w:jc w:val="center"/>
        <w:rPr>
          <w:sz w:val="20"/>
          <w:szCs w:val="20"/>
        </w:rPr>
      </w:pPr>
      <w:r w:rsidRPr="006C1208">
        <w:rPr>
          <w:sz w:val="20"/>
          <w:szCs w:val="20"/>
        </w:rPr>
        <w:t>HR = h(t | X=1) / h(t | X=0)</w:t>
      </w:r>
    </w:p>
    <w:p w14:paraId="5518D77D" w14:textId="599F0280" w:rsidR="00115701" w:rsidRPr="006C1208" w:rsidRDefault="00115701" w:rsidP="006C1208">
      <w:pPr>
        <w:spacing w:after="40"/>
        <w:jc w:val="center"/>
        <w:rPr>
          <w:sz w:val="20"/>
          <w:szCs w:val="20"/>
        </w:rPr>
      </w:pPr>
      <w:r w:rsidRPr="006C1208">
        <w:rPr>
          <w:sz w:val="20"/>
          <w:szCs w:val="20"/>
        </w:rPr>
        <w:t>= [h</w:t>
      </w:r>
      <w:r w:rsidRPr="006C1208">
        <w:rPr>
          <w:rFonts w:ascii="Cambria Math" w:hAnsi="Cambria Math" w:cs="Cambria Math"/>
          <w:sz w:val="20"/>
          <w:szCs w:val="20"/>
        </w:rPr>
        <w:t>₀</w:t>
      </w:r>
      <w:r w:rsidRPr="006C1208">
        <w:rPr>
          <w:sz w:val="20"/>
          <w:szCs w:val="20"/>
        </w:rPr>
        <w:t>(t) × exp(β × 1)] / [h</w:t>
      </w:r>
      <w:r w:rsidRPr="006C1208">
        <w:rPr>
          <w:rFonts w:ascii="Cambria Math" w:hAnsi="Cambria Math" w:cs="Cambria Math"/>
          <w:sz w:val="20"/>
          <w:szCs w:val="20"/>
        </w:rPr>
        <w:t>₀</w:t>
      </w:r>
      <w:r w:rsidRPr="006C1208">
        <w:rPr>
          <w:sz w:val="20"/>
          <w:szCs w:val="20"/>
        </w:rPr>
        <w:t>(t) × exp(β × 0)]</w:t>
      </w:r>
    </w:p>
    <w:p w14:paraId="60AA2ECF" w14:textId="442FC171" w:rsidR="00115701" w:rsidRPr="006C1208" w:rsidRDefault="00115701" w:rsidP="006C1208">
      <w:pPr>
        <w:spacing w:after="40"/>
        <w:jc w:val="center"/>
        <w:rPr>
          <w:sz w:val="20"/>
          <w:szCs w:val="20"/>
        </w:rPr>
      </w:pPr>
      <w:r w:rsidRPr="006C1208">
        <w:rPr>
          <w:sz w:val="20"/>
          <w:szCs w:val="20"/>
        </w:rPr>
        <w:t>= exp(β)</w:t>
      </w:r>
    </w:p>
    <w:p w14:paraId="2AFB922C" w14:textId="77777777" w:rsidR="006C1208" w:rsidRPr="006C1208" w:rsidRDefault="006C1208" w:rsidP="006C1208">
      <w:pPr>
        <w:spacing w:after="40"/>
        <w:rPr>
          <w:sz w:val="20"/>
          <w:szCs w:val="20"/>
        </w:rPr>
      </w:pPr>
    </w:p>
    <w:p w14:paraId="7A712525" w14:textId="77777777" w:rsidR="006C1208" w:rsidRPr="006C1208" w:rsidRDefault="006C1208" w:rsidP="006C1208">
      <w:pPr>
        <w:tabs>
          <w:tab w:val="num" w:pos="720"/>
        </w:tabs>
        <w:spacing w:after="40"/>
        <w:rPr>
          <w:sz w:val="20"/>
          <w:szCs w:val="20"/>
        </w:rPr>
      </w:pPr>
      <w:r w:rsidRPr="006C1208">
        <w:rPr>
          <w:sz w:val="20"/>
          <w:szCs w:val="20"/>
        </w:rPr>
        <w:t>HR = exp(β̂) where β̂ is estimated via partial likelihood</w:t>
      </w:r>
    </w:p>
    <w:p w14:paraId="61AAE617" w14:textId="77777777" w:rsidR="006C1208" w:rsidRPr="006C1208" w:rsidRDefault="006C1208" w:rsidP="006C1208">
      <w:pPr>
        <w:tabs>
          <w:tab w:val="num" w:pos="720"/>
        </w:tabs>
        <w:spacing w:after="40"/>
        <w:rPr>
          <w:sz w:val="20"/>
          <w:szCs w:val="20"/>
        </w:rPr>
      </w:pPr>
      <w:r w:rsidRPr="006C1208">
        <w:rPr>
          <w:sz w:val="20"/>
          <w:szCs w:val="20"/>
        </w:rPr>
        <w:t>HR = 0.27 means the PEP group has 27% the hazard of the non-PEP group (73% reduction)</w:t>
      </w:r>
    </w:p>
    <w:p w14:paraId="43E1DC83" w14:textId="77777777" w:rsidR="006C1208" w:rsidRDefault="006C1208" w:rsidP="006C1208">
      <w:pPr>
        <w:spacing w:after="40"/>
        <w:rPr>
          <w:sz w:val="20"/>
          <w:szCs w:val="20"/>
        </w:rPr>
      </w:pPr>
    </w:p>
    <w:p w14:paraId="0728DFEF" w14:textId="77777777" w:rsidR="00DF03A7" w:rsidRDefault="00DF03A7" w:rsidP="006C1208">
      <w:pPr>
        <w:spacing w:after="40"/>
        <w:rPr>
          <w:sz w:val="20"/>
          <w:szCs w:val="20"/>
        </w:rPr>
      </w:pPr>
    </w:p>
    <w:p w14:paraId="41B0BDB4" w14:textId="77777777" w:rsidR="00087393" w:rsidRDefault="00087393" w:rsidP="00087393">
      <w:pPr>
        <w:pStyle w:val="Heading3"/>
      </w:pPr>
      <w:r w:rsidRPr="00087393">
        <w:t xml:space="preserve">Luetkemeyer 2023/2025 (DoxyPEP) </w:t>
      </w:r>
      <w:r>
        <w:t xml:space="preserve"> </w:t>
      </w:r>
    </w:p>
    <w:p w14:paraId="5E7D0A73" w14:textId="3B422BC8" w:rsidR="00DF03A7" w:rsidRDefault="00087393" w:rsidP="00087393">
      <w:pPr>
        <w:spacing w:after="40"/>
        <w:rPr>
          <w:sz w:val="20"/>
          <w:szCs w:val="20"/>
        </w:rPr>
      </w:pPr>
      <w:r>
        <w:rPr>
          <w:b/>
          <w:bCs/>
          <w:sz w:val="20"/>
          <w:szCs w:val="20"/>
        </w:rPr>
        <w:lastRenderedPageBreak/>
        <w:t xml:space="preserve">RR: </w:t>
      </w:r>
      <w:r w:rsidR="00CC7A1E">
        <w:rPr>
          <w:sz w:val="20"/>
          <w:szCs w:val="20"/>
        </w:rPr>
        <w:t>E</w:t>
      </w:r>
    </w:p>
    <w:p w14:paraId="37A6ED7A" w14:textId="77777777" w:rsidR="00071115" w:rsidRDefault="00071115" w:rsidP="00087393">
      <w:pPr>
        <w:spacing w:after="40"/>
        <w:rPr>
          <w:sz w:val="20"/>
          <w:szCs w:val="20"/>
        </w:rPr>
      </w:pPr>
    </w:p>
    <w:p w14:paraId="091CDC9C" w14:textId="77777777" w:rsidR="00071115" w:rsidRDefault="00071115" w:rsidP="00071115">
      <w:pPr>
        <w:pStyle w:val="Heading3"/>
      </w:pPr>
      <w:r w:rsidRPr="00071115">
        <w:t xml:space="preserve">Molina 2024 (DOXYVAC) </w:t>
      </w:r>
    </w:p>
    <w:p w14:paraId="39EE0338" w14:textId="72AA9A45" w:rsidR="00071115" w:rsidRPr="00E61994" w:rsidRDefault="00071115" w:rsidP="00071115">
      <w:pPr>
        <w:spacing w:after="40"/>
        <w:rPr>
          <w:b/>
          <w:bCs/>
          <w:sz w:val="20"/>
          <w:szCs w:val="20"/>
        </w:rPr>
      </w:pPr>
      <w:r>
        <w:rPr>
          <w:sz w:val="20"/>
          <w:szCs w:val="20"/>
        </w:rPr>
        <w:t>Adjusted HR</w:t>
      </w:r>
      <w:r w:rsidR="00E61994">
        <w:rPr>
          <w:sz w:val="20"/>
          <w:szCs w:val="20"/>
        </w:rPr>
        <w:t xml:space="preserve"> in the Doxy-PEP group compared to no-PEP: </w:t>
      </w:r>
      <w:r w:rsidRPr="00E61994">
        <w:rPr>
          <w:b/>
          <w:bCs/>
          <w:sz w:val="20"/>
          <w:szCs w:val="20"/>
        </w:rPr>
        <w:t>0·21 (0·11–0·41)</w:t>
      </w:r>
    </w:p>
    <w:p w14:paraId="53106CC0" w14:textId="77777777" w:rsidR="00071115" w:rsidRPr="006C1208" w:rsidRDefault="00071115" w:rsidP="00087393">
      <w:pPr>
        <w:spacing w:after="40"/>
        <w:rPr>
          <w:sz w:val="20"/>
          <w:szCs w:val="20"/>
        </w:rPr>
      </w:pPr>
    </w:p>
    <w:p w14:paraId="0D495E91" w14:textId="0943B582" w:rsidR="00E30191" w:rsidRDefault="00E30191" w:rsidP="006C1208">
      <w:pPr>
        <w:spacing w:after="40"/>
        <w:rPr>
          <w:sz w:val="20"/>
          <w:szCs w:val="20"/>
        </w:rPr>
      </w:pPr>
      <w:r w:rsidRPr="006C1208">
        <w:rPr>
          <w:sz w:val="20"/>
          <w:szCs w:val="20"/>
        </w:rPr>
        <w:br w:type="page"/>
      </w:r>
    </w:p>
    <w:p w14:paraId="5205EA72" w14:textId="77777777" w:rsidR="00071115" w:rsidRDefault="00071115" w:rsidP="006C1208">
      <w:pPr>
        <w:spacing w:after="40"/>
        <w:rPr>
          <w:sz w:val="20"/>
          <w:szCs w:val="20"/>
        </w:rPr>
      </w:pPr>
    </w:p>
    <w:p w14:paraId="40D9FC28" w14:textId="77777777" w:rsidR="00071115" w:rsidRDefault="00071115" w:rsidP="006C1208">
      <w:pPr>
        <w:spacing w:after="40"/>
        <w:rPr>
          <w:sz w:val="20"/>
          <w:szCs w:val="20"/>
        </w:rPr>
      </w:pPr>
    </w:p>
    <w:p w14:paraId="2DA093B3" w14:textId="77777777" w:rsidR="00DF03A7" w:rsidRDefault="00DF03A7" w:rsidP="006C1208">
      <w:pPr>
        <w:spacing w:after="40"/>
        <w:rPr>
          <w:sz w:val="20"/>
          <w:szCs w:val="20"/>
        </w:rPr>
      </w:pPr>
    </w:p>
    <w:p w14:paraId="67E546E3" w14:textId="77777777" w:rsidR="00DF03A7" w:rsidRPr="006C1208" w:rsidRDefault="00DF03A7" w:rsidP="006C1208">
      <w:pPr>
        <w:spacing w:after="40"/>
        <w:rPr>
          <w:sz w:val="20"/>
          <w:szCs w:val="20"/>
        </w:rPr>
      </w:pPr>
    </w:p>
    <w:p w14:paraId="2E81507E" w14:textId="3C7FC8DB" w:rsidR="00DD2EED" w:rsidRDefault="00DD2EED" w:rsidP="00DD2EED">
      <w:pPr>
        <w:pStyle w:val="Heading1"/>
        <w:spacing w:after="120"/>
      </w:pPr>
      <w:r>
        <w:t>References</w:t>
      </w:r>
    </w:p>
    <w:p w14:paraId="31F9C9BE" w14:textId="77777777" w:rsidR="00DD2EED" w:rsidRDefault="00DD2EED" w:rsidP="00DD2EED">
      <w:pPr>
        <w:spacing w:after="70"/>
        <w:ind w:left="400" w:hanging="400"/>
      </w:pPr>
      <w:r>
        <w:rPr>
          <w:b/>
          <w:bCs/>
          <w:sz w:val="17"/>
          <w:szCs w:val="17"/>
        </w:rPr>
        <w:t xml:space="preserve">1. </w:t>
      </w:r>
      <w:r>
        <w:rPr>
          <w:sz w:val="17"/>
          <w:szCs w:val="17"/>
        </w:rPr>
        <w:t>Traeger MW, Leyden WA, Volk JE, et al. Doxycycline postexposure prophylaxis and bacterial STIs among individuals using HIV PrEP. JAMA Intern Med. 2025;185(3):273–281.</w:t>
      </w:r>
    </w:p>
    <w:p w14:paraId="56BD3AF0" w14:textId="77777777" w:rsidR="00DD2EED" w:rsidRDefault="00DD2EED" w:rsidP="00DD2EED">
      <w:pPr>
        <w:spacing w:after="70"/>
        <w:ind w:left="400" w:hanging="400"/>
      </w:pPr>
      <w:r>
        <w:rPr>
          <w:b/>
          <w:bCs/>
          <w:sz w:val="17"/>
          <w:szCs w:val="17"/>
        </w:rPr>
        <w:t xml:space="preserve">2. </w:t>
      </w:r>
      <w:r>
        <w:rPr>
          <w:sz w:val="17"/>
          <w:szCs w:val="17"/>
        </w:rPr>
        <w:t>Sankaran M, Glidden DV, Kohn RP, et al. Doxycycline Postexposure Prophylaxis and Sexually Transmitted Infection Trends. JAMA Intern Med. 2025. CROI 2024, Abstract 127.</w:t>
      </w:r>
    </w:p>
    <w:p w14:paraId="348AFCE1" w14:textId="77777777" w:rsidR="00DD2EED" w:rsidRDefault="00DD2EED" w:rsidP="00DD2EED">
      <w:pPr>
        <w:spacing w:after="70"/>
        <w:ind w:left="400" w:hanging="400"/>
      </w:pPr>
      <w:r>
        <w:rPr>
          <w:b/>
          <w:bCs/>
          <w:sz w:val="17"/>
          <w:szCs w:val="17"/>
        </w:rPr>
        <w:t xml:space="preserve">3. </w:t>
      </w:r>
      <w:r>
        <w:rPr>
          <w:sz w:val="17"/>
          <w:szCs w:val="17"/>
        </w:rPr>
        <w:t>Scott H, Roman J, Spinelli MA, et al. Doxycycline PEP: High uptake and significant decline in STIs after clinical implementation. CROI 2024, Abstract 126.</w:t>
      </w:r>
    </w:p>
    <w:p w14:paraId="53140899" w14:textId="77777777" w:rsidR="00DD2EED" w:rsidRDefault="00DD2EED" w:rsidP="00DD2EED">
      <w:pPr>
        <w:spacing w:after="70"/>
        <w:ind w:left="400" w:hanging="400"/>
      </w:pPr>
      <w:r>
        <w:rPr>
          <w:b/>
          <w:bCs/>
          <w:sz w:val="17"/>
          <w:szCs w:val="17"/>
        </w:rPr>
        <w:t xml:space="preserve">4. </w:t>
      </w:r>
      <w:r>
        <w:rPr>
          <w:sz w:val="17"/>
          <w:szCs w:val="17"/>
        </w:rPr>
        <w:t>Lewis FMT, Cope AB, Clark K, et al. Doxycycline PEP Is Effective and Highly Acceptable in an Urban Public STD Clinic: Philadelphia, 2019–2023. Sex Transm Dis. 2025;52(12):734–738.</w:t>
      </w:r>
    </w:p>
    <w:p w14:paraId="429AACA6" w14:textId="77777777" w:rsidR="00DD2EED" w:rsidRDefault="00DD2EED" w:rsidP="00DD2EED">
      <w:pPr>
        <w:spacing w:after="70"/>
        <w:ind w:left="400" w:hanging="400"/>
      </w:pPr>
      <w:r>
        <w:rPr>
          <w:b/>
          <w:bCs/>
          <w:sz w:val="17"/>
          <w:szCs w:val="17"/>
        </w:rPr>
        <w:t xml:space="preserve">5. </w:t>
      </w:r>
      <w:r>
        <w:rPr>
          <w:sz w:val="17"/>
          <w:szCs w:val="17"/>
        </w:rPr>
        <w:t>Traeger MW, Krakower DS, Mayer KH, Jenness SM, Marcus JL. Use of doxycycline and other antibiotics as bacterial STI prophylaxis in a US sample of primarily GBM. Sex Transm Dis. 2024;51(12).</w:t>
      </w:r>
    </w:p>
    <w:p w14:paraId="42DE38B1" w14:textId="77777777" w:rsidR="00DD2EED" w:rsidRDefault="00DD2EED" w:rsidP="00DD2EED">
      <w:pPr>
        <w:spacing w:after="70"/>
        <w:ind w:left="400" w:hanging="400"/>
      </w:pPr>
      <w:r>
        <w:rPr>
          <w:b/>
          <w:bCs/>
          <w:sz w:val="17"/>
          <w:szCs w:val="17"/>
        </w:rPr>
        <w:t xml:space="preserve">6. </w:t>
      </w:r>
      <w:r>
        <w:rPr>
          <w:sz w:val="17"/>
          <w:szCs w:val="17"/>
        </w:rPr>
        <w:t>Martinson T, Heise MJ, et al. Interest and disparities in awareness and uptake of doxyPEP among US MSM with HIV. AIDS. 2025;39(9):1191–1196.</w:t>
      </w:r>
    </w:p>
    <w:p w14:paraId="6231B6B7" w14:textId="77777777" w:rsidR="00DD2EED" w:rsidRDefault="00DD2EED" w:rsidP="00DD2EED">
      <w:pPr>
        <w:spacing w:after="70"/>
        <w:ind w:left="400" w:hanging="400"/>
      </w:pPr>
      <w:r>
        <w:rPr>
          <w:b/>
          <w:bCs/>
          <w:sz w:val="17"/>
          <w:szCs w:val="17"/>
        </w:rPr>
        <w:t xml:space="preserve">7. </w:t>
      </w:r>
      <w:r>
        <w:rPr>
          <w:sz w:val="17"/>
          <w:szCs w:val="17"/>
        </w:rPr>
        <w:t>Perkins R (Moscatelli AAM, et al.). Rapid Diffusion of Awareness and Uptake of Doxy-PEP among MSM in San Francisco. AIDS Behav. 2025;29:2043–2053.</w:t>
      </w:r>
    </w:p>
    <w:p w14:paraId="283B7135" w14:textId="77777777" w:rsidR="00DD2EED" w:rsidRDefault="00DD2EED" w:rsidP="00DD2EED">
      <w:pPr>
        <w:spacing w:after="70"/>
        <w:ind w:left="400" w:hanging="400"/>
      </w:pPr>
      <w:r>
        <w:rPr>
          <w:b/>
          <w:bCs/>
          <w:sz w:val="17"/>
          <w:szCs w:val="17"/>
        </w:rPr>
        <w:t xml:space="preserve">8. </w:t>
      </w:r>
      <w:r>
        <w:rPr>
          <w:sz w:val="17"/>
          <w:szCs w:val="17"/>
        </w:rPr>
        <w:t>Castel AD, et al. DoxyPEP prescribing among PLWH in Washington, DC. CROI 2025, Abstract 164.</w:t>
      </w:r>
    </w:p>
    <w:p w14:paraId="0B72D938" w14:textId="77777777" w:rsidR="00DD2EED" w:rsidRDefault="00DD2EED" w:rsidP="00DD2EED">
      <w:pPr>
        <w:spacing w:after="70"/>
        <w:ind w:left="400" w:hanging="400"/>
      </w:pPr>
      <w:r>
        <w:rPr>
          <w:b/>
          <w:bCs/>
          <w:sz w:val="17"/>
          <w:szCs w:val="17"/>
        </w:rPr>
        <w:t xml:space="preserve">9. </w:t>
      </w:r>
      <w:r>
        <w:rPr>
          <w:sz w:val="17"/>
          <w:szCs w:val="17"/>
        </w:rPr>
        <w:t>Osmundson J, et al. Gap in Doxy PEP Prescription for PLWH vs PrEP Users. Open Forum Infect Dis. 2024;11(Suppl 2). Abstract P-1383.</w:t>
      </w:r>
    </w:p>
    <w:p w14:paraId="50040073" w14:textId="77777777" w:rsidR="00DD2EED" w:rsidRDefault="00DD2EED" w:rsidP="00DD2EED">
      <w:pPr>
        <w:spacing w:after="70"/>
        <w:ind w:left="400" w:hanging="400"/>
      </w:pPr>
      <w:r>
        <w:rPr>
          <w:b/>
          <w:bCs/>
          <w:sz w:val="17"/>
          <w:szCs w:val="17"/>
        </w:rPr>
        <w:t xml:space="preserve">10. </w:t>
      </w:r>
      <w:r>
        <w:rPr>
          <w:sz w:val="17"/>
          <w:szCs w:val="17"/>
        </w:rPr>
        <w:t>Molina JM, Charreau I, Chidiac C, et al. Post-exposure prophylaxis with doxycycline to prevent STIs in MSM: ANRS IPERGAY substudy. Lancet Infect Dis. 2018;18(3):308–317. PMID: 29229440.</w:t>
      </w:r>
    </w:p>
    <w:p w14:paraId="44922414" w14:textId="77777777" w:rsidR="00DD2EED" w:rsidRDefault="00DD2EED" w:rsidP="00DD2EED">
      <w:pPr>
        <w:spacing w:after="70"/>
        <w:ind w:left="400" w:hanging="400"/>
      </w:pPr>
      <w:r>
        <w:rPr>
          <w:b/>
          <w:bCs/>
          <w:sz w:val="17"/>
          <w:szCs w:val="17"/>
        </w:rPr>
        <w:t xml:space="preserve">11. </w:t>
      </w:r>
      <w:r>
        <w:rPr>
          <w:sz w:val="17"/>
          <w:szCs w:val="17"/>
        </w:rPr>
        <w:t>Luetkemeyer AF, Donnell D, Dombrowski JC, et al. Postexposure Doxycycline to Prevent Bacterial STIs. N Engl J Med. 2023;388:1296–1306. Final + OLE: Lancet Infect Dis. 2025;25(8):873–883.</w:t>
      </w:r>
    </w:p>
    <w:p w14:paraId="357EE71D" w14:textId="77777777" w:rsidR="00DD2EED" w:rsidRDefault="00DD2EED" w:rsidP="00DD2EED">
      <w:pPr>
        <w:spacing w:after="70"/>
        <w:ind w:left="400" w:hanging="400"/>
      </w:pPr>
      <w:r>
        <w:rPr>
          <w:b/>
          <w:bCs/>
          <w:sz w:val="17"/>
          <w:szCs w:val="17"/>
        </w:rPr>
        <w:t xml:space="preserve">12. </w:t>
      </w:r>
      <w:r>
        <w:rPr>
          <w:sz w:val="17"/>
          <w:szCs w:val="17"/>
        </w:rPr>
        <w:t>Molina JM, Bercot B, Assoumou L, et al. ANRS 174 DOXYVAC: doxycycline prophylaxis and meningococcal B vaccine to prevent bacterial STIs in France. Lancet Infect Dis. 2024;24(10):1093–1104. PMID: 38797183.</w:t>
      </w:r>
    </w:p>
    <w:p w14:paraId="5DFEA215" w14:textId="3C343305" w:rsidR="00DD2EED" w:rsidRDefault="005B735D">
      <w:r>
        <w:br w:type="page"/>
      </w:r>
    </w:p>
    <w:p w14:paraId="5600B75B" w14:textId="77777777" w:rsidR="00DD2EED" w:rsidRDefault="00DD2EED">
      <w:pPr>
        <w:sectPr w:rsidR="00DD2EED" w:rsidSect="00E30191">
          <w:pgSz w:w="12226" w:h="15840"/>
          <w:pgMar w:top="720" w:right="720" w:bottom="720" w:left="720" w:header="706" w:footer="706" w:gutter="0"/>
          <w:cols w:space="720"/>
          <w:docGrid w:linePitch="360"/>
        </w:sectPr>
      </w:pPr>
    </w:p>
    <w:p w14:paraId="42C5E021" w14:textId="77777777" w:rsidR="005B735D" w:rsidRDefault="005B735D" w:rsidP="00E11EFF">
      <w:pPr>
        <w:rPr>
          <w:b/>
          <w:bCs/>
          <w:color w:val="1F3864"/>
          <w:sz w:val="32"/>
          <w:szCs w:val="32"/>
        </w:rPr>
      </w:pPr>
    </w:p>
    <w:sectPr w:rsidR="005B735D" w:rsidSect="00E30191">
      <w:pgSz w:w="12226" w:h="15840"/>
      <w:pgMar w:top="720" w:right="720" w:bottom="720" w:left="72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Parastu Kasaie" w:date="2026-04-17T13:46:00Z" w:initials="PK">
    <w:p w14:paraId="059EB311" w14:textId="77777777" w:rsidR="00827EA3" w:rsidRDefault="00827EA3" w:rsidP="00827EA3">
      <w:r>
        <w:rPr>
          <w:rStyle w:val="CommentReference"/>
        </w:rPr>
        <w:annotationRef/>
      </w:r>
      <w:r>
        <w:rPr>
          <w:sz w:val="20"/>
          <w:szCs w:val="20"/>
        </w:rPr>
        <w:t>this part im not sure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59EB3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330D49B" w16cex:dateUtc="2026-04-17T1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59EB311" w16cid:durableId="2330D49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A30585"/>
    <w:multiLevelType w:val="multilevel"/>
    <w:tmpl w:val="D792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C5C64"/>
    <w:multiLevelType w:val="hybridMultilevel"/>
    <w:tmpl w:val="56266762"/>
    <w:lvl w:ilvl="0" w:tplc="9006DF16">
      <w:start w:val="1"/>
      <w:numFmt w:val="bullet"/>
      <w:lvlText w:val="●"/>
      <w:lvlJc w:val="left"/>
      <w:pPr>
        <w:ind w:left="720" w:hanging="360"/>
      </w:pPr>
    </w:lvl>
    <w:lvl w:ilvl="1" w:tplc="121C1D94">
      <w:start w:val="1"/>
      <w:numFmt w:val="bullet"/>
      <w:lvlText w:val="○"/>
      <w:lvlJc w:val="left"/>
      <w:pPr>
        <w:ind w:left="1440" w:hanging="360"/>
      </w:pPr>
    </w:lvl>
    <w:lvl w:ilvl="2" w:tplc="FA2C094C">
      <w:start w:val="1"/>
      <w:numFmt w:val="bullet"/>
      <w:lvlText w:val="■"/>
      <w:lvlJc w:val="left"/>
      <w:pPr>
        <w:ind w:left="2160" w:hanging="360"/>
      </w:pPr>
    </w:lvl>
    <w:lvl w:ilvl="3" w:tplc="18549E8C">
      <w:start w:val="1"/>
      <w:numFmt w:val="bullet"/>
      <w:lvlText w:val="●"/>
      <w:lvlJc w:val="left"/>
      <w:pPr>
        <w:ind w:left="2880" w:hanging="360"/>
      </w:pPr>
    </w:lvl>
    <w:lvl w:ilvl="4" w:tplc="FBC208B6">
      <w:start w:val="1"/>
      <w:numFmt w:val="bullet"/>
      <w:lvlText w:val="○"/>
      <w:lvlJc w:val="left"/>
      <w:pPr>
        <w:ind w:left="3600" w:hanging="360"/>
      </w:pPr>
    </w:lvl>
    <w:lvl w:ilvl="5" w:tplc="A21471A8">
      <w:start w:val="1"/>
      <w:numFmt w:val="bullet"/>
      <w:lvlText w:val="■"/>
      <w:lvlJc w:val="left"/>
      <w:pPr>
        <w:ind w:left="4320" w:hanging="360"/>
      </w:pPr>
    </w:lvl>
    <w:lvl w:ilvl="6" w:tplc="BA9C6752">
      <w:start w:val="1"/>
      <w:numFmt w:val="bullet"/>
      <w:lvlText w:val="●"/>
      <w:lvlJc w:val="left"/>
      <w:pPr>
        <w:ind w:left="5040" w:hanging="360"/>
      </w:pPr>
    </w:lvl>
    <w:lvl w:ilvl="7" w:tplc="3ADC82CA">
      <w:start w:val="1"/>
      <w:numFmt w:val="bullet"/>
      <w:lvlText w:val="●"/>
      <w:lvlJc w:val="left"/>
      <w:pPr>
        <w:ind w:left="5760" w:hanging="360"/>
      </w:pPr>
    </w:lvl>
    <w:lvl w:ilvl="8" w:tplc="1AF6D9C8">
      <w:start w:val="1"/>
      <w:numFmt w:val="bullet"/>
      <w:lvlText w:val="●"/>
      <w:lvlJc w:val="left"/>
      <w:pPr>
        <w:ind w:left="6480" w:hanging="360"/>
      </w:pPr>
    </w:lvl>
  </w:abstractNum>
  <w:abstractNum w:abstractNumId="2" w15:restartNumberingAfterBreak="0">
    <w:nsid w:val="3C054E9C"/>
    <w:multiLevelType w:val="hybridMultilevel"/>
    <w:tmpl w:val="640225F6"/>
    <w:lvl w:ilvl="0" w:tplc="0E98245C">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4513C5"/>
    <w:multiLevelType w:val="hybridMultilevel"/>
    <w:tmpl w:val="52C49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F4684C"/>
    <w:multiLevelType w:val="multilevel"/>
    <w:tmpl w:val="00BC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974A7"/>
    <w:multiLevelType w:val="hybridMultilevel"/>
    <w:tmpl w:val="DCFC2FB0"/>
    <w:lvl w:ilvl="0" w:tplc="0E98245C">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9C5901"/>
    <w:multiLevelType w:val="multilevel"/>
    <w:tmpl w:val="8E02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B67D6"/>
    <w:multiLevelType w:val="hybridMultilevel"/>
    <w:tmpl w:val="98987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904FD8"/>
    <w:multiLevelType w:val="multilevel"/>
    <w:tmpl w:val="8B1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864AF"/>
    <w:multiLevelType w:val="hybridMultilevel"/>
    <w:tmpl w:val="B60EACEC"/>
    <w:lvl w:ilvl="0" w:tplc="F9B2BB1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617998"/>
    <w:multiLevelType w:val="hybridMultilevel"/>
    <w:tmpl w:val="8EEEC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611222"/>
    <w:multiLevelType w:val="hybridMultilevel"/>
    <w:tmpl w:val="B4D6E8CC"/>
    <w:lvl w:ilvl="0" w:tplc="BC823612">
      <w:start w:val="2"/>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5034712">
    <w:abstractNumId w:val="1"/>
    <w:lvlOverride w:ilvl="0">
      <w:startOverride w:val="1"/>
    </w:lvlOverride>
  </w:num>
  <w:num w:numId="2" w16cid:durableId="47346524">
    <w:abstractNumId w:val="7"/>
  </w:num>
  <w:num w:numId="3" w16cid:durableId="2113278194">
    <w:abstractNumId w:val="4"/>
  </w:num>
  <w:num w:numId="4" w16cid:durableId="126241281">
    <w:abstractNumId w:val="3"/>
  </w:num>
  <w:num w:numId="5" w16cid:durableId="928346368">
    <w:abstractNumId w:val="8"/>
  </w:num>
  <w:num w:numId="6" w16cid:durableId="1154419033">
    <w:abstractNumId w:val="11"/>
  </w:num>
  <w:num w:numId="7" w16cid:durableId="891040217">
    <w:abstractNumId w:val="2"/>
  </w:num>
  <w:num w:numId="8" w16cid:durableId="1610501075">
    <w:abstractNumId w:val="0"/>
  </w:num>
  <w:num w:numId="9" w16cid:durableId="1458180332">
    <w:abstractNumId w:val="6"/>
  </w:num>
  <w:num w:numId="10" w16cid:durableId="800927669">
    <w:abstractNumId w:val="5"/>
  </w:num>
  <w:num w:numId="11" w16cid:durableId="1404984768">
    <w:abstractNumId w:val="10"/>
  </w:num>
  <w:num w:numId="12" w16cid:durableId="150864025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rastu Kasaie">
    <w15:presenceInfo w15:providerId="None" w15:userId="Parastu Kasai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0BB"/>
    <w:rsid w:val="00071115"/>
    <w:rsid w:val="00087393"/>
    <w:rsid w:val="000877E3"/>
    <w:rsid w:val="001146E7"/>
    <w:rsid w:val="00115701"/>
    <w:rsid w:val="0015092C"/>
    <w:rsid w:val="0016702A"/>
    <w:rsid w:val="001B1400"/>
    <w:rsid w:val="001F72C8"/>
    <w:rsid w:val="002743F9"/>
    <w:rsid w:val="00276DED"/>
    <w:rsid w:val="002B6974"/>
    <w:rsid w:val="002D00EC"/>
    <w:rsid w:val="003037C6"/>
    <w:rsid w:val="003048F4"/>
    <w:rsid w:val="00373BCF"/>
    <w:rsid w:val="00381E84"/>
    <w:rsid w:val="00391BF8"/>
    <w:rsid w:val="003E7B38"/>
    <w:rsid w:val="003F60A8"/>
    <w:rsid w:val="004A1CD4"/>
    <w:rsid w:val="004A6088"/>
    <w:rsid w:val="004D5D26"/>
    <w:rsid w:val="004F105F"/>
    <w:rsid w:val="0053306E"/>
    <w:rsid w:val="00547ED8"/>
    <w:rsid w:val="005750AC"/>
    <w:rsid w:val="00584A78"/>
    <w:rsid w:val="005B735D"/>
    <w:rsid w:val="005C64BB"/>
    <w:rsid w:val="00635C58"/>
    <w:rsid w:val="006C1208"/>
    <w:rsid w:val="00720645"/>
    <w:rsid w:val="00731380"/>
    <w:rsid w:val="00822889"/>
    <w:rsid w:val="00827EA3"/>
    <w:rsid w:val="009279CC"/>
    <w:rsid w:val="009A2406"/>
    <w:rsid w:val="009B5235"/>
    <w:rsid w:val="00A35D75"/>
    <w:rsid w:val="00A72240"/>
    <w:rsid w:val="00AA0354"/>
    <w:rsid w:val="00AB20E5"/>
    <w:rsid w:val="00AD44AB"/>
    <w:rsid w:val="00B03546"/>
    <w:rsid w:val="00B35D4A"/>
    <w:rsid w:val="00BE0F5C"/>
    <w:rsid w:val="00BE6812"/>
    <w:rsid w:val="00C150BB"/>
    <w:rsid w:val="00CC7A1E"/>
    <w:rsid w:val="00D74DD4"/>
    <w:rsid w:val="00D948D7"/>
    <w:rsid w:val="00DD2EED"/>
    <w:rsid w:val="00DF03A7"/>
    <w:rsid w:val="00E06A2A"/>
    <w:rsid w:val="00E11EFF"/>
    <w:rsid w:val="00E30191"/>
    <w:rsid w:val="00E4266A"/>
    <w:rsid w:val="00E61994"/>
    <w:rsid w:val="00EC7C1D"/>
    <w:rsid w:val="00EF078B"/>
    <w:rsid w:val="00FA0D33"/>
    <w:rsid w:val="00FA7E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2659B"/>
  <w15:docId w15:val="{B5E147CC-1ABE-DA41-835F-15DF697B0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115"/>
  </w:style>
  <w:style w:type="paragraph" w:styleId="Heading1">
    <w:name w:val="heading 1"/>
    <w:uiPriority w:val="9"/>
    <w:qFormat/>
    <w:pPr>
      <w:spacing w:before="360" w:after="24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apple-converted-space">
    <w:name w:val="apple-converted-space"/>
    <w:basedOn w:val="DefaultParagraphFont"/>
    <w:rsid w:val="004D5D26"/>
  </w:style>
  <w:style w:type="character" w:styleId="CommentReference">
    <w:name w:val="annotation reference"/>
    <w:basedOn w:val="DefaultParagraphFont"/>
    <w:uiPriority w:val="99"/>
    <w:semiHidden/>
    <w:unhideWhenUsed/>
    <w:rsid w:val="00827EA3"/>
    <w:rPr>
      <w:sz w:val="16"/>
      <w:szCs w:val="16"/>
    </w:rPr>
  </w:style>
  <w:style w:type="paragraph" w:styleId="CommentText">
    <w:name w:val="annotation text"/>
    <w:basedOn w:val="Normal"/>
    <w:link w:val="CommentTextChar"/>
    <w:uiPriority w:val="99"/>
    <w:semiHidden/>
    <w:unhideWhenUsed/>
    <w:rsid w:val="00827EA3"/>
    <w:rPr>
      <w:sz w:val="20"/>
      <w:szCs w:val="20"/>
    </w:rPr>
  </w:style>
  <w:style w:type="character" w:customStyle="1" w:styleId="CommentTextChar">
    <w:name w:val="Comment Text Char"/>
    <w:basedOn w:val="DefaultParagraphFont"/>
    <w:link w:val="CommentText"/>
    <w:uiPriority w:val="99"/>
    <w:semiHidden/>
    <w:rsid w:val="00827EA3"/>
    <w:rPr>
      <w:sz w:val="20"/>
      <w:szCs w:val="20"/>
    </w:rPr>
  </w:style>
  <w:style w:type="paragraph" w:styleId="CommentSubject">
    <w:name w:val="annotation subject"/>
    <w:basedOn w:val="CommentText"/>
    <w:next w:val="CommentText"/>
    <w:link w:val="CommentSubjectChar"/>
    <w:uiPriority w:val="99"/>
    <w:semiHidden/>
    <w:unhideWhenUsed/>
    <w:rsid w:val="00827EA3"/>
    <w:rPr>
      <w:b/>
      <w:bCs/>
    </w:rPr>
  </w:style>
  <w:style w:type="character" w:customStyle="1" w:styleId="CommentSubjectChar">
    <w:name w:val="Comment Subject Char"/>
    <w:basedOn w:val="CommentTextChar"/>
    <w:link w:val="CommentSubject"/>
    <w:uiPriority w:val="99"/>
    <w:semiHidden/>
    <w:rsid w:val="00827EA3"/>
    <w:rPr>
      <w:b/>
      <w:bCs/>
      <w:sz w:val="20"/>
      <w:szCs w:val="20"/>
    </w:rPr>
  </w:style>
  <w:style w:type="table" w:styleId="PlainTable5">
    <w:name w:val="Plain Table 5"/>
    <w:basedOn w:val="TableNormal"/>
    <w:uiPriority w:val="45"/>
    <w:rsid w:val="00D74DD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4DD4"/>
    <w:rPr>
      <w:b/>
      <w:bCs/>
    </w:rPr>
  </w:style>
  <w:style w:type="character" w:styleId="Emphasis">
    <w:name w:val="Emphasis"/>
    <w:basedOn w:val="DefaultParagraphFont"/>
    <w:uiPriority w:val="20"/>
    <w:qFormat/>
    <w:rsid w:val="002743F9"/>
    <w:rPr>
      <w:i/>
      <w:iCs/>
    </w:rPr>
  </w:style>
  <w:style w:type="paragraph" w:styleId="NormalWeb">
    <w:name w:val="Normal (Web)"/>
    <w:basedOn w:val="Normal"/>
    <w:uiPriority w:val="99"/>
    <w:semiHidden/>
    <w:unhideWhenUsed/>
    <w:rsid w:val="002743F9"/>
    <w:rPr>
      <w:rFonts w:ascii="Times New Roman" w:hAnsi="Times New Roman" w:cs="Times New Roman"/>
      <w:sz w:val="24"/>
      <w:szCs w:val="24"/>
    </w:rPr>
  </w:style>
  <w:style w:type="table" w:styleId="TableGrid">
    <w:name w:val="Table Grid"/>
    <w:basedOn w:val="TableNormal"/>
    <w:uiPriority w:val="39"/>
    <w:rsid w:val="002743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sciencedirect.com/topics/medicine-and-dentistry/proportional-hazards-model" TargetMode="Externa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11</Pages>
  <Words>2682</Words>
  <Characters>15291</Characters>
  <Application>Microsoft Office Word</Application>
  <DocSecurity>0</DocSecurity>
  <Lines>127</Lines>
  <Paragraphs>35</Paragraphs>
  <ScaleCrop>false</ScaleCrop>
  <Company/>
  <LinksUpToDate>false</LinksUpToDate>
  <CharactersWithSpaces>17938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Parastu Kasaie</cp:lastModifiedBy>
  <cp:revision>61</cp:revision>
  <dcterms:created xsi:type="dcterms:W3CDTF">2026-04-16T14:49:00Z</dcterms:created>
  <dcterms:modified xsi:type="dcterms:W3CDTF">2026-08-20T15:33:00Z</dcterms:modified>
</cp:coreProperties>
</file>