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68E3" w14:textId="77777777" w:rsidR="0009578B" w:rsidRPr="0009578B" w:rsidRDefault="0009578B" w:rsidP="0009578B">
      <w:pPr>
        <w:rPr>
          <w:rFonts w:ascii="Calibri" w:hAnsi="Calibri" w:cs="Calibri"/>
          <w:color w:val="000000"/>
          <w:sz w:val="40"/>
          <w:szCs w:val="40"/>
        </w:rPr>
      </w:pPr>
      <w:r w:rsidRPr="0009578B">
        <w:rPr>
          <w:rFonts w:ascii="Calibri" w:hAnsi="Calibri" w:cs="Calibri"/>
          <w:b/>
          <w:bCs/>
          <w:color w:val="000000"/>
          <w:sz w:val="40"/>
          <w:szCs w:val="40"/>
        </w:rPr>
        <w:t>Summary of Doxy-PEP Persistence Estimates Across Three Studies</w:t>
      </w:r>
    </w:p>
    <w:p w14:paraId="106CAD47"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This document summarizes estimated doxycycline-PEP treatment persistence using exponential survival models derived from three published datasets. For each study, we compute (1) mean duration of therapy, (2) exponential rate parameter (λ), and (3) the probability of remaining on doxycycline for more than 365 days.</w:t>
      </w:r>
    </w:p>
    <w:p w14:paraId="344023FB" w14:textId="77777777" w:rsidR="0009578B" w:rsidRPr="0009578B" w:rsidRDefault="0009578B" w:rsidP="0009578B">
      <w:pPr>
        <w:rPr>
          <w:rFonts w:ascii="Calibri" w:hAnsi="Calibri" w:cs="Calibri"/>
          <w:szCs w:val="22"/>
        </w:rPr>
      </w:pPr>
      <w:r w:rsidRPr="0009578B">
        <w:rPr>
          <w:rFonts w:ascii="Calibri" w:hAnsi="Calibri" w:cs="Calibri"/>
          <w:szCs w:val="22"/>
        </w:rPr>
        <w:t> </w:t>
      </w:r>
    </w:p>
    <w:p w14:paraId="1BB12DF3" w14:textId="77777777" w:rsidR="0009578B" w:rsidRPr="0009578B" w:rsidRDefault="0009578B" w:rsidP="0009578B">
      <w:pPr>
        <w:rPr>
          <w:rFonts w:ascii="Calibri" w:hAnsi="Calibri" w:cs="Calibri"/>
          <w:color w:val="000000"/>
          <w:sz w:val="40"/>
          <w:szCs w:val="40"/>
        </w:rPr>
      </w:pPr>
      <w:r w:rsidRPr="0009578B">
        <w:rPr>
          <w:rFonts w:ascii="Calibri" w:hAnsi="Calibri" w:cs="Calibri"/>
          <w:b/>
          <w:bCs/>
          <w:color w:val="000000"/>
          <w:sz w:val="40"/>
          <w:szCs w:val="40"/>
        </w:rPr>
        <w:t>Study 1: JAMA Internal Medicine (2024)</w:t>
      </w:r>
    </w:p>
    <w:p w14:paraId="773C8DFA" w14:textId="77777777" w:rsidR="0009578B" w:rsidRPr="0009578B" w:rsidRDefault="0009578B" w:rsidP="0009578B">
      <w:pPr>
        <w:rPr>
          <w:rFonts w:ascii="Calibri" w:hAnsi="Calibri" w:cs="Calibri"/>
          <w:szCs w:val="22"/>
        </w:rPr>
      </w:pPr>
      <w:r w:rsidRPr="0009578B">
        <w:rPr>
          <w:rFonts w:ascii="Calibri" w:hAnsi="Calibri" w:cs="Calibri"/>
          <w:b/>
          <w:bCs/>
          <w:color w:val="000000"/>
          <w:szCs w:val="22"/>
        </w:rPr>
        <w:t>Source:</w:t>
      </w:r>
      <w:r w:rsidRPr="0009578B">
        <w:rPr>
          <w:rFonts w:ascii="Calibri" w:hAnsi="Calibri" w:cs="Calibri"/>
          <w:color w:val="000000"/>
          <w:szCs w:val="22"/>
        </w:rPr>
        <w:t xml:space="preserve">  </w:t>
      </w:r>
      <w:hyperlink r:id="rId5" w:history="1">
        <w:r w:rsidRPr="0009578B">
          <w:rPr>
            <w:rFonts w:ascii="Calibri" w:hAnsi="Calibri" w:cs="Calibri"/>
            <w:color w:val="0000FF"/>
            <w:szCs w:val="22"/>
            <w:u w:val="single"/>
          </w:rPr>
          <w:t>https://jamanetwork.com/journals/jamainternalmedicine/fullarticle/2828994</w:t>
        </w:r>
      </w:hyperlink>
    </w:p>
    <w:p w14:paraId="691FB3B1" w14:textId="77777777" w:rsidR="0009578B" w:rsidRPr="0009578B" w:rsidRDefault="0009578B" w:rsidP="0009578B">
      <w:pPr>
        <w:rPr>
          <w:rFonts w:ascii="Calibri" w:hAnsi="Calibri" w:cs="Calibri"/>
          <w:color w:val="000000"/>
          <w:sz w:val="32"/>
          <w:szCs w:val="32"/>
        </w:rPr>
      </w:pPr>
      <w:r w:rsidRPr="0009578B">
        <w:rPr>
          <w:rFonts w:ascii="Calibri" w:hAnsi="Calibri" w:cs="Calibri"/>
          <w:b/>
          <w:bCs/>
          <w:color w:val="000000"/>
          <w:sz w:val="32"/>
          <w:szCs w:val="32"/>
        </w:rPr>
        <w:t>A. Baseline estimate (all patients)</w:t>
      </w:r>
    </w:p>
    <w:p w14:paraId="003D8185"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Mean duration of therapy</w:t>
      </w:r>
      <w:r w:rsidRPr="0009578B">
        <w:rPr>
          <w:rFonts w:ascii="Calibri" w:hAnsi="Calibri" w:cs="Calibri"/>
          <w:b/>
          <w:bCs/>
          <w:color w:val="000000"/>
          <w:szCs w:val="22"/>
        </w:rPr>
        <w:br/>
      </w:r>
      <w:r w:rsidRPr="0009578B">
        <w:rPr>
          <w:rFonts w:ascii="Calibri" w:hAnsi="Calibri" w:cs="Calibri"/>
          <w:color w:val="000000"/>
          <w:szCs w:val="22"/>
        </w:rPr>
        <w:t>Reported: mean 66.2 days between refills and mean 2.3 fills.</w:t>
      </w:r>
    </w:p>
    <w:p w14:paraId="529E743A"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Mean=66.2×2.3=152.26 days</w:t>
      </w:r>
    </w:p>
    <w:p w14:paraId="23DDB5A8"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Exponential rate parameter</w:t>
      </w:r>
    </w:p>
    <w:p w14:paraId="0B8EB511"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λ=1/152.26=0.006565</w:t>
      </w:r>
    </w:p>
    <w:p w14:paraId="7CC50824"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Probability of remaining on doxy &gt; 365 days</w:t>
      </w:r>
    </w:p>
    <w:p w14:paraId="2DD64B69"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P(T&gt;</w:t>
      </w:r>
      <w:proofErr w:type="gramStart"/>
      <w:r w:rsidRPr="0009578B">
        <w:rPr>
          <w:rFonts w:ascii="Calibri" w:hAnsi="Calibri" w:cs="Calibri"/>
          <w:color w:val="000000"/>
          <w:szCs w:val="22"/>
        </w:rPr>
        <w:t>365)=</w:t>
      </w:r>
      <w:proofErr w:type="gramEnd"/>
      <w:r w:rsidRPr="0009578B">
        <w:rPr>
          <w:rFonts w:ascii="Calibri" w:hAnsi="Calibri" w:cs="Calibri"/>
          <w:color w:val="000000"/>
          <w:szCs w:val="22"/>
        </w:rPr>
        <w:t>e−0.006565×365=0.0916P</w:t>
      </w:r>
    </w:p>
    <w:p w14:paraId="1117B837"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Estimated persistence at 1 year: 9.2%.</w:t>
      </w:r>
    </w:p>
    <w:p w14:paraId="5602CAE1" w14:textId="77777777" w:rsidR="0009578B" w:rsidRPr="0009578B" w:rsidRDefault="0009578B" w:rsidP="0009578B">
      <w:pPr>
        <w:rPr>
          <w:rFonts w:ascii="Calibri" w:hAnsi="Calibri" w:cs="Calibri"/>
          <w:szCs w:val="22"/>
        </w:rPr>
      </w:pPr>
      <w:r w:rsidRPr="0009578B">
        <w:rPr>
          <w:rFonts w:ascii="Calibri" w:hAnsi="Calibri" w:cs="Calibri"/>
          <w:szCs w:val="22"/>
        </w:rPr>
        <w:t> </w:t>
      </w:r>
    </w:p>
    <w:p w14:paraId="442DFCB8" w14:textId="77777777" w:rsidR="0009578B" w:rsidRPr="0009578B" w:rsidRDefault="0009578B" w:rsidP="0009578B">
      <w:pPr>
        <w:rPr>
          <w:rFonts w:ascii="Calibri" w:hAnsi="Calibri" w:cs="Calibri"/>
          <w:color w:val="000000"/>
          <w:sz w:val="32"/>
          <w:szCs w:val="32"/>
        </w:rPr>
      </w:pPr>
      <w:r w:rsidRPr="0009578B">
        <w:rPr>
          <w:rFonts w:ascii="Calibri" w:hAnsi="Calibri" w:cs="Calibri"/>
          <w:b/>
          <w:bCs/>
          <w:color w:val="000000"/>
          <w:sz w:val="32"/>
          <w:szCs w:val="32"/>
        </w:rPr>
        <w:t>B. Upper-bound estimate (restricting to multi-fill patients only)</w:t>
      </w:r>
    </w:p>
    <w:p w14:paraId="3344F6A9"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Mean number of fills among multi-fill users</w:t>
      </w:r>
      <w:r w:rsidRPr="0009578B">
        <w:rPr>
          <w:rFonts w:ascii="Calibri" w:hAnsi="Calibri" w:cs="Calibri"/>
          <w:b/>
          <w:bCs/>
          <w:color w:val="000000"/>
          <w:szCs w:val="22"/>
        </w:rPr>
        <w:br/>
      </w:r>
      <w:r w:rsidRPr="0009578B">
        <w:rPr>
          <w:rFonts w:ascii="Calibri" w:hAnsi="Calibri" w:cs="Calibri"/>
          <w:color w:val="000000"/>
          <w:szCs w:val="22"/>
        </w:rPr>
        <w:t>Overall mean = 2.3 fills; 48% had a single fill.</w:t>
      </w:r>
    </w:p>
    <w:p w14:paraId="77B786BC"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0.48(</w:t>
      </w:r>
      <w:proofErr w:type="gramStart"/>
      <w:r w:rsidRPr="0009578B">
        <w:rPr>
          <w:rFonts w:ascii="Calibri" w:hAnsi="Calibri" w:cs="Calibri"/>
          <w:color w:val="000000"/>
          <w:szCs w:val="22"/>
        </w:rPr>
        <w:t>1)+</w:t>
      </w:r>
      <w:proofErr w:type="gramEnd"/>
      <w:r w:rsidRPr="0009578B">
        <w:rPr>
          <w:rFonts w:ascii="Calibri" w:hAnsi="Calibri" w:cs="Calibri"/>
          <w:color w:val="000000"/>
          <w:szCs w:val="22"/>
        </w:rPr>
        <w:t>0.52(x)=2.3→x=3.5</w:t>
      </w:r>
    </w:p>
    <w:p w14:paraId="56B8D63A"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Mean persistence for multi-fill users</w:t>
      </w:r>
    </w:p>
    <w:p w14:paraId="0BFF59B2"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Mean duration=66.2×3.5=231.7 days</w:t>
      </w:r>
    </w:p>
    <w:p w14:paraId="5E20C759"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Exponential parameter</w:t>
      </w:r>
    </w:p>
    <w:p w14:paraId="2A8C7853"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λ=1/231.7=0.004313</w:t>
      </w:r>
    </w:p>
    <w:p w14:paraId="69F0DD92"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Probability of remaining on doxy &gt; 365 days</w:t>
      </w:r>
    </w:p>
    <w:p w14:paraId="58710693"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P(T&gt;</w:t>
      </w:r>
      <w:proofErr w:type="gramStart"/>
      <w:r w:rsidRPr="0009578B">
        <w:rPr>
          <w:rFonts w:ascii="Calibri" w:hAnsi="Calibri" w:cs="Calibri"/>
          <w:color w:val="000000"/>
          <w:szCs w:val="22"/>
        </w:rPr>
        <w:t>365)=</w:t>
      </w:r>
      <w:proofErr w:type="gramEnd"/>
      <w:r w:rsidRPr="0009578B">
        <w:rPr>
          <w:rFonts w:ascii="Calibri" w:hAnsi="Calibri" w:cs="Calibri"/>
          <w:color w:val="000000"/>
          <w:szCs w:val="22"/>
        </w:rPr>
        <w:t>e−0.004313×365=0.207</w:t>
      </w:r>
    </w:p>
    <w:p w14:paraId="03161BC2"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Upper-bound persistence at 1 year: 20.7%.</w:t>
      </w:r>
    </w:p>
    <w:p w14:paraId="0233999A" w14:textId="77777777" w:rsidR="0009578B" w:rsidRPr="0009578B" w:rsidRDefault="0009578B" w:rsidP="0009578B">
      <w:pPr>
        <w:rPr>
          <w:rFonts w:ascii="Calibri" w:hAnsi="Calibri" w:cs="Calibri"/>
          <w:szCs w:val="22"/>
        </w:rPr>
      </w:pPr>
      <w:r w:rsidRPr="0009578B">
        <w:rPr>
          <w:rFonts w:ascii="Calibri" w:hAnsi="Calibri" w:cs="Calibri"/>
          <w:szCs w:val="22"/>
        </w:rPr>
        <w:t> </w:t>
      </w:r>
    </w:p>
    <w:p w14:paraId="10985E4D" w14:textId="77777777" w:rsidR="0009578B" w:rsidRPr="0009578B" w:rsidRDefault="0009578B" w:rsidP="0009578B">
      <w:pPr>
        <w:rPr>
          <w:rFonts w:ascii="Calibri" w:hAnsi="Calibri" w:cs="Calibri"/>
          <w:color w:val="000000"/>
          <w:sz w:val="40"/>
          <w:szCs w:val="40"/>
        </w:rPr>
      </w:pPr>
      <w:r w:rsidRPr="0009578B">
        <w:rPr>
          <w:rFonts w:ascii="Calibri" w:hAnsi="Calibri" w:cs="Calibri"/>
          <w:b/>
          <w:bCs/>
          <w:color w:val="000000"/>
          <w:sz w:val="40"/>
          <w:szCs w:val="40"/>
        </w:rPr>
        <w:t>Study 2: Open Forum Infectious Diseases (2025) – Pharmacy Refill Survival</w:t>
      </w:r>
    </w:p>
    <w:p w14:paraId="406660AC" w14:textId="77777777" w:rsidR="0009578B" w:rsidRPr="0009578B" w:rsidRDefault="0009578B" w:rsidP="0009578B">
      <w:pPr>
        <w:rPr>
          <w:rFonts w:ascii="Calibri" w:hAnsi="Calibri" w:cs="Calibri"/>
          <w:szCs w:val="22"/>
        </w:rPr>
      </w:pPr>
      <w:r w:rsidRPr="0009578B">
        <w:rPr>
          <w:rFonts w:ascii="Calibri" w:hAnsi="Calibri" w:cs="Calibri"/>
          <w:b/>
          <w:bCs/>
          <w:color w:val="000000"/>
          <w:szCs w:val="22"/>
        </w:rPr>
        <w:t>Source:</w:t>
      </w:r>
      <w:r w:rsidRPr="0009578B">
        <w:rPr>
          <w:rFonts w:ascii="Calibri" w:hAnsi="Calibri" w:cs="Calibri"/>
          <w:color w:val="000000"/>
          <w:szCs w:val="22"/>
        </w:rPr>
        <w:t xml:space="preserve">  </w:t>
      </w:r>
      <w:hyperlink r:id="rId6" w:history="1">
        <w:r w:rsidRPr="0009578B">
          <w:rPr>
            <w:rFonts w:ascii="Calibri" w:hAnsi="Calibri" w:cs="Calibri"/>
            <w:color w:val="0000FF"/>
            <w:szCs w:val="22"/>
            <w:u w:val="single"/>
          </w:rPr>
          <w:t>https://academic.oup.com/ofid/article/12/3/ofaf089/8015747</w:t>
        </w:r>
      </w:hyperlink>
    </w:p>
    <w:p w14:paraId="32977B40"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Observed 6-month survival</w:t>
      </w:r>
    </w:p>
    <w:p w14:paraId="78600290"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Among patients with ≥6 months of follow-up:</w:t>
      </w:r>
    </w:p>
    <w:p w14:paraId="164F56FC" w14:textId="77777777" w:rsidR="0009578B" w:rsidRPr="0009578B" w:rsidRDefault="0009578B" w:rsidP="0009578B">
      <w:pPr>
        <w:ind w:left="540"/>
        <w:rPr>
          <w:rFonts w:ascii="Calibri" w:hAnsi="Calibri" w:cs="Calibri"/>
          <w:color w:val="000000"/>
          <w:szCs w:val="22"/>
        </w:rPr>
      </w:pPr>
      <w:r w:rsidRPr="0009578B">
        <w:rPr>
          <w:rFonts w:ascii="Calibri" w:hAnsi="Calibri" w:cs="Calibri"/>
          <w:color w:val="000000"/>
          <w:szCs w:val="22"/>
        </w:rPr>
        <w:t>1115 eligible patients</w:t>
      </w:r>
    </w:p>
    <w:p w14:paraId="7CC8C102" w14:textId="77777777" w:rsidR="0009578B" w:rsidRPr="0009578B" w:rsidRDefault="0009578B" w:rsidP="0009578B">
      <w:pPr>
        <w:ind w:left="540"/>
        <w:rPr>
          <w:rFonts w:ascii="Calibri" w:hAnsi="Calibri" w:cs="Calibri"/>
          <w:color w:val="000000"/>
          <w:szCs w:val="22"/>
        </w:rPr>
      </w:pPr>
      <w:r w:rsidRPr="0009578B">
        <w:rPr>
          <w:rFonts w:ascii="Calibri" w:hAnsi="Calibri" w:cs="Calibri"/>
          <w:color w:val="000000"/>
          <w:szCs w:val="22"/>
        </w:rPr>
        <w:t>366 had ≥1 refill after 6 months</w:t>
      </w:r>
    </w:p>
    <w:p w14:paraId="3CA16429"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P(T&gt;</w:t>
      </w:r>
      <w:proofErr w:type="gramStart"/>
      <w:r w:rsidRPr="0009578B">
        <w:rPr>
          <w:rFonts w:ascii="Calibri" w:hAnsi="Calibri" w:cs="Calibri"/>
          <w:color w:val="000000"/>
          <w:szCs w:val="22"/>
        </w:rPr>
        <w:t>180)=</w:t>
      </w:r>
      <w:proofErr w:type="gramEnd"/>
      <w:r w:rsidRPr="0009578B">
        <w:rPr>
          <w:rFonts w:ascii="Calibri" w:hAnsi="Calibri" w:cs="Calibri"/>
          <w:color w:val="000000"/>
          <w:szCs w:val="22"/>
        </w:rPr>
        <w:t>366/1115=0.328</w:t>
      </w:r>
    </w:p>
    <w:p w14:paraId="168C4B3E"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Exponential model</w:t>
      </w:r>
    </w:p>
    <w:p w14:paraId="1F2F54E7"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0.328=e−λ</w:t>
      </w:r>
      <w:r w:rsidRPr="0009578B">
        <w:rPr>
          <w:rFonts w:ascii="Cambria Math" w:hAnsi="Cambria Math" w:cs="Calibri"/>
          <w:color w:val="000000"/>
          <w:szCs w:val="22"/>
        </w:rPr>
        <w:t>⋅</w:t>
      </w:r>
      <w:r w:rsidRPr="0009578B">
        <w:rPr>
          <w:rFonts w:ascii="Calibri" w:hAnsi="Calibri" w:cs="Calibri"/>
          <w:color w:val="000000"/>
          <w:szCs w:val="22"/>
        </w:rPr>
        <w:t>180</w:t>
      </w:r>
    </w:p>
    <w:p w14:paraId="75D8F16A"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λ=0.00619</w:t>
      </w:r>
    </w:p>
    <w:p w14:paraId="1EB264FF"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Probability of &gt;1-year persistence</w:t>
      </w:r>
    </w:p>
    <w:p w14:paraId="3CD95D48"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lastRenderedPageBreak/>
        <w:t>P(T&gt;</w:t>
      </w:r>
      <w:proofErr w:type="gramStart"/>
      <w:r w:rsidRPr="0009578B">
        <w:rPr>
          <w:rFonts w:ascii="Calibri" w:hAnsi="Calibri" w:cs="Calibri"/>
          <w:color w:val="000000"/>
          <w:szCs w:val="22"/>
        </w:rPr>
        <w:t>365)=</w:t>
      </w:r>
      <w:proofErr w:type="gramEnd"/>
      <w:r w:rsidRPr="0009578B">
        <w:rPr>
          <w:rFonts w:ascii="Calibri" w:hAnsi="Calibri" w:cs="Calibri"/>
          <w:color w:val="000000"/>
          <w:szCs w:val="22"/>
        </w:rPr>
        <w:t>e−0.00619</w:t>
      </w:r>
      <w:r w:rsidRPr="0009578B">
        <w:rPr>
          <w:rFonts w:ascii="Cambria Math" w:hAnsi="Cambria Math" w:cs="Calibri"/>
          <w:color w:val="000000"/>
          <w:szCs w:val="22"/>
        </w:rPr>
        <w:t>⋅</w:t>
      </w:r>
      <w:r w:rsidRPr="0009578B">
        <w:rPr>
          <w:rFonts w:ascii="Calibri" w:hAnsi="Calibri" w:cs="Calibri"/>
          <w:color w:val="000000"/>
          <w:szCs w:val="22"/>
        </w:rPr>
        <w:t>365=0.104P</w:t>
      </w:r>
    </w:p>
    <w:p w14:paraId="79DC7A67"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Estimated 1-year persistence: 10.4%.</w:t>
      </w:r>
    </w:p>
    <w:p w14:paraId="1A50CD29"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 </w:t>
      </w:r>
    </w:p>
    <w:p w14:paraId="28DB6E98" w14:textId="77777777" w:rsidR="0009578B" w:rsidRPr="0009578B" w:rsidRDefault="0009578B" w:rsidP="0009578B">
      <w:pPr>
        <w:rPr>
          <w:rFonts w:ascii="Calibri" w:hAnsi="Calibri" w:cs="Calibri"/>
          <w:color w:val="000000"/>
          <w:sz w:val="40"/>
          <w:szCs w:val="40"/>
        </w:rPr>
      </w:pPr>
      <w:r w:rsidRPr="0009578B">
        <w:rPr>
          <w:rFonts w:ascii="Calibri" w:hAnsi="Calibri" w:cs="Calibri"/>
          <w:b/>
          <w:bCs/>
          <w:color w:val="000000"/>
          <w:sz w:val="40"/>
          <w:szCs w:val="40"/>
        </w:rPr>
        <w:t>Study 3: Open Forum Infectious Diseases (2025) – Refill Distribution</w:t>
      </w:r>
    </w:p>
    <w:p w14:paraId="052E88C0" w14:textId="77777777" w:rsidR="0009578B" w:rsidRPr="0009578B" w:rsidRDefault="0009578B" w:rsidP="0009578B">
      <w:pPr>
        <w:rPr>
          <w:rFonts w:ascii="Calibri" w:hAnsi="Calibri" w:cs="Calibri"/>
          <w:szCs w:val="22"/>
        </w:rPr>
      </w:pPr>
      <w:r w:rsidRPr="0009578B">
        <w:rPr>
          <w:rFonts w:ascii="Calibri" w:hAnsi="Calibri" w:cs="Calibri"/>
          <w:b/>
          <w:bCs/>
          <w:color w:val="000000"/>
          <w:szCs w:val="22"/>
        </w:rPr>
        <w:t>Source:</w:t>
      </w:r>
      <w:r w:rsidRPr="0009578B">
        <w:rPr>
          <w:rFonts w:ascii="Calibri" w:hAnsi="Calibri" w:cs="Calibri"/>
          <w:color w:val="000000"/>
          <w:szCs w:val="22"/>
        </w:rPr>
        <w:t xml:space="preserve">  </w:t>
      </w:r>
      <w:hyperlink r:id="rId7" w:history="1">
        <w:r w:rsidRPr="0009578B">
          <w:rPr>
            <w:rFonts w:ascii="Calibri" w:hAnsi="Calibri" w:cs="Calibri"/>
            <w:color w:val="0000FF"/>
            <w:szCs w:val="22"/>
            <w:u w:val="single"/>
          </w:rPr>
          <w:t>https://academic.oup.com/ofid/article/12/2/ofaf062/7990430</w:t>
        </w:r>
      </w:hyperlink>
    </w:p>
    <w:p w14:paraId="6540E4D2" w14:textId="77777777" w:rsidR="0009578B" w:rsidRPr="0009578B" w:rsidRDefault="0009578B" w:rsidP="0009578B">
      <w:pPr>
        <w:rPr>
          <w:rFonts w:ascii="Calibri" w:hAnsi="Calibri" w:cs="Calibri"/>
          <w:color w:val="000000"/>
          <w:sz w:val="32"/>
          <w:szCs w:val="32"/>
        </w:rPr>
      </w:pPr>
      <w:r w:rsidRPr="0009578B">
        <w:rPr>
          <w:rFonts w:ascii="Calibri" w:hAnsi="Calibri" w:cs="Calibri"/>
          <w:b/>
          <w:bCs/>
          <w:color w:val="000000"/>
          <w:sz w:val="32"/>
          <w:szCs w:val="32"/>
        </w:rPr>
        <w:t>Refills on initial prescription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801"/>
      </w:tblGrid>
      <w:tr w:rsidR="0009578B" w:rsidRPr="0009578B" w14:paraId="7983FB76" w14:textId="77777777">
        <w:tc>
          <w:tcPr>
            <w:tcW w:w="960" w:type="dxa"/>
            <w:tcBorders>
              <w:top w:val="nil"/>
              <w:left w:val="nil"/>
              <w:bottom w:val="nil"/>
              <w:right w:val="nil"/>
            </w:tcBorders>
            <w:tcMar>
              <w:top w:w="40" w:type="dxa"/>
              <w:left w:w="60" w:type="dxa"/>
              <w:bottom w:w="40" w:type="dxa"/>
              <w:right w:w="60" w:type="dxa"/>
            </w:tcMar>
            <w:hideMark/>
          </w:tcPr>
          <w:p w14:paraId="0597398A" w14:textId="77777777" w:rsidR="0009578B" w:rsidRPr="0009578B" w:rsidRDefault="0009578B" w:rsidP="0009578B">
            <w:pPr>
              <w:rPr>
                <w:rFonts w:ascii="Calibri" w:hAnsi="Calibri" w:cs="Calibri"/>
                <w:szCs w:val="22"/>
              </w:rPr>
            </w:pPr>
            <w:r w:rsidRPr="0009578B">
              <w:rPr>
                <w:rFonts w:ascii="Calibri" w:hAnsi="Calibri" w:cs="Calibri"/>
                <w:b/>
                <w:bCs/>
                <w:szCs w:val="22"/>
              </w:rPr>
              <w:t>Refills</w:t>
            </w:r>
          </w:p>
        </w:tc>
        <w:tc>
          <w:tcPr>
            <w:tcW w:w="798" w:type="dxa"/>
            <w:tcBorders>
              <w:top w:val="nil"/>
              <w:left w:val="nil"/>
              <w:bottom w:val="nil"/>
              <w:right w:val="nil"/>
            </w:tcBorders>
            <w:tcMar>
              <w:top w:w="40" w:type="dxa"/>
              <w:left w:w="60" w:type="dxa"/>
              <w:bottom w:w="40" w:type="dxa"/>
              <w:right w:w="60" w:type="dxa"/>
            </w:tcMar>
            <w:hideMark/>
          </w:tcPr>
          <w:p w14:paraId="1587102B" w14:textId="77777777" w:rsidR="0009578B" w:rsidRPr="0009578B" w:rsidRDefault="0009578B" w:rsidP="0009578B">
            <w:pPr>
              <w:rPr>
                <w:rFonts w:ascii="Calibri" w:hAnsi="Calibri" w:cs="Calibri"/>
                <w:szCs w:val="22"/>
              </w:rPr>
            </w:pPr>
            <w:r w:rsidRPr="0009578B">
              <w:rPr>
                <w:rFonts w:ascii="Calibri" w:hAnsi="Calibri" w:cs="Calibri"/>
                <w:b/>
                <w:bCs/>
                <w:szCs w:val="22"/>
              </w:rPr>
              <w:t>%</w:t>
            </w:r>
          </w:p>
        </w:tc>
      </w:tr>
      <w:tr w:rsidR="0009578B" w:rsidRPr="0009578B" w14:paraId="15310E32" w14:textId="77777777">
        <w:tc>
          <w:tcPr>
            <w:tcW w:w="960" w:type="dxa"/>
            <w:tcBorders>
              <w:top w:val="nil"/>
              <w:left w:val="nil"/>
              <w:bottom w:val="nil"/>
              <w:right w:val="nil"/>
            </w:tcBorders>
            <w:tcMar>
              <w:top w:w="40" w:type="dxa"/>
              <w:left w:w="60" w:type="dxa"/>
              <w:bottom w:w="40" w:type="dxa"/>
              <w:right w:w="60" w:type="dxa"/>
            </w:tcMar>
            <w:hideMark/>
          </w:tcPr>
          <w:p w14:paraId="5752E6C3" w14:textId="77777777" w:rsidR="0009578B" w:rsidRPr="0009578B" w:rsidRDefault="0009578B" w:rsidP="0009578B">
            <w:pPr>
              <w:rPr>
                <w:rFonts w:ascii="Calibri" w:hAnsi="Calibri" w:cs="Calibri"/>
                <w:szCs w:val="22"/>
              </w:rPr>
            </w:pPr>
            <w:r w:rsidRPr="0009578B">
              <w:rPr>
                <w:rFonts w:ascii="Calibri" w:hAnsi="Calibri" w:cs="Calibri"/>
                <w:szCs w:val="22"/>
              </w:rPr>
              <w:t>0</w:t>
            </w:r>
          </w:p>
        </w:tc>
        <w:tc>
          <w:tcPr>
            <w:tcW w:w="798" w:type="dxa"/>
            <w:tcBorders>
              <w:top w:val="nil"/>
              <w:left w:val="nil"/>
              <w:bottom w:val="nil"/>
              <w:right w:val="nil"/>
            </w:tcBorders>
            <w:tcMar>
              <w:top w:w="40" w:type="dxa"/>
              <w:left w:w="60" w:type="dxa"/>
              <w:bottom w:w="40" w:type="dxa"/>
              <w:right w:w="60" w:type="dxa"/>
            </w:tcMar>
            <w:hideMark/>
          </w:tcPr>
          <w:p w14:paraId="226B9B49" w14:textId="77777777" w:rsidR="0009578B" w:rsidRPr="0009578B" w:rsidRDefault="0009578B" w:rsidP="0009578B">
            <w:pPr>
              <w:rPr>
                <w:rFonts w:ascii="Calibri" w:hAnsi="Calibri" w:cs="Calibri"/>
                <w:szCs w:val="22"/>
              </w:rPr>
            </w:pPr>
            <w:r w:rsidRPr="0009578B">
              <w:rPr>
                <w:rFonts w:ascii="Calibri" w:hAnsi="Calibri" w:cs="Calibri"/>
                <w:szCs w:val="22"/>
              </w:rPr>
              <w:t>30%</w:t>
            </w:r>
          </w:p>
        </w:tc>
      </w:tr>
      <w:tr w:rsidR="0009578B" w:rsidRPr="0009578B" w14:paraId="675BEC2F" w14:textId="77777777">
        <w:tc>
          <w:tcPr>
            <w:tcW w:w="960" w:type="dxa"/>
            <w:tcBorders>
              <w:top w:val="nil"/>
              <w:left w:val="nil"/>
              <w:bottom w:val="nil"/>
              <w:right w:val="nil"/>
            </w:tcBorders>
            <w:tcMar>
              <w:top w:w="40" w:type="dxa"/>
              <w:left w:w="60" w:type="dxa"/>
              <w:bottom w:w="40" w:type="dxa"/>
              <w:right w:w="60" w:type="dxa"/>
            </w:tcMar>
            <w:hideMark/>
          </w:tcPr>
          <w:p w14:paraId="15FA635E" w14:textId="77777777" w:rsidR="0009578B" w:rsidRPr="0009578B" w:rsidRDefault="0009578B" w:rsidP="0009578B">
            <w:pPr>
              <w:rPr>
                <w:rFonts w:ascii="Calibri" w:hAnsi="Calibri" w:cs="Calibri"/>
                <w:szCs w:val="22"/>
              </w:rPr>
            </w:pPr>
            <w:r w:rsidRPr="0009578B">
              <w:rPr>
                <w:rFonts w:ascii="Calibri" w:hAnsi="Calibri" w:cs="Calibri"/>
                <w:szCs w:val="22"/>
              </w:rPr>
              <w:t>1</w:t>
            </w:r>
          </w:p>
        </w:tc>
        <w:tc>
          <w:tcPr>
            <w:tcW w:w="798" w:type="dxa"/>
            <w:tcBorders>
              <w:top w:val="nil"/>
              <w:left w:val="nil"/>
              <w:bottom w:val="nil"/>
              <w:right w:val="nil"/>
            </w:tcBorders>
            <w:tcMar>
              <w:top w:w="40" w:type="dxa"/>
              <w:left w:w="60" w:type="dxa"/>
              <w:bottom w:w="40" w:type="dxa"/>
              <w:right w:w="60" w:type="dxa"/>
            </w:tcMar>
            <w:hideMark/>
          </w:tcPr>
          <w:p w14:paraId="41C2C066" w14:textId="77777777" w:rsidR="0009578B" w:rsidRPr="0009578B" w:rsidRDefault="0009578B" w:rsidP="0009578B">
            <w:pPr>
              <w:rPr>
                <w:rFonts w:ascii="Calibri" w:hAnsi="Calibri" w:cs="Calibri"/>
                <w:szCs w:val="22"/>
              </w:rPr>
            </w:pPr>
            <w:r w:rsidRPr="0009578B">
              <w:rPr>
                <w:rFonts w:ascii="Calibri" w:hAnsi="Calibri" w:cs="Calibri"/>
                <w:szCs w:val="22"/>
              </w:rPr>
              <w:t>30%</w:t>
            </w:r>
          </w:p>
        </w:tc>
      </w:tr>
      <w:tr w:rsidR="0009578B" w:rsidRPr="0009578B" w14:paraId="7BF16B36" w14:textId="77777777">
        <w:tc>
          <w:tcPr>
            <w:tcW w:w="960" w:type="dxa"/>
            <w:tcBorders>
              <w:top w:val="nil"/>
              <w:left w:val="nil"/>
              <w:bottom w:val="nil"/>
              <w:right w:val="nil"/>
            </w:tcBorders>
            <w:tcMar>
              <w:top w:w="40" w:type="dxa"/>
              <w:left w:w="60" w:type="dxa"/>
              <w:bottom w:w="40" w:type="dxa"/>
              <w:right w:w="60" w:type="dxa"/>
            </w:tcMar>
            <w:hideMark/>
          </w:tcPr>
          <w:p w14:paraId="4C80ACD4" w14:textId="77777777" w:rsidR="0009578B" w:rsidRPr="0009578B" w:rsidRDefault="0009578B" w:rsidP="0009578B">
            <w:pPr>
              <w:rPr>
                <w:rFonts w:ascii="Calibri" w:hAnsi="Calibri" w:cs="Calibri"/>
                <w:szCs w:val="22"/>
              </w:rPr>
            </w:pPr>
            <w:r w:rsidRPr="0009578B">
              <w:rPr>
                <w:rFonts w:ascii="Calibri" w:hAnsi="Calibri" w:cs="Calibri"/>
                <w:szCs w:val="22"/>
              </w:rPr>
              <w:t>2</w:t>
            </w:r>
          </w:p>
        </w:tc>
        <w:tc>
          <w:tcPr>
            <w:tcW w:w="801" w:type="dxa"/>
            <w:tcBorders>
              <w:top w:val="nil"/>
              <w:left w:val="nil"/>
              <w:bottom w:val="nil"/>
              <w:right w:val="nil"/>
            </w:tcBorders>
            <w:tcMar>
              <w:top w:w="40" w:type="dxa"/>
              <w:left w:w="60" w:type="dxa"/>
              <w:bottom w:w="40" w:type="dxa"/>
              <w:right w:w="60" w:type="dxa"/>
            </w:tcMar>
            <w:hideMark/>
          </w:tcPr>
          <w:p w14:paraId="7F730E1D" w14:textId="77777777" w:rsidR="0009578B" w:rsidRPr="0009578B" w:rsidRDefault="0009578B" w:rsidP="0009578B">
            <w:pPr>
              <w:rPr>
                <w:rFonts w:ascii="Calibri" w:hAnsi="Calibri" w:cs="Calibri"/>
                <w:szCs w:val="22"/>
              </w:rPr>
            </w:pPr>
            <w:r w:rsidRPr="0009578B">
              <w:rPr>
                <w:rFonts w:ascii="Calibri" w:hAnsi="Calibri" w:cs="Calibri"/>
                <w:szCs w:val="22"/>
              </w:rPr>
              <w:t>35.6%</w:t>
            </w:r>
          </w:p>
        </w:tc>
      </w:tr>
      <w:tr w:rsidR="0009578B" w:rsidRPr="0009578B" w14:paraId="672F33B4" w14:textId="77777777">
        <w:tc>
          <w:tcPr>
            <w:tcW w:w="960" w:type="dxa"/>
            <w:tcBorders>
              <w:top w:val="nil"/>
              <w:left w:val="nil"/>
              <w:bottom w:val="nil"/>
              <w:right w:val="nil"/>
            </w:tcBorders>
            <w:tcMar>
              <w:top w:w="40" w:type="dxa"/>
              <w:left w:w="60" w:type="dxa"/>
              <w:bottom w:w="40" w:type="dxa"/>
              <w:right w:w="60" w:type="dxa"/>
            </w:tcMar>
            <w:hideMark/>
          </w:tcPr>
          <w:p w14:paraId="77AB0068" w14:textId="77777777" w:rsidR="0009578B" w:rsidRPr="0009578B" w:rsidRDefault="0009578B" w:rsidP="0009578B">
            <w:pPr>
              <w:rPr>
                <w:rFonts w:ascii="Calibri" w:hAnsi="Calibri" w:cs="Calibri"/>
                <w:szCs w:val="22"/>
              </w:rPr>
            </w:pPr>
            <w:r w:rsidRPr="0009578B">
              <w:rPr>
                <w:rFonts w:ascii="Calibri" w:hAnsi="Calibri" w:cs="Calibri"/>
                <w:szCs w:val="22"/>
              </w:rPr>
              <w:t>3</w:t>
            </w:r>
          </w:p>
        </w:tc>
        <w:tc>
          <w:tcPr>
            <w:tcW w:w="798" w:type="dxa"/>
            <w:tcBorders>
              <w:top w:val="nil"/>
              <w:left w:val="nil"/>
              <w:bottom w:val="nil"/>
              <w:right w:val="nil"/>
            </w:tcBorders>
            <w:tcMar>
              <w:top w:w="40" w:type="dxa"/>
              <w:left w:w="60" w:type="dxa"/>
              <w:bottom w:w="40" w:type="dxa"/>
              <w:right w:w="60" w:type="dxa"/>
            </w:tcMar>
            <w:hideMark/>
          </w:tcPr>
          <w:p w14:paraId="763B977B" w14:textId="77777777" w:rsidR="0009578B" w:rsidRPr="0009578B" w:rsidRDefault="0009578B" w:rsidP="0009578B">
            <w:pPr>
              <w:rPr>
                <w:rFonts w:ascii="Calibri" w:hAnsi="Calibri" w:cs="Calibri"/>
                <w:szCs w:val="22"/>
              </w:rPr>
            </w:pPr>
            <w:r w:rsidRPr="0009578B">
              <w:rPr>
                <w:rFonts w:ascii="Calibri" w:hAnsi="Calibri" w:cs="Calibri"/>
                <w:szCs w:val="22"/>
              </w:rPr>
              <w:t>4.4%</w:t>
            </w:r>
          </w:p>
        </w:tc>
      </w:tr>
    </w:tbl>
    <w:p w14:paraId="18DF817F"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Assumption:</w:t>
      </w:r>
    </w:p>
    <w:p w14:paraId="51779757" w14:textId="77777777" w:rsidR="0009578B" w:rsidRPr="0009578B" w:rsidRDefault="0009578B" w:rsidP="0009578B">
      <w:pPr>
        <w:numPr>
          <w:ilvl w:val="0"/>
          <w:numId w:val="9"/>
        </w:numPr>
        <w:textAlignment w:val="center"/>
        <w:rPr>
          <w:rFonts w:ascii="Calibri" w:hAnsi="Calibri" w:cs="Calibri"/>
          <w:color w:val="000000"/>
          <w:szCs w:val="22"/>
        </w:rPr>
      </w:pPr>
      <w:r w:rsidRPr="0009578B">
        <w:rPr>
          <w:rFonts w:ascii="Calibri" w:hAnsi="Calibri" w:cs="Calibri"/>
          <w:color w:val="000000"/>
          <w:szCs w:val="22"/>
        </w:rPr>
        <w:t>Average days per refill interval ≈ 365/4 = </w:t>
      </w:r>
      <w:r w:rsidRPr="0009578B">
        <w:rPr>
          <w:rFonts w:ascii="Calibri" w:hAnsi="Calibri" w:cs="Calibri"/>
          <w:b/>
          <w:bCs/>
          <w:color w:val="000000"/>
          <w:szCs w:val="22"/>
        </w:rPr>
        <w:t>91.25 days</w:t>
      </w:r>
    </w:p>
    <w:p w14:paraId="73F5B2E7" w14:textId="77777777" w:rsidR="0009578B" w:rsidRPr="0009578B" w:rsidRDefault="0009578B" w:rsidP="0009578B">
      <w:pPr>
        <w:numPr>
          <w:ilvl w:val="0"/>
          <w:numId w:val="9"/>
        </w:numPr>
        <w:textAlignment w:val="center"/>
        <w:rPr>
          <w:rFonts w:ascii="Calibri" w:hAnsi="Calibri" w:cs="Calibri"/>
          <w:color w:val="000000"/>
          <w:szCs w:val="22"/>
        </w:rPr>
      </w:pPr>
      <w:r w:rsidRPr="0009578B">
        <w:rPr>
          <w:rFonts w:ascii="Calibri" w:hAnsi="Calibri" w:cs="Calibri"/>
          <w:color w:val="000000"/>
          <w:szCs w:val="22"/>
        </w:rPr>
        <w:t>Total coverage = (R + 1) × 91.25</w:t>
      </w:r>
    </w:p>
    <w:p w14:paraId="33DD4101"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Weighted duration</w:t>
      </w:r>
    </w:p>
    <w:p w14:paraId="4A138B38"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D=0.30(</w:t>
      </w:r>
      <w:proofErr w:type="gramStart"/>
      <w:r w:rsidRPr="0009578B">
        <w:rPr>
          <w:rFonts w:ascii="Calibri" w:hAnsi="Calibri" w:cs="Calibri"/>
          <w:color w:val="000000"/>
          <w:szCs w:val="22"/>
        </w:rPr>
        <w:t>91.25)+</w:t>
      </w:r>
      <w:proofErr w:type="gramEnd"/>
      <w:r w:rsidRPr="0009578B">
        <w:rPr>
          <w:rFonts w:ascii="Calibri" w:hAnsi="Calibri" w:cs="Calibri"/>
          <w:color w:val="000000"/>
          <w:szCs w:val="22"/>
        </w:rPr>
        <w:t>0.30(</w:t>
      </w:r>
      <w:proofErr w:type="gramStart"/>
      <w:r w:rsidRPr="0009578B">
        <w:rPr>
          <w:rFonts w:ascii="Calibri" w:hAnsi="Calibri" w:cs="Calibri"/>
          <w:color w:val="000000"/>
          <w:szCs w:val="22"/>
        </w:rPr>
        <w:t>182.5)+</w:t>
      </w:r>
      <w:proofErr w:type="gramEnd"/>
      <w:r w:rsidRPr="0009578B">
        <w:rPr>
          <w:rFonts w:ascii="Calibri" w:hAnsi="Calibri" w:cs="Calibri"/>
          <w:color w:val="000000"/>
          <w:szCs w:val="22"/>
        </w:rPr>
        <w:t>0.356(</w:t>
      </w:r>
      <w:proofErr w:type="gramStart"/>
      <w:r w:rsidRPr="0009578B">
        <w:rPr>
          <w:rFonts w:ascii="Calibri" w:hAnsi="Calibri" w:cs="Calibri"/>
          <w:color w:val="000000"/>
          <w:szCs w:val="22"/>
        </w:rPr>
        <w:t>273.75)+</w:t>
      </w:r>
      <w:proofErr w:type="gramEnd"/>
      <w:r w:rsidRPr="0009578B">
        <w:rPr>
          <w:rFonts w:ascii="Calibri" w:hAnsi="Calibri" w:cs="Calibri"/>
          <w:color w:val="000000"/>
          <w:szCs w:val="22"/>
        </w:rPr>
        <w:t>0.044(</w:t>
      </w:r>
      <w:proofErr w:type="gramStart"/>
      <w:r w:rsidRPr="0009578B">
        <w:rPr>
          <w:rFonts w:ascii="Calibri" w:hAnsi="Calibri" w:cs="Calibri"/>
          <w:color w:val="000000"/>
          <w:szCs w:val="22"/>
        </w:rPr>
        <w:t>365)=</w:t>
      </w:r>
      <w:proofErr w:type="gramEnd"/>
      <w:r w:rsidRPr="0009578B">
        <w:rPr>
          <w:rFonts w:ascii="Calibri" w:hAnsi="Calibri" w:cs="Calibri"/>
          <w:color w:val="000000"/>
          <w:szCs w:val="22"/>
        </w:rPr>
        <w:t>196.03 days</w:t>
      </w:r>
    </w:p>
    <w:p w14:paraId="6AD0C499"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Exponential parameter</w:t>
      </w:r>
    </w:p>
    <w:p w14:paraId="661318F1"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λ=1/196=0.00510</w:t>
      </w:r>
    </w:p>
    <w:p w14:paraId="05B0BD08"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1-year persistence</w:t>
      </w:r>
    </w:p>
    <w:p w14:paraId="68508976" w14:textId="77777777" w:rsidR="0009578B" w:rsidRPr="0009578B" w:rsidRDefault="0009578B" w:rsidP="0009578B">
      <w:pPr>
        <w:rPr>
          <w:rFonts w:ascii="Calibri" w:hAnsi="Calibri" w:cs="Calibri"/>
          <w:color w:val="000000"/>
          <w:szCs w:val="22"/>
        </w:rPr>
      </w:pPr>
      <w:r w:rsidRPr="0009578B">
        <w:rPr>
          <w:rFonts w:ascii="Calibri" w:hAnsi="Calibri" w:cs="Calibri"/>
          <w:color w:val="000000"/>
          <w:szCs w:val="22"/>
        </w:rPr>
        <w:t>P(T&gt;</w:t>
      </w:r>
      <w:proofErr w:type="gramStart"/>
      <w:r w:rsidRPr="0009578B">
        <w:rPr>
          <w:rFonts w:ascii="Calibri" w:hAnsi="Calibri" w:cs="Calibri"/>
          <w:color w:val="000000"/>
          <w:szCs w:val="22"/>
        </w:rPr>
        <w:t>365)=</w:t>
      </w:r>
      <w:proofErr w:type="gramEnd"/>
      <w:r w:rsidRPr="0009578B">
        <w:rPr>
          <w:rFonts w:ascii="Calibri" w:hAnsi="Calibri" w:cs="Calibri"/>
          <w:color w:val="000000"/>
          <w:szCs w:val="22"/>
        </w:rPr>
        <w:t>e−0.00510</w:t>
      </w:r>
      <w:r w:rsidRPr="0009578B">
        <w:rPr>
          <w:rFonts w:ascii="Cambria Math" w:hAnsi="Cambria Math" w:cs="Calibri"/>
          <w:color w:val="000000"/>
          <w:szCs w:val="22"/>
        </w:rPr>
        <w:t>⋅</w:t>
      </w:r>
      <w:r w:rsidRPr="0009578B">
        <w:rPr>
          <w:rFonts w:ascii="Calibri" w:hAnsi="Calibri" w:cs="Calibri"/>
          <w:color w:val="000000"/>
          <w:szCs w:val="22"/>
        </w:rPr>
        <w:t>365=0.155</w:t>
      </w:r>
    </w:p>
    <w:p w14:paraId="74B65E7D" w14:textId="77777777" w:rsidR="0009578B" w:rsidRPr="0009578B" w:rsidRDefault="0009578B" w:rsidP="0009578B">
      <w:pPr>
        <w:rPr>
          <w:rFonts w:ascii="Calibri" w:hAnsi="Calibri" w:cs="Calibri"/>
          <w:color w:val="000000"/>
          <w:szCs w:val="22"/>
        </w:rPr>
      </w:pPr>
      <w:r w:rsidRPr="0009578B">
        <w:rPr>
          <w:rFonts w:ascii="Calibri" w:hAnsi="Calibri" w:cs="Calibri"/>
          <w:b/>
          <w:bCs/>
          <w:color w:val="000000"/>
          <w:szCs w:val="22"/>
        </w:rPr>
        <w:t>Estimated 1-year persistence: 15.5%.</w:t>
      </w:r>
    </w:p>
    <w:p w14:paraId="1353CD76" w14:textId="77777777" w:rsidR="0009578B" w:rsidRPr="0009578B" w:rsidRDefault="0009578B" w:rsidP="0009578B">
      <w:pPr>
        <w:rPr>
          <w:rFonts w:ascii="Calibri" w:hAnsi="Calibri" w:cs="Calibri"/>
          <w:szCs w:val="22"/>
        </w:rPr>
      </w:pPr>
      <w:r w:rsidRPr="0009578B">
        <w:rPr>
          <w:rFonts w:ascii="Calibri" w:hAnsi="Calibri" w:cs="Calibri"/>
          <w:szCs w:val="22"/>
        </w:rPr>
        <w:t> </w:t>
      </w:r>
    </w:p>
    <w:p w14:paraId="10FDD8A6" w14:textId="77777777" w:rsidR="0009578B" w:rsidRPr="0009578B" w:rsidRDefault="0009578B" w:rsidP="0009578B">
      <w:pPr>
        <w:rPr>
          <w:rFonts w:ascii="Calibri" w:hAnsi="Calibri" w:cs="Calibri"/>
          <w:color w:val="000000"/>
          <w:sz w:val="40"/>
          <w:szCs w:val="40"/>
        </w:rPr>
      </w:pPr>
      <w:r w:rsidRPr="0009578B">
        <w:rPr>
          <w:rFonts w:ascii="Calibri" w:hAnsi="Calibri" w:cs="Calibri"/>
          <w:b/>
          <w:bCs/>
          <w:color w:val="000000"/>
          <w:sz w:val="40"/>
          <w:szCs w:val="40"/>
        </w:rPr>
        <w:t>Summary of Results Across the Three Studies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516"/>
        <w:gridCol w:w="2494"/>
        <w:gridCol w:w="1155"/>
        <w:gridCol w:w="1005"/>
      </w:tblGrid>
      <w:tr w:rsidR="0009578B" w:rsidRPr="0009578B" w14:paraId="332C86AE" w14:textId="77777777">
        <w:tc>
          <w:tcPr>
            <w:tcW w:w="2490" w:type="dxa"/>
            <w:tcBorders>
              <w:top w:val="nil"/>
              <w:left w:val="nil"/>
              <w:bottom w:val="nil"/>
              <w:right w:val="nil"/>
            </w:tcBorders>
            <w:tcMar>
              <w:top w:w="40" w:type="dxa"/>
              <w:left w:w="60" w:type="dxa"/>
              <w:bottom w:w="40" w:type="dxa"/>
              <w:right w:w="60" w:type="dxa"/>
            </w:tcMar>
            <w:hideMark/>
          </w:tcPr>
          <w:p w14:paraId="756D154B" w14:textId="77777777" w:rsidR="0009578B" w:rsidRPr="0009578B" w:rsidRDefault="0009578B" w:rsidP="0009578B">
            <w:pPr>
              <w:rPr>
                <w:rFonts w:ascii="Calibri" w:hAnsi="Calibri" w:cs="Calibri"/>
                <w:szCs w:val="22"/>
              </w:rPr>
            </w:pPr>
            <w:r w:rsidRPr="0009578B">
              <w:rPr>
                <w:rFonts w:ascii="Calibri" w:hAnsi="Calibri" w:cs="Calibri"/>
                <w:b/>
                <w:bCs/>
                <w:szCs w:val="22"/>
              </w:rPr>
              <w:t>Study</w:t>
            </w:r>
          </w:p>
        </w:tc>
        <w:tc>
          <w:tcPr>
            <w:tcW w:w="2467" w:type="dxa"/>
            <w:tcBorders>
              <w:top w:val="nil"/>
              <w:left w:val="nil"/>
              <w:bottom w:val="nil"/>
              <w:right w:val="nil"/>
            </w:tcBorders>
            <w:tcMar>
              <w:top w:w="40" w:type="dxa"/>
              <w:left w:w="60" w:type="dxa"/>
              <w:bottom w:w="40" w:type="dxa"/>
              <w:right w:w="60" w:type="dxa"/>
            </w:tcMar>
            <w:hideMark/>
          </w:tcPr>
          <w:p w14:paraId="74D6D8E7" w14:textId="77777777" w:rsidR="0009578B" w:rsidRPr="0009578B" w:rsidRDefault="0009578B" w:rsidP="0009578B">
            <w:pPr>
              <w:rPr>
                <w:rFonts w:ascii="Calibri" w:hAnsi="Calibri" w:cs="Calibri"/>
                <w:szCs w:val="22"/>
              </w:rPr>
            </w:pPr>
            <w:r w:rsidRPr="0009578B">
              <w:rPr>
                <w:rFonts w:ascii="Calibri" w:hAnsi="Calibri" w:cs="Calibri"/>
                <w:b/>
                <w:bCs/>
                <w:szCs w:val="22"/>
              </w:rPr>
              <w:t>Mean Duration (days)</w:t>
            </w:r>
          </w:p>
        </w:tc>
        <w:tc>
          <w:tcPr>
            <w:tcW w:w="1126" w:type="dxa"/>
            <w:tcBorders>
              <w:top w:val="nil"/>
              <w:left w:val="nil"/>
              <w:bottom w:val="nil"/>
              <w:right w:val="nil"/>
            </w:tcBorders>
            <w:tcMar>
              <w:top w:w="40" w:type="dxa"/>
              <w:left w:w="60" w:type="dxa"/>
              <w:bottom w:w="40" w:type="dxa"/>
              <w:right w:w="60" w:type="dxa"/>
            </w:tcMar>
            <w:hideMark/>
          </w:tcPr>
          <w:p w14:paraId="714BFD17" w14:textId="77777777" w:rsidR="0009578B" w:rsidRPr="0009578B" w:rsidRDefault="0009578B" w:rsidP="0009578B">
            <w:pPr>
              <w:rPr>
                <w:rFonts w:ascii="Calibri" w:hAnsi="Calibri" w:cs="Calibri"/>
                <w:szCs w:val="22"/>
              </w:rPr>
            </w:pPr>
            <w:r w:rsidRPr="0009578B">
              <w:rPr>
                <w:rFonts w:ascii="Calibri" w:hAnsi="Calibri" w:cs="Calibri"/>
                <w:b/>
                <w:bCs/>
                <w:szCs w:val="22"/>
              </w:rPr>
              <w:t>λ</w:t>
            </w:r>
          </w:p>
        </w:tc>
        <w:tc>
          <w:tcPr>
            <w:tcW w:w="1005" w:type="dxa"/>
            <w:tcBorders>
              <w:top w:val="nil"/>
              <w:left w:val="nil"/>
              <w:bottom w:val="nil"/>
              <w:right w:val="nil"/>
            </w:tcBorders>
            <w:tcMar>
              <w:top w:w="40" w:type="dxa"/>
              <w:left w:w="60" w:type="dxa"/>
              <w:bottom w:w="40" w:type="dxa"/>
              <w:right w:w="60" w:type="dxa"/>
            </w:tcMar>
            <w:hideMark/>
          </w:tcPr>
          <w:p w14:paraId="0B396035" w14:textId="77777777" w:rsidR="0009578B" w:rsidRPr="0009578B" w:rsidRDefault="0009578B" w:rsidP="0009578B">
            <w:pPr>
              <w:rPr>
                <w:rFonts w:ascii="Calibri" w:hAnsi="Calibri" w:cs="Calibri"/>
                <w:szCs w:val="22"/>
              </w:rPr>
            </w:pPr>
            <w:r w:rsidRPr="0009578B">
              <w:rPr>
                <w:rFonts w:ascii="Calibri" w:hAnsi="Calibri" w:cs="Calibri"/>
                <w:b/>
                <w:bCs/>
                <w:szCs w:val="22"/>
              </w:rPr>
              <w:t>P(T&gt;365)</w:t>
            </w:r>
          </w:p>
        </w:tc>
      </w:tr>
      <w:tr w:rsidR="0009578B" w:rsidRPr="0009578B" w14:paraId="7B88F5B1" w14:textId="77777777">
        <w:tc>
          <w:tcPr>
            <w:tcW w:w="2490" w:type="dxa"/>
            <w:tcBorders>
              <w:top w:val="nil"/>
              <w:left w:val="nil"/>
              <w:bottom w:val="nil"/>
              <w:right w:val="nil"/>
            </w:tcBorders>
            <w:tcMar>
              <w:top w:w="40" w:type="dxa"/>
              <w:left w:w="60" w:type="dxa"/>
              <w:bottom w:w="40" w:type="dxa"/>
              <w:right w:w="60" w:type="dxa"/>
            </w:tcMar>
            <w:hideMark/>
          </w:tcPr>
          <w:p w14:paraId="4E37883E" w14:textId="77777777" w:rsidR="0009578B" w:rsidRPr="0009578B" w:rsidRDefault="0009578B" w:rsidP="0009578B">
            <w:pPr>
              <w:rPr>
                <w:rFonts w:ascii="Calibri" w:hAnsi="Calibri" w:cs="Calibri"/>
                <w:szCs w:val="22"/>
              </w:rPr>
            </w:pPr>
            <w:r w:rsidRPr="0009578B">
              <w:rPr>
                <w:rFonts w:ascii="Calibri" w:hAnsi="Calibri" w:cs="Calibri"/>
                <w:szCs w:val="22"/>
              </w:rPr>
              <w:t>JAMA IM – overall</w:t>
            </w:r>
          </w:p>
        </w:tc>
        <w:tc>
          <w:tcPr>
            <w:tcW w:w="2467" w:type="dxa"/>
            <w:tcBorders>
              <w:top w:val="nil"/>
              <w:left w:val="nil"/>
              <w:bottom w:val="nil"/>
              <w:right w:val="nil"/>
            </w:tcBorders>
            <w:tcMar>
              <w:top w:w="40" w:type="dxa"/>
              <w:left w:w="60" w:type="dxa"/>
              <w:bottom w:w="40" w:type="dxa"/>
              <w:right w:w="60" w:type="dxa"/>
            </w:tcMar>
            <w:hideMark/>
          </w:tcPr>
          <w:p w14:paraId="437293DB" w14:textId="77777777" w:rsidR="0009578B" w:rsidRPr="0009578B" w:rsidRDefault="0009578B" w:rsidP="0009578B">
            <w:pPr>
              <w:rPr>
                <w:rFonts w:ascii="Calibri" w:hAnsi="Calibri" w:cs="Calibri"/>
                <w:szCs w:val="22"/>
              </w:rPr>
            </w:pPr>
            <w:r w:rsidRPr="0009578B">
              <w:rPr>
                <w:rFonts w:ascii="Calibri" w:hAnsi="Calibri" w:cs="Calibri"/>
                <w:szCs w:val="22"/>
              </w:rPr>
              <w:t>152.3</w:t>
            </w:r>
          </w:p>
        </w:tc>
        <w:tc>
          <w:tcPr>
            <w:tcW w:w="1155" w:type="dxa"/>
            <w:tcBorders>
              <w:top w:val="nil"/>
              <w:left w:val="nil"/>
              <w:bottom w:val="nil"/>
              <w:right w:val="nil"/>
            </w:tcBorders>
            <w:tcMar>
              <w:top w:w="40" w:type="dxa"/>
              <w:left w:w="60" w:type="dxa"/>
              <w:bottom w:w="40" w:type="dxa"/>
              <w:right w:w="60" w:type="dxa"/>
            </w:tcMar>
            <w:hideMark/>
          </w:tcPr>
          <w:p w14:paraId="1D9F1087" w14:textId="77777777" w:rsidR="0009578B" w:rsidRPr="0009578B" w:rsidRDefault="0009578B" w:rsidP="0009578B">
            <w:pPr>
              <w:rPr>
                <w:rFonts w:ascii="Calibri" w:hAnsi="Calibri" w:cs="Calibri"/>
                <w:szCs w:val="22"/>
              </w:rPr>
            </w:pPr>
            <w:r w:rsidRPr="0009578B">
              <w:rPr>
                <w:rFonts w:ascii="Calibri" w:hAnsi="Calibri" w:cs="Calibri"/>
                <w:szCs w:val="22"/>
              </w:rPr>
              <w:t>0.006565</w:t>
            </w:r>
          </w:p>
        </w:tc>
        <w:tc>
          <w:tcPr>
            <w:tcW w:w="855" w:type="dxa"/>
            <w:tcBorders>
              <w:top w:val="nil"/>
              <w:left w:val="nil"/>
              <w:bottom w:val="nil"/>
              <w:right w:val="nil"/>
            </w:tcBorders>
            <w:tcMar>
              <w:top w:w="40" w:type="dxa"/>
              <w:left w:w="60" w:type="dxa"/>
              <w:bottom w:w="40" w:type="dxa"/>
              <w:right w:w="60" w:type="dxa"/>
            </w:tcMar>
            <w:hideMark/>
          </w:tcPr>
          <w:p w14:paraId="7A49C7F5" w14:textId="77777777" w:rsidR="0009578B" w:rsidRPr="0009578B" w:rsidRDefault="0009578B" w:rsidP="0009578B">
            <w:pPr>
              <w:rPr>
                <w:rFonts w:ascii="Calibri" w:hAnsi="Calibri" w:cs="Calibri"/>
                <w:szCs w:val="22"/>
              </w:rPr>
            </w:pPr>
            <w:r w:rsidRPr="0009578B">
              <w:rPr>
                <w:rFonts w:ascii="Calibri" w:hAnsi="Calibri" w:cs="Calibri"/>
                <w:b/>
                <w:bCs/>
                <w:szCs w:val="22"/>
              </w:rPr>
              <w:t>9.2%</w:t>
            </w:r>
          </w:p>
        </w:tc>
      </w:tr>
      <w:tr w:rsidR="0009578B" w:rsidRPr="0009578B" w14:paraId="166E96FA" w14:textId="77777777">
        <w:tc>
          <w:tcPr>
            <w:tcW w:w="2516" w:type="dxa"/>
            <w:tcBorders>
              <w:top w:val="nil"/>
              <w:left w:val="nil"/>
              <w:bottom w:val="nil"/>
              <w:right w:val="nil"/>
            </w:tcBorders>
            <w:tcMar>
              <w:top w:w="40" w:type="dxa"/>
              <w:left w:w="60" w:type="dxa"/>
              <w:bottom w:w="40" w:type="dxa"/>
              <w:right w:w="60" w:type="dxa"/>
            </w:tcMar>
            <w:hideMark/>
          </w:tcPr>
          <w:p w14:paraId="50467286" w14:textId="77777777" w:rsidR="0009578B" w:rsidRPr="0009578B" w:rsidRDefault="0009578B" w:rsidP="0009578B">
            <w:pPr>
              <w:rPr>
                <w:rFonts w:ascii="Calibri" w:hAnsi="Calibri" w:cs="Calibri"/>
                <w:szCs w:val="22"/>
              </w:rPr>
            </w:pPr>
            <w:r w:rsidRPr="0009578B">
              <w:rPr>
                <w:rFonts w:ascii="Calibri" w:hAnsi="Calibri" w:cs="Calibri"/>
                <w:szCs w:val="22"/>
              </w:rPr>
              <w:t>JAMA IM – multi-fill only</w:t>
            </w:r>
          </w:p>
        </w:tc>
        <w:tc>
          <w:tcPr>
            <w:tcW w:w="2467" w:type="dxa"/>
            <w:tcBorders>
              <w:top w:val="nil"/>
              <w:left w:val="nil"/>
              <w:bottom w:val="nil"/>
              <w:right w:val="nil"/>
            </w:tcBorders>
            <w:tcMar>
              <w:top w:w="40" w:type="dxa"/>
              <w:left w:w="60" w:type="dxa"/>
              <w:bottom w:w="40" w:type="dxa"/>
              <w:right w:w="60" w:type="dxa"/>
            </w:tcMar>
            <w:hideMark/>
          </w:tcPr>
          <w:p w14:paraId="39A455D2" w14:textId="77777777" w:rsidR="0009578B" w:rsidRPr="0009578B" w:rsidRDefault="0009578B" w:rsidP="0009578B">
            <w:pPr>
              <w:rPr>
                <w:rFonts w:ascii="Calibri" w:hAnsi="Calibri" w:cs="Calibri"/>
                <w:szCs w:val="22"/>
              </w:rPr>
            </w:pPr>
            <w:r w:rsidRPr="0009578B">
              <w:rPr>
                <w:rFonts w:ascii="Calibri" w:hAnsi="Calibri" w:cs="Calibri"/>
                <w:szCs w:val="22"/>
              </w:rPr>
              <w:t>231.7</w:t>
            </w:r>
          </w:p>
        </w:tc>
        <w:tc>
          <w:tcPr>
            <w:tcW w:w="1155" w:type="dxa"/>
            <w:tcBorders>
              <w:top w:val="nil"/>
              <w:left w:val="nil"/>
              <w:bottom w:val="nil"/>
              <w:right w:val="nil"/>
            </w:tcBorders>
            <w:tcMar>
              <w:top w:w="40" w:type="dxa"/>
              <w:left w:w="60" w:type="dxa"/>
              <w:bottom w:w="40" w:type="dxa"/>
              <w:right w:w="60" w:type="dxa"/>
            </w:tcMar>
            <w:hideMark/>
          </w:tcPr>
          <w:p w14:paraId="707D3CA4" w14:textId="77777777" w:rsidR="0009578B" w:rsidRPr="0009578B" w:rsidRDefault="0009578B" w:rsidP="0009578B">
            <w:pPr>
              <w:rPr>
                <w:rFonts w:ascii="Calibri" w:hAnsi="Calibri" w:cs="Calibri"/>
                <w:szCs w:val="22"/>
              </w:rPr>
            </w:pPr>
            <w:r w:rsidRPr="0009578B">
              <w:rPr>
                <w:rFonts w:ascii="Calibri" w:hAnsi="Calibri" w:cs="Calibri"/>
                <w:szCs w:val="22"/>
              </w:rPr>
              <w:t>0.004313</w:t>
            </w:r>
          </w:p>
        </w:tc>
        <w:tc>
          <w:tcPr>
            <w:tcW w:w="855" w:type="dxa"/>
            <w:tcBorders>
              <w:top w:val="nil"/>
              <w:left w:val="nil"/>
              <w:bottom w:val="nil"/>
              <w:right w:val="nil"/>
            </w:tcBorders>
            <w:tcMar>
              <w:top w:w="40" w:type="dxa"/>
              <w:left w:w="60" w:type="dxa"/>
              <w:bottom w:w="40" w:type="dxa"/>
              <w:right w:w="60" w:type="dxa"/>
            </w:tcMar>
            <w:hideMark/>
          </w:tcPr>
          <w:p w14:paraId="0F8C5A3D" w14:textId="77777777" w:rsidR="0009578B" w:rsidRPr="0009578B" w:rsidRDefault="0009578B" w:rsidP="0009578B">
            <w:pPr>
              <w:rPr>
                <w:rFonts w:ascii="Calibri" w:hAnsi="Calibri" w:cs="Calibri"/>
                <w:szCs w:val="22"/>
              </w:rPr>
            </w:pPr>
            <w:r w:rsidRPr="0009578B">
              <w:rPr>
                <w:rFonts w:ascii="Calibri" w:hAnsi="Calibri" w:cs="Calibri"/>
                <w:b/>
                <w:bCs/>
                <w:szCs w:val="22"/>
              </w:rPr>
              <w:t>20.7%</w:t>
            </w:r>
          </w:p>
        </w:tc>
      </w:tr>
      <w:tr w:rsidR="0009578B" w:rsidRPr="0009578B" w14:paraId="15A99A42" w14:textId="77777777">
        <w:tc>
          <w:tcPr>
            <w:tcW w:w="2490" w:type="dxa"/>
            <w:tcBorders>
              <w:top w:val="nil"/>
              <w:left w:val="nil"/>
              <w:bottom w:val="nil"/>
              <w:right w:val="nil"/>
            </w:tcBorders>
            <w:tcMar>
              <w:top w:w="40" w:type="dxa"/>
              <w:left w:w="60" w:type="dxa"/>
              <w:bottom w:w="40" w:type="dxa"/>
              <w:right w:w="60" w:type="dxa"/>
            </w:tcMar>
            <w:hideMark/>
          </w:tcPr>
          <w:p w14:paraId="2BA2ACDE" w14:textId="77777777" w:rsidR="0009578B" w:rsidRPr="0009578B" w:rsidRDefault="0009578B" w:rsidP="0009578B">
            <w:pPr>
              <w:rPr>
                <w:rFonts w:ascii="Calibri" w:hAnsi="Calibri" w:cs="Calibri"/>
                <w:szCs w:val="22"/>
              </w:rPr>
            </w:pPr>
            <w:r w:rsidRPr="0009578B">
              <w:rPr>
                <w:rFonts w:ascii="Calibri" w:hAnsi="Calibri" w:cs="Calibri"/>
                <w:szCs w:val="22"/>
              </w:rPr>
              <w:t>OFID – refill survival</w:t>
            </w:r>
          </w:p>
        </w:tc>
        <w:tc>
          <w:tcPr>
            <w:tcW w:w="2494" w:type="dxa"/>
            <w:tcBorders>
              <w:top w:val="nil"/>
              <w:left w:val="nil"/>
              <w:bottom w:val="nil"/>
              <w:right w:val="nil"/>
            </w:tcBorders>
            <w:tcMar>
              <w:top w:w="40" w:type="dxa"/>
              <w:left w:w="60" w:type="dxa"/>
              <w:bottom w:w="40" w:type="dxa"/>
              <w:right w:w="60" w:type="dxa"/>
            </w:tcMar>
            <w:hideMark/>
          </w:tcPr>
          <w:p w14:paraId="1ACE9565" w14:textId="77777777" w:rsidR="0009578B" w:rsidRPr="0009578B" w:rsidRDefault="0009578B" w:rsidP="0009578B">
            <w:pPr>
              <w:rPr>
                <w:rFonts w:ascii="Calibri" w:hAnsi="Calibri" w:cs="Calibri"/>
                <w:szCs w:val="22"/>
              </w:rPr>
            </w:pPr>
            <w:r w:rsidRPr="0009578B">
              <w:rPr>
                <w:rFonts w:ascii="Calibri" w:hAnsi="Calibri" w:cs="Calibri"/>
                <w:szCs w:val="22"/>
              </w:rPr>
              <w:t>inferred from 6-mo data</w:t>
            </w:r>
          </w:p>
        </w:tc>
        <w:tc>
          <w:tcPr>
            <w:tcW w:w="1126" w:type="dxa"/>
            <w:tcBorders>
              <w:top w:val="nil"/>
              <w:left w:val="nil"/>
              <w:bottom w:val="nil"/>
              <w:right w:val="nil"/>
            </w:tcBorders>
            <w:tcMar>
              <w:top w:w="40" w:type="dxa"/>
              <w:left w:w="60" w:type="dxa"/>
              <w:bottom w:w="40" w:type="dxa"/>
              <w:right w:w="60" w:type="dxa"/>
            </w:tcMar>
            <w:hideMark/>
          </w:tcPr>
          <w:p w14:paraId="024607E1" w14:textId="77777777" w:rsidR="0009578B" w:rsidRPr="0009578B" w:rsidRDefault="0009578B" w:rsidP="0009578B">
            <w:pPr>
              <w:rPr>
                <w:rFonts w:ascii="Calibri" w:hAnsi="Calibri" w:cs="Calibri"/>
                <w:szCs w:val="22"/>
              </w:rPr>
            </w:pPr>
            <w:r w:rsidRPr="0009578B">
              <w:rPr>
                <w:rFonts w:ascii="Calibri" w:hAnsi="Calibri" w:cs="Calibri"/>
                <w:szCs w:val="22"/>
              </w:rPr>
              <w:t>0.00619</w:t>
            </w:r>
          </w:p>
        </w:tc>
        <w:tc>
          <w:tcPr>
            <w:tcW w:w="855" w:type="dxa"/>
            <w:tcBorders>
              <w:top w:val="nil"/>
              <w:left w:val="nil"/>
              <w:bottom w:val="nil"/>
              <w:right w:val="nil"/>
            </w:tcBorders>
            <w:tcMar>
              <w:top w:w="40" w:type="dxa"/>
              <w:left w:w="60" w:type="dxa"/>
              <w:bottom w:w="40" w:type="dxa"/>
              <w:right w:w="60" w:type="dxa"/>
            </w:tcMar>
            <w:hideMark/>
          </w:tcPr>
          <w:p w14:paraId="53A90174" w14:textId="77777777" w:rsidR="0009578B" w:rsidRPr="0009578B" w:rsidRDefault="0009578B" w:rsidP="0009578B">
            <w:pPr>
              <w:rPr>
                <w:rFonts w:ascii="Calibri" w:hAnsi="Calibri" w:cs="Calibri"/>
                <w:szCs w:val="22"/>
              </w:rPr>
            </w:pPr>
            <w:r w:rsidRPr="0009578B">
              <w:rPr>
                <w:rFonts w:ascii="Calibri" w:hAnsi="Calibri" w:cs="Calibri"/>
                <w:b/>
                <w:bCs/>
                <w:szCs w:val="22"/>
              </w:rPr>
              <w:t>10.4%</w:t>
            </w:r>
          </w:p>
        </w:tc>
      </w:tr>
      <w:tr w:rsidR="0009578B" w:rsidRPr="0009578B" w14:paraId="6EFDA110" w14:textId="77777777">
        <w:tc>
          <w:tcPr>
            <w:tcW w:w="2490" w:type="dxa"/>
            <w:tcBorders>
              <w:top w:val="nil"/>
              <w:left w:val="nil"/>
              <w:bottom w:val="nil"/>
              <w:right w:val="nil"/>
            </w:tcBorders>
            <w:tcMar>
              <w:top w:w="40" w:type="dxa"/>
              <w:left w:w="60" w:type="dxa"/>
              <w:bottom w:w="40" w:type="dxa"/>
              <w:right w:w="60" w:type="dxa"/>
            </w:tcMar>
            <w:hideMark/>
          </w:tcPr>
          <w:p w14:paraId="268F9BA9" w14:textId="77777777" w:rsidR="0009578B" w:rsidRPr="0009578B" w:rsidRDefault="0009578B" w:rsidP="0009578B">
            <w:pPr>
              <w:rPr>
                <w:rFonts w:ascii="Calibri" w:hAnsi="Calibri" w:cs="Calibri"/>
                <w:szCs w:val="22"/>
              </w:rPr>
            </w:pPr>
            <w:r w:rsidRPr="0009578B">
              <w:rPr>
                <w:rFonts w:ascii="Calibri" w:hAnsi="Calibri" w:cs="Calibri"/>
                <w:szCs w:val="22"/>
              </w:rPr>
              <w:t>OFID – refill distribution</w:t>
            </w:r>
          </w:p>
        </w:tc>
        <w:tc>
          <w:tcPr>
            <w:tcW w:w="2467" w:type="dxa"/>
            <w:tcBorders>
              <w:top w:val="nil"/>
              <w:left w:val="nil"/>
              <w:bottom w:val="nil"/>
              <w:right w:val="nil"/>
            </w:tcBorders>
            <w:tcMar>
              <w:top w:w="40" w:type="dxa"/>
              <w:left w:w="60" w:type="dxa"/>
              <w:bottom w:w="40" w:type="dxa"/>
              <w:right w:w="60" w:type="dxa"/>
            </w:tcMar>
            <w:hideMark/>
          </w:tcPr>
          <w:p w14:paraId="6E537962" w14:textId="77777777" w:rsidR="0009578B" w:rsidRPr="0009578B" w:rsidRDefault="0009578B" w:rsidP="0009578B">
            <w:pPr>
              <w:rPr>
                <w:rFonts w:ascii="Calibri" w:hAnsi="Calibri" w:cs="Calibri"/>
                <w:szCs w:val="22"/>
              </w:rPr>
            </w:pPr>
            <w:r w:rsidRPr="0009578B">
              <w:rPr>
                <w:rFonts w:ascii="Calibri" w:hAnsi="Calibri" w:cs="Calibri"/>
                <w:szCs w:val="22"/>
              </w:rPr>
              <w:t>196.0</w:t>
            </w:r>
          </w:p>
        </w:tc>
        <w:tc>
          <w:tcPr>
            <w:tcW w:w="1126" w:type="dxa"/>
            <w:tcBorders>
              <w:top w:val="nil"/>
              <w:left w:val="nil"/>
              <w:bottom w:val="nil"/>
              <w:right w:val="nil"/>
            </w:tcBorders>
            <w:tcMar>
              <w:top w:w="40" w:type="dxa"/>
              <w:left w:w="60" w:type="dxa"/>
              <w:bottom w:w="40" w:type="dxa"/>
              <w:right w:w="60" w:type="dxa"/>
            </w:tcMar>
            <w:hideMark/>
          </w:tcPr>
          <w:p w14:paraId="1364A063" w14:textId="77777777" w:rsidR="0009578B" w:rsidRPr="0009578B" w:rsidRDefault="0009578B" w:rsidP="0009578B">
            <w:pPr>
              <w:rPr>
                <w:rFonts w:ascii="Calibri" w:hAnsi="Calibri" w:cs="Calibri"/>
                <w:szCs w:val="22"/>
              </w:rPr>
            </w:pPr>
            <w:r w:rsidRPr="0009578B">
              <w:rPr>
                <w:rFonts w:ascii="Calibri" w:hAnsi="Calibri" w:cs="Calibri"/>
                <w:szCs w:val="22"/>
              </w:rPr>
              <w:t>0.00510</w:t>
            </w:r>
          </w:p>
        </w:tc>
        <w:tc>
          <w:tcPr>
            <w:tcW w:w="855" w:type="dxa"/>
            <w:tcBorders>
              <w:top w:val="nil"/>
              <w:left w:val="nil"/>
              <w:bottom w:val="nil"/>
              <w:right w:val="nil"/>
            </w:tcBorders>
            <w:tcMar>
              <w:top w:w="40" w:type="dxa"/>
              <w:left w:w="60" w:type="dxa"/>
              <w:bottom w:w="40" w:type="dxa"/>
              <w:right w:w="60" w:type="dxa"/>
            </w:tcMar>
            <w:hideMark/>
          </w:tcPr>
          <w:p w14:paraId="1669AC24" w14:textId="77777777" w:rsidR="0009578B" w:rsidRPr="0009578B" w:rsidRDefault="0009578B" w:rsidP="0009578B">
            <w:pPr>
              <w:rPr>
                <w:rFonts w:ascii="Calibri" w:hAnsi="Calibri" w:cs="Calibri"/>
                <w:szCs w:val="22"/>
              </w:rPr>
            </w:pPr>
            <w:r w:rsidRPr="0009578B">
              <w:rPr>
                <w:rFonts w:ascii="Calibri" w:hAnsi="Calibri" w:cs="Calibri"/>
                <w:b/>
                <w:bCs/>
                <w:szCs w:val="22"/>
              </w:rPr>
              <w:t>15.5%</w:t>
            </w:r>
          </w:p>
        </w:tc>
      </w:tr>
    </w:tbl>
    <w:p w14:paraId="1318E7AA" w14:textId="77777777" w:rsidR="00A53A89" w:rsidRDefault="00A53A89"/>
    <w:sectPr w:rsidR="00A53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0112"/>
    <w:multiLevelType w:val="multilevel"/>
    <w:tmpl w:val="7114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A57A91"/>
    <w:multiLevelType w:val="multilevel"/>
    <w:tmpl w:val="01E2BD4E"/>
    <w:lvl w:ilvl="0">
      <w:start w:val="1"/>
      <w:numFmt w:val="decimal"/>
      <w:pStyle w:val="Heading1"/>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582A0F9F"/>
    <w:multiLevelType w:val="multilevel"/>
    <w:tmpl w:val="ED1C04D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B544A9C"/>
    <w:multiLevelType w:val="multilevel"/>
    <w:tmpl w:val="7840B5DC"/>
    <w:lvl w:ilvl="0">
      <w:start w:val="1"/>
      <w:numFmt w:val="decimal"/>
      <w:pStyle w:val="pk-heading2"/>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04456592">
    <w:abstractNumId w:val="3"/>
  </w:num>
  <w:num w:numId="2" w16cid:durableId="2001957101">
    <w:abstractNumId w:val="1"/>
  </w:num>
  <w:num w:numId="3" w16cid:durableId="756487531">
    <w:abstractNumId w:val="1"/>
  </w:num>
  <w:num w:numId="4" w16cid:durableId="1135559157">
    <w:abstractNumId w:val="1"/>
  </w:num>
  <w:num w:numId="5" w16cid:durableId="230774828">
    <w:abstractNumId w:val="1"/>
  </w:num>
  <w:num w:numId="6" w16cid:durableId="400568982">
    <w:abstractNumId w:val="1"/>
  </w:num>
  <w:num w:numId="7" w16cid:durableId="1014537">
    <w:abstractNumId w:val="1"/>
  </w:num>
  <w:num w:numId="8" w16cid:durableId="445197601">
    <w:abstractNumId w:val="2"/>
  </w:num>
  <w:num w:numId="9" w16cid:durableId="1890529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78B"/>
    <w:rsid w:val="00001E58"/>
    <w:rsid w:val="00035AA8"/>
    <w:rsid w:val="00052732"/>
    <w:rsid w:val="00070153"/>
    <w:rsid w:val="0009578B"/>
    <w:rsid w:val="000A1117"/>
    <w:rsid w:val="000A3760"/>
    <w:rsid w:val="000E3942"/>
    <w:rsid w:val="001031DC"/>
    <w:rsid w:val="0013273D"/>
    <w:rsid w:val="00136A75"/>
    <w:rsid w:val="001917E4"/>
    <w:rsid w:val="001B592A"/>
    <w:rsid w:val="001E3F66"/>
    <w:rsid w:val="00216989"/>
    <w:rsid w:val="002200AC"/>
    <w:rsid w:val="00233EF9"/>
    <w:rsid w:val="0026236C"/>
    <w:rsid w:val="002854D3"/>
    <w:rsid w:val="002A4DC3"/>
    <w:rsid w:val="002C15FC"/>
    <w:rsid w:val="002D77B3"/>
    <w:rsid w:val="002E124A"/>
    <w:rsid w:val="002E3795"/>
    <w:rsid w:val="002E75B3"/>
    <w:rsid w:val="00320651"/>
    <w:rsid w:val="003275A5"/>
    <w:rsid w:val="0033114F"/>
    <w:rsid w:val="00332EC6"/>
    <w:rsid w:val="00341861"/>
    <w:rsid w:val="00356E6F"/>
    <w:rsid w:val="00375AD9"/>
    <w:rsid w:val="003A5EE9"/>
    <w:rsid w:val="003B61C7"/>
    <w:rsid w:val="003B6A07"/>
    <w:rsid w:val="0042619D"/>
    <w:rsid w:val="0044689F"/>
    <w:rsid w:val="0047730A"/>
    <w:rsid w:val="004A1D63"/>
    <w:rsid w:val="004B23CE"/>
    <w:rsid w:val="004B3B29"/>
    <w:rsid w:val="004D7267"/>
    <w:rsid w:val="004F1880"/>
    <w:rsid w:val="00534CE3"/>
    <w:rsid w:val="00541A8D"/>
    <w:rsid w:val="00587DE1"/>
    <w:rsid w:val="005A429C"/>
    <w:rsid w:val="005E2400"/>
    <w:rsid w:val="005F68F0"/>
    <w:rsid w:val="006068D7"/>
    <w:rsid w:val="00652524"/>
    <w:rsid w:val="006802CE"/>
    <w:rsid w:val="00680F7F"/>
    <w:rsid w:val="00691EE3"/>
    <w:rsid w:val="006B2C3E"/>
    <w:rsid w:val="006D43BB"/>
    <w:rsid w:val="006D56A3"/>
    <w:rsid w:val="006D5DB8"/>
    <w:rsid w:val="006E431F"/>
    <w:rsid w:val="006E74F1"/>
    <w:rsid w:val="00706A13"/>
    <w:rsid w:val="007250BC"/>
    <w:rsid w:val="00736061"/>
    <w:rsid w:val="00751A02"/>
    <w:rsid w:val="007700EB"/>
    <w:rsid w:val="00785448"/>
    <w:rsid w:val="00790981"/>
    <w:rsid w:val="007B201F"/>
    <w:rsid w:val="007B2E1D"/>
    <w:rsid w:val="007E7BFD"/>
    <w:rsid w:val="00820355"/>
    <w:rsid w:val="00842126"/>
    <w:rsid w:val="00890D34"/>
    <w:rsid w:val="00896929"/>
    <w:rsid w:val="008C2D31"/>
    <w:rsid w:val="008D4547"/>
    <w:rsid w:val="008D67FA"/>
    <w:rsid w:val="008E5126"/>
    <w:rsid w:val="008E6A9A"/>
    <w:rsid w:val="00916431"/>
    <w:rsid w:val="009E0871"/>
    <w:rsid w:val="009E1A87"/>
    <w:rsid w:val="009E4BDC"/>
    <w:rsid w:val="009E74E3"/>
    <w:rsid w:val="009F4DB4"/>
    <w:rsid w:val="00A53A89"/>
    <w:rsid w:val="00A54C2A"/>
    <w:rsid w:val="00A56138"/>
    <w:rsid w:val="00A744BE"/>
    <w:rsid w:val="00A92CF2"/>
    <w:rsid w:val="00AA09DA"/>
    <w:rsid w:val="00AD7AAA"/>
    <w:rsid w:val="00AD7CBE"/>
    <w:rsid w:val="00AE2923"/>
    <w:rsid w:val="00B568B2"/>
    <w:rsid w:val="00B925DC"/>
    <w:rsid w:val="00BA071C"/>
    <w:rsid w:val="00BC7533"/>
    <w:rsid w:val="00BD3169"/>
    <w:rsid w:val="00BF3A5B"/>
    <w:rsid w:val="00BF4A2C"/>
    <w:rsid w:val="00C15372"/>
    <w:rsid w:val="00C547CB"/>
    <w:rsid w:val="00C5584D"/>
    <w:rsid w:val="00C80FDF"/>
    <w:rsid w:val="00C91146"/>
    <w:rsid w:val="00C94B78"/>
    <w:rsid w:val="00C96346"/>
    <w:rsid w:val="00CA419E"/>
    <w:rsid w:val="00CA683A"/>
    <w:rsid w:val="00CE164B"/>
    <w:rsid w:val="00CE675B"/>
    <w:rsid w:val="00CE7C83"/>
    <w:rsid w:val="00D07F8B"/>
    <w:rsid w:val="00D233AA"/>
    <w:rsid w:val="00D23B42"/>
    <w:rsid w:val="00D5326A"/>
    <w:rsid w:val="00D94EFA"/>
    <w:rsid w:val="00D974CB"/>
    <w:rsid w:val="00E058EB"/>
    <w:rsid w:val="00E17F9C"/>
    <w:rsid w:val="00E23E7C"/>
    <w:rsid w:val="00E2551C"/>
    <w:rsid w:val="00E362EE"/>
    <w:rsid w:val="00EA390A"/>
    <w:rsid w:val="00EB761F"/>
    <w:rsid w:val="00F15686"/>
    <w:rsid w:val="00F96C16"/>
    <w:rsid w:val="00FB4A7A"/>
    <w:rsid w:val="00FC0F42"/>
    <w:rsid w:val="00FD7CD5"/>
    <w:rsid w:val="00FE7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328A36E"/>
  <w15:chartTrackingRefBased/>
  <w15:docId w15:val="{BB06EF64-4BDF-6449-B166-5484EBDB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FD"/>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5A429C"/>
    <w:pPr>
      <w:keepNext/>
      <w:keepLines/>
      <w:numPr>
        <w:numId w:val="7"/>
      </w:numPr>
      <w:spacing w:before="120" w:after="12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5A429C"/>
    <w:pPr>
      <w:keepNext/>
      <w:keepLines/>
      <w:numPr>
        <w:ilvl w:val="1"/>
        <w:numId w:val="8"/>
      </w:numPr>
      <w:spacing w:before="160" w:after="80"/>
      <w:ind w:left="576" w:hanging="576"/>
      <w:outlineLvl w:val="1"/>
    </w:pPr>
    <w:rPr>
      <w:rFonts w:eastAsiaTheme="majorEastAsia" w:cstheme="majorBidi"/>
      <w:b/>
      <w:color w:val="0F4761" w:themeColor="accent1" w:themeShade="BF"/>
      <w:sz w:val="24"/>
      <w:szCs w:val="32"/>
    </w:rPr>
  </w:style>
  <w:style w:type="paragraph" w:styleId="Heading3">
    <w:name w:val="heading 3"/>
    <w:basedOn w:val="Normal"/>
    <w:next w:val="Normal"/>
    <w:link w:val="Heading3Char"/>
    <w:autoRedefine/>
    <w:uiPriority w:val="9"/>
    <w:semiHidden/>
    <w:unhideWhenUsed/>
    <w:qFormat/>
    <w:rsid w:val="005A429C"/>
    <w:pPr>
      <w:keepNext/>
      <w:keepLines/>
      <w:numPr>
        <w:ilvl w:val="2"/>
        <w:numId w:val="7"/>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957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57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57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57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57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57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k-heading2">
    <w:name w:val="pk-heading2"/>
    <w:basedOn w:val="Normal"/>
    <w:autoRedefine/>
    <w:qFormat/>
    <w:rsid w:val="005A429C"/>
    <w:pPr>
      <w:numPr>
        <w:numId w:val="1"/>
      </w:numPr>
    </w:pPr>
    <w:rPr>
      <w:b/>
    </w:rPr>
  </w:style>
  <w:style w:type="character" w:customStyle="1" w:styleId="Heading1Char">
    <w:name w:val="Heading 1 Char"/>
    <w:basedOn w:val="DefaultParagraphFont"/>
    <w:link w:val="Heading1"/>
    <w:uiPriority w:val="9"/>
    <w:rsid w:val="005A429C"/>
    <w:rPr>
      <w:rFonts w:asciiTheme="minorBidi" w:eastAsiaTheme="majorEastAsia" w:hAnsiTheme="minorBidi" w:cstheme="majorBidi"/>
      <w:b/>
      <w:color w:val="000000" w:themeColor="text1"/>
      <w:sz w:val="28"/>
      <w:szCs w:val="40"/>
    </w:rPr>
  </w:style>
  <w:style w:type="character" w:customStyle="1" w:styleId="Heading2Char">
    <w:name w:val="Heading 2 Char"/>
    <w:basedOn w:val="DefaultParagraphFont"/>
    <w:link w:val="Heading2"/>
    <w:uiPriority w:val="9"/>
    <w:rsid w:val="005A429C"/>
    <w:rPr>
      <w:rFonts w:asciiTheme="minorBidi" w:eastAsiaTheme="majorEastAsia" w:hAnsiTheme="minorBidi" w:cstheme="majorBidi"/>
      <w:b/>
      <w:color w:val="0F4761" w:themeColor="accent1" w:themeShade="BF"/>
      <w:szCs w:val="32"/>
    </w:rPr>
  </w:style>
  <w:style w:type="character" w:customStyle="1" w:styleId="Heading3Char">
    <w:name w:val="Heading 3 Char"/>
    <w:basedOn w:val="DefaultParagraphFont"/>
    <w:link w:val="Heading3"/>
    <w:uiPriority w:val="9"/>
    <w:semiHidden/>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09578B"/>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09578B"/>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09578B"/>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09578B"/>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09578B"/>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09578B"/>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0957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78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957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78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957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578B"/>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09578B"/>
    <w:pPr>
      <w:ind w:left="720"/>
      <w:contextualSpacing/>
    </w:pPr>
  </w:style>
  <w:style w:type="character" w:styleId="IntenseEmphasis">
    <w:name w:val="Intense Emphasis"/>
    <w:basedOn w:val="DefaultParagraphFont"/>
    <w:uiPriority w:val="21"/>
    <w:qFormat/>
    <w:rsid w:val="0009578B"/>
    <w:rPr>
      <w:i/>
      <w:iCs/>
      <w:color w:val="0F4761" w:themeColor="accent1" w:themeShade="BF"/>
    </w:rPr>
  </w:style>
  <w:style w:type="paragraph" w:styleId="IntenseQuote">
    <w:name w:val="Intense Quote"/>
    <w:basedOn w:val="Normal"/>
    <w:next w:val="Normal"/>
    <w:link w:val="IntenseQuoteChar"/>
    <w:uiPriority w:val="30"/>
    <w:qFormat/>
    <w:rsid w:val="00095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78B"/>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09578B"/>
    <w:rPr>
      <w:b/>
      <w:bCs/>
      <w:smallCaps/>
      <w:color w:val="0F4761" w:themeColor="accent1" w:themeShade="BF"/>
      <w:spacing w:val="5"/>
    </w:rPr>
  </w:style>
  <w:style w:type="paragraph" w:styleId="NormalWeb">
    <w:name w:val="Normal (Web)"/>
    <w:basedOn w:val="Normal"/>
    <w:uiPriority w:val="99"/>
    <w:semiHidden/>
    <w:unhideWhenUsed/>
    <w:rsid w:val="0009578B"/>
    <w:pPr>
      <w:spacing w:before="100" w:beforeAutospacing="1" w:after="100" w:afterAutospacing="1"/>
    </w:pPr>
    <w:rPr>
      <w:rFonts w:ascii="Times New Roman" w:hAnsi="Times New Roman"/>
      <w:sz w:val="24"/>
    </w:rPr>
  </w:style>
  <w:style w:type="character" w:styleId="Hyperlink">
    <w:name w:val="Hyperlink"/>
    <w:basedOn w:val="DefaultParagraphFont"/>
    <w:uiPriority w:val="99"/>
    <w:semiHidden/>
    <w:unhideWhenUsed/>
    <w:rsid w:val="000957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ademic.oup.com/ofid/article/12/2/ofaf062/79904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ademic.oup.com/ofid/article/12/3/ofaf089/8015747" TargetMode="External"/><Relationship Id="rId5" Type="http://schemas.openxmlformats.org/officeDocument/2006/relationships/hyperlink" Target="https://jamanetwork.com/journals/jamainternalmedicine/fullarticle/282899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2297</Characters>
  <Application>Microsoft Office Word</Application>
  <DocSecurity>0</DocSecurity>
  <Lines>37</Lines>
  <Paragraphs>16</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1</cp:revision>
  <dcterms:created xsi:type="dcterms:W3CDTF">2025-12-17T19:39:00Z</dcterms:created>
  <dcterms:modified xsi:type="dcterms:W3CDTF">2025-12-17T19:39:00Z</dcterms:modified>
</cp:coreProperties>
</file>