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B0A64" w14:textId="152F3141" w:rsidR="00B50DC7" w:rsidRDefault="00B50DC7" w:rsidP="00B50DC7">
      <w:pPr>
        <w:pStyle w:val="Heading1"/>
      </w:pPr>
      <w:r>
        <w:t>Initial population</w:t>
      </w:r>
    </w:p>
    <w:p w14:paraId="4F6EC02B" w14:textId="77777777" w:rsidR="00DF0103" w:rsidRPr="00DF0103" w:rsidRDefault="00DF0103" w:rsidP="00DF0103">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332D9A8E" w14:textId="3D573232" w:rsidR="00DF0103" w:rsidRPr="00DF0103" w:rsidRDefault="00DF0103" w:rsidP="00DF0103">
      <w:r w:rsidRPr="00DF0103">
        <w:rPr>
          <w:b/>
          <w:bCs/>
        </w:rPr>
        <w:t>Fixed Strata Year</w:t>
      </w:r>
      <w:r w:rsidRPr="00DF0103">
        <w:t>: Birth data begins in 2007, and deaths are reported in two time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3ABB7750" w14:textId="77777777" w:rsidR="00B06F73" w:rsidRPr="00B06F73" w:rsidRDefault="00B06F73" w:rsidP="00B06F73">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44DD1D24" w14:textId="77777777" w:rsidR="00B06F73" w:rsidRPr="00B06F73" w:rsidRDefault="00B06F73" w:rsidP="00B06F73">
      <w:r w:rsidRPr="00B06F73">
        <w:rPr>
          <w:b/>
          <w:bCs/>
        </w:rPr>
        <w:t>Determining MSM Population Size</w:t>
      </w:r>
      <w:r w:rsidRPr="00B06F73">
        <w:t>:</w:t>
      </w:r>
    </w:p>
    <w:p w14:paraId="71B3C930" w14:textId="77777777" w:rsidR="00B06F73" w:rsidRPr="00B06F73" w:rsidRDefault="00B06F73" w:rsidP="00B06F73">
      <w:r w:rsidRPr="00B06F73">
        <w:rPr>
          <w:b/>
          <w:bCs/>
        </w:rPr>
        <w:t>Proportion of MSM in the Male Population</w:t>
      </w:r>
      <w:r w:rsidRPr="00B06F73">
        <w:t>: We have two key data sources for estimating the MSM population size:</w:t>
      </w:r>
    </w:p>
    <w:p w14:paraId="4573C9E1" w14:textId="0D3200D1" w:rsidR="00F04380" w:rsidRDefault="00B06F73" w:rsidP="00F04380">
      <w:pPr>
        <w:pStyle w:val="ListParagraph"/>
        <w:numPr>
          <w:ilvl w:val="0"/>
          <w:numId w:val="40"/>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00F04380"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68970B99" w14:textId="028F105F" w:rsidR="00B06F73" w:rsidRPr="00B06F73" w:rsidRDefault="00B06F73" w:rsidP="00F04380">
      <w:pPr>
        <w:pStyle w:val="ListParagraph"/>
        <w:numPr>
          <w:ilvl w:val="0"/>
          <w:numId w:val="40"/>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224D1A19" w14:textId="02EEFB1E" w:rsidR="009249B2" w:rsidRDefault="009249B2" w:rsidP="009249B2">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5D18CB6D" w14:textId="454279F2" w:rsidR="009249B2" w:rsidRPr="009249B2" w:rsidRDefault="009249B2" w:rsidP="009249B2">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65BB2CBB" w14:textId="2D14F9D7" w:rsidR="003658CA" w:rsidRPr="003658CA" w:rsidRDefault="003658CA" w:rsidP="00F04380">
      <w:r w:rsidRPr="003658CA">
        <w:rPr>
          <w:b/>
          <w:bCs/>
        </w:rPr>
        <w:t>Adjusting Race Categories</w:t>
      </w:r>
      <w:r w:rsidRPr="003658CA">
        <w:t>: There's a slight complication in using BRFSS data because the race categories differ from those in the Census. Here’s how we handle the discrepancies:</w:t>
      </w:r>
    </w:p>
    <w:p w14:paraId="58B0014F" w14:textId="2799DD42" w:rsidR="003658CA" w:rsidRPr="003658CA" w:rsidRDefault="003658CA" w:rsidP="009249B2">
      <w:pPr>
        <w:pStyle w:val="ListParagraph"/>
        <w:numPr>
          <w:ilvl w:val="0"/>
          <w:numId w:val="45"/>
        </w:numPr>
      </w:pPr>
      <w:r w:rsidRPr="009249B2">
        <w:rPr>
          <w:b/>
          <w:bCs/>
        </w:rPr>
        <w:t>Flattening Race and Ethnicity</w:t>
      </w:r>
      <w:r w:rsidRPr="003658CA">
        <w:t>: We combine race and ethnicity into a single race category, resulting in five groups:</w:t>
      </w:r>
    </w:p>
    <w:p w14:paraId="732F2BCE" w14:textId="77777777" w:rsidR="003658CA" w:rsidRPr="003658CA" w:rsidRDefault="003658CA" w:rsidP="003658CA">
      <w:pPr>
        <w:pStyle w:val="ListParagraph"/>
        <w:numPr>
          <w:ilvl w:val="0"/>
          <w:numId w:val="43"/>
        </w:numPr>
      </w:pPr>
      <w:r w:rsidRPr="003658CA">
        <w:t>Hispanic</w:t>
      </w:r>
    </w:p>
    <w:p w14:paraId="73B0848E" w14:textId="77777777" w:rsidR="003658CA" w:rsidRPr="003658CA" w:rsidRDefault="003658CA" w:rsidP="003658CA">
      <w:pPr>
        <w:pStyle w:val="ListParagraph"/>
        <w:numPr>
          <w:ilvl w:val="0"/>
          <w:numId w:val="43"/>
        </w:numPr>
      </w:pPr>
      <w:r w:rsidRPr="003658CA">
        <w:t>American Indian or Alaska Native</w:t>
      </w:r>
    </w:p>
    <w:p w14:paraId="55DA2C34" w14:textId="77777777" w:rsidR="003658CA" w:rsidRPr="003658CA" w:rsidRDefault="003658CA" w:rsidP="003658CA">
      <w:pPr>
        <w:pStyle w:val="ListParagraph"/>
        <w:numPr>
          <w:ilvl w:val="0"/>
          <w:numId w:val="43"/>
        </w:numPr>
      </w:pPr>
      <w:r w:rsidRPr="003658CA">
        <w:t>Asian or Pacific Islander</w:t>
      </w:r>
    </w:p>
    <w:p w14:paraId="2DDEA108" w14:textId="77777777" w:rsidR="003658CA" w:rsidRPr="003658CA" w:rsidRDefault="003658CA" w:rsidP="003658CA">
      <w:pPr>
        <w:pStyle w:val="ListParagraph"/>
        <w:numPr>
          <w:ilvl w:val="0"/>
          <w:numId w:val="43"/>
        </w:numPr>
      </w:pPr>
      <w:r w:rsidRPr="003658CA">
        <w:t>Black</w:t>
      </w:r>
    </w:p>
    <w:p w14:paraId="50D47716" w14:textId="77777777" w:rsidR="003658CA" w:rsidRPr="003658CA" w:rsidRDefault="003658CA" w:rsidP="003658CA">
      <w:pPr>
        <w:pStyle w:val="ListParagraph"/>
        <w:numPr>
          <w:ilvl w:val="0"/>
          <w:numId w:val="43"/>
        </w:numPr>
      </w:pPr>
      <w:r w:rsidRPr="003658CA">
        <w:t>White</w:t>
      </w:r>
    </w:p>
    <w:p w14:paraId="01E97644" w14:textId="77777777" w:rsidR="003658CA" w:rsidRPr="003658CA" w:rsidRDefault="003658CA" w:rsidP="003658CA">
      <w:r w:rsidRPr="003658CA">
        <w:t>This structure aligns more closely with Census data, where Hispanic is treated as an ethnicity, and we create a single "Asian or Pacific Islander" category to match the available Census groupings.</w:t>
      </w:r>
    </w:p>
    <w:p w14:paraId="746AB810" w14:textId="77777777" w:rsidR="003658CA" w:rsidRPr="003658CA" w:rsidRDefault="003658CA" w:rsidP="009249B2">
      <w:pPr>
        <w:pStyle w:val="ListParagraph"/>
        <w:numPr>
          <w:ilvl w:val="0"/>
          <w:numId w:val="45"/>
        </w:numPr>
      </w:pPr>
      <w:r w:rsidRPr="009249B2">
        <w:rPr>
          <w:b/>
          <w:bCs/>
        </w:rPr>
        <w:lastRenderedPageBreak/>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3D2421D8" w14:textId="31ECFD26" w:rsidR="003658CA" w:rsidRPr="003658CA" w:rsidRDefault="003658CA" w:rsidP="009249B2">
      <w:pPr>
        <w:ind w:left="360"/>
        <w:rPr>
          <w:i/>
          <w:iCs/>
        </w:rPr>
      </w:pPr>
      <w:r w:rsidRPr="003658CA">
        <w:rPr>
          <w:i/>
          <w:iCs/>
        </w:rPr>
        <w:t>’Asian or Pacific Islander’=0.9×(proportion MSM for Asian)+0.1×(proportion MSM for Native Hawaiian/Other Pacific Islander)</w:t>
      </w:r>
    </w:p>
    <w:p w14:paraId="2E3338C2" w14:textId="77777777" w:rsidR="003658CA" w:rsidRPr="003658CA" w:rsidRDefault="003658CA" w:rsidP="009249B2">
      <w:pPr>
        <w:ind w:left="360"/>
      </w:pPr>
      <w:r w:rsidRPr="003658CA">
        <w:t>This approach provides a more accurate reflection of the population composition in the "Asian or Pacific Islander" group.</w:t>
      </w:r>
    </w:p>
    <w:p w14:paraId="44D260A3" w14:textId="77777777" w:rsidR="00B11E7E" w:rsidRDefault="00B11E7E" w:rsidP="00065879"/>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7F2ACD">
      <w:pPr>
        <w:pStyle w:val="ListParagraph"/>
        <w:numPr>
          <w:ilvl w:val="0"/>
          <w:numId w:val="20"/>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7F2ACD">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number of births/number of female in childbearing ages </w:t>
      </w:r>
    </w:p>
    <w:p w14:paraId="3521AEDA" w14:textId="77777777" w:rsidR="007F2ACD" w:rsidRDefault="007F2ACD" w:rsidP="007F2ACD">
      <w:pPr>
        <w:pStyle w:val="ListParagraph"/>
        <w:numPr>
          <w:ilvl w:val="0"/>
          <w:numId w:val="21"/>
        </w:numPr>
      </w:pPr>
      <w:r>
        <w:t>JHEEM has used “birth rate” (although it’s called fertility rate in the code).</w:t>
      </w:r>
    </w:p>
    <w:p w14:paraId="683DBCE8" w14:textId="77777777" w:rsidR="007F2ACD" w:rsidRDefault="007F2ACD" w:rsidP="007F2ACD">
      <w:pPr>
        <w:pStyle w:val="ListParagraph"/>
        <w:numPr>
          <w:ilvl w:val="0"/>
          <w:numId w:val="21"/>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A25A42">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r>
        <w:t>Jheem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t xml:space="preserve">Steps: </w:t>
      </w:r>
    </w:p>
    <w:p w14:paraId="2F30898D" w14:textId="68E498BD" w:rsidR="00E430EA" w:rsidRDefault="00E430EA" w:rsidP="00E430EA">
      <w:pPr>
        <w:pStyle w:val="ListParagraph"/>
        <w:numPr>
          <w:ilvl w:val="0"/>
          <w:numId w:val="36"/>
        </w:numPr>
      </w:pPr>
      <w:r>
        <w:t>Extract county level death rates</w:t>
      </w:r>
    </w:p>
    <w:p w14:paraId="2024B396" w14:textId="14CCD71F" w:rsidR="00E430EA" w:rsidRDefault="00E430EA" w:rsidP="00E430EA">
      <w:pPr>
        <w:pStyle w:val="ListParagraph"/>
        <w:numPr>
          <w:ilvl w:val="0"/>
          <w:numId w:val="36"/>
        </w:numPr>
      </w:pPr>
      <w:r>
        <w:t xml:space="preserve">Extract county level population count </w:t>
      </w:r>
    </w:p>
    <w:p w14:paraId="7AFC3801" w14:textId="54E94913" w:rsidR="00E430EA" w:rsidRDefault="002537D5" w:rsidP="00E430EA">
      <w:pPr>
        <w:pStyle w:val="ListParagraph"/>
        <w:numPr>
          <w:ilvl w:val="0"/>
          <w:numId w:val="36"/>
        </w:numPr>
      </w:pPr>
      <w:r>
        <w:t xml:space="preserve">Compute county weights as proportion of their population relative to the state or national population </w:t>
      </w:r>
    </w:p>
    <w:p w14:paraId="1FF3D5BC" w14:textId="4193DAF0" w:rsidR="002537D5" w:rsidRDefault="002537D5" w:rsidP="00E430EA">
      <w:pPr>
        <w:pStyle w:val="ListParagraph"/>
        <w:numPr>
          <w:ilvl w:val="0"/>
          <w:numId w:val="36"/>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065879">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 xml:space="preserve">When individuals in a particular </w:t>
      </w:r>
      <w:r w:rsidR="00A42461" w:rsidRPr="00A42461">
        <w:lastRenderedPageBreak/>
        <w:t>compartment reach the upper age limit, they transition to the next age group at this rate</w:t>
      </w:r>
      <w:r w:rsidR="00A42461">
        <w:t xml:space="preserve">. </w:t>
      </w:r>
      <w:r w:rsidR="00D83D4D">
        <w:t>For example, f</w:t>
      </w:r>
      <w:r w:rsidRPr="00A42B81">
        <w:t>or each age group i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4357B8">
      <w:pPr>
        <w:pStyle w:val="ListParagraph"/>
        <w:numPr>
          <w:ilvl w:val="0"/>
          <w:numId w:val="34"/>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4357B8">
      <w:pPr>
        <w:pStyle w:val="ListParagraph"/>
        <w:numPr>
          <w:ilvl w:val="1"/>
          <w:numId w:val="34"/>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4357B8">
      <w:pPr>
        <w:pStyle w:val="ListParagraph"/>
        <w:numPr>
          <w:ilvl w:val="0"/>
          <w:numId w:val="34"/>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4357B8">
      <w:pPr>
        <w:pStyle w:val="ListParagraph"/>
        <w:numPr>
          <w:ilvl w:val="1"/>
          <w:numId w:val="34"/>
        </w:numPr>
      </w:pPr>
      <w:r w:rsidRPr="004357B8">
        <w:t>2010 is our base year for population calibration.</w:t>
      </w:r>
    </w:p>
    <w:p w14:paraId="011CD0BD" w14:textId="77777777" w:rsidR="004357B8" w:rsidRPr="004357B8" w:rsidRDefault="004357B8" w:rsidP="004357B8">
      <w:pPr>
        <w:pStyle w:val="ListParagraph"/>
        <w:numPr>
          <w:ilvl w:val="1"/>
          <w:numId w:val="34"/>
        </w:numPr>
      </w:pPr>
      <w:r w:rsidRPr="004357B8">
        <w:t>2020 serves as a recent benchmark to fine-tune projections for the baseline year (2024).</w:t>
      </w:r>
    </w:p>
    <w:p w14:paraId="3200F225" w14:textId="77777777" w:rsidR="004357B8" w:rsidRDefault="004357B8" w:rsidP="00597706">
      <w:pPr>
        <w:pStyle w:val="ListParagraph"/>
        <w:numPr>
          <w:ilvl w:val="0"/>
          <w:numId w:val="34"/>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4357B8">
      <w:pPr>
        <w:pStyle w:val="ListParagraph"/>
        <w:numPr>
          <w:ilvl w:val="1"/>
          <w:numId w:val="34"/>
        </w:numPr>
      </w:pPr>
      <w:r w:rsidRPr="004357B8">
        <w:t>Uninfected Population: Census data on population age structure helps us calibrate aging among uninfected individuals.</w:t>
      </w:r>
    </w:p>
    <w:p w14:paraId="669ABE2A" w14:textId="77777777" w:rsidR="004357B8" w:rsidRPr="004357B8" w:rsidRDefault="004357B8" w:rsidP="004357B8">
      <w:pPr>
        <w:pStyle w:val="ListParagraph"/>
        <w:numPr>
          <w:ilvl w:val="1"/>
          <w:numId w:val="34"/>
        </w:numPr>
      </w:pPr>
      <w:r w:rsidRPr="004357B8">
        <w:t>HIV-Positive Population: Estimated HIV prevalence by age allows us to capture aging patterns among the infected population.</w:t>
      </w:r>
    </w:p>
    <w:p w14:paraId="597E49AB" w14:textId="77777777" w:rsidR="004357B8" w:rsidRPr="004357B8" w:rsidRDefault="004357B8" w:rsidP="004357B8">
      <w:pPr>
        <w:pStyle w:val="ListParagraph"/>
        <w:numPr>
          <w:ilvl w:val="1"/>
          <w:numId w:val="34"/>
        </w:numPr>
      </w:pPr>
      <w:r w:rsidRPr="004357B8">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5027640B" w14:textId="7CE12882" w:rsidR="0070774A" w:rsidRDefault="00065879" w:rsidP="00065879">
      <w:pPr>
        <w:pStyle w:val="Heading1"/>
      </w:pPr>
      <w:r>
        <w:t>ESTIMATING LIKELIHOOD ERRORS</w:t>
      </w:r>
    </w:p>
    <w:p w14:paraId="1235D6E9" w14:textId="77777777"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70774A">
      <w:pPr>
        <w:pStyle w:val="ListParagraph"/>
        <w:numPr>
          <w:ilvl w:val="0"/>
          <w:numId w:val="14"/>
        </w:numPr>
      </w:pPr>
      <w:r>
        <w:t xml:space="preserve">Measurement error is determined based on the source of the data type . Model error assumes a normal approximation to a binomial distribution, where the variance of the model estimates equals the mean estimated value. Both measurement error/bias and model estimates are allowed to be correlated: we allow measurement error/bias to be </w:t>
      </w:r>
      <w:r>
        <w:lastRenderedPageBreak/>
        <w:t>correlated over time (e.g., the error in reported incidence for 2009 is correlated to the error in reported incidence for 2010), and model estimates to be correlated due to overlapping strata</w:t>
      </w:r>
    </w:p>
    <w:p w14:paraId="436DD36A" w14:textId="77777777" w:rsidR="0070774A" w:rsidRDefault="0070774A" w:rsidP="0070774A">
      <w:pPr>
        <w:pStyle w:val="ListParagraph"/>
        <w:numPr>
          <w:ilvl w:val="0"/>
          <w:numId w:val="14"/>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065879">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42E85BCC" w14:textId="77777777" w:rsidR="0070774A" w:rsidRDefault="0070774A" w:rsidP="0070774A"/>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are an approximation of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r>
        <w:t>Where</w:t>
      </w:r>
    </w:p>
    <w:p w14:paraId="14145C3C" w14:textId="77777777" w:rsidR="0070774A" w:rsidRDefault="00000000" w:rsidP="0070774A">
      <w:pPr>
        <w:pStyle w:val="ListParagraph"/>
        <w:numPr>
          <w:ilvl w:val="0"/>
          <w:numId w:val="16"/>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70774A">
      <w:pPr>
        <w:pStyle w:val="ListParagraph"/>
        <w:numPr>
          <w:ilvl w:val="0"/>
          <w:numId w:val="16"/>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70774A">
      <w:pPr>
        <w:pStyle w:val="ListParagraph"/>
        <w:numPr>
          <w:ilvl w:val="0"/>
          <w:numId w:val="16"/>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70774A">
      <w:pPr>
        <w:pStyle w:val="ListParagraph"/>
        <w:numPr>
          <w:ilvl w:val="0"/>
          <w:numId w:val="15"/>
        </w:numPr>
      </w:pPr>
      <w:r w:rsidRPr="0001408E">
        <w:t>Young Black (YB)</w:t>
      </w:r>
    </w:p>
    <w:p w14:paraId="2C3C1A08" w14:textId="77777777" w:rsidR="0070774A" w:rsidRPr="0001408E" w:rsidRDefault="0070774A" w:rsidP="0070774A">
      <w:pPr>
        <w:pStyle w:val="ListParagraph"/>
        <w:numPr>
          <w:ilvl w:val="0"/>
          <w:numId w:val="15"/>
        </w:numPr>
      </w:pPr>
      <w:r w:rsidRPr="0001408E">
        <w:t>Old Black (OB)</w:t>
      </w:r>
    </w:p>
    <w:p w14:paraId="18BF7F33" w14:textId="77777777" w:rsidR="0070774A" w:rsidRPr="0001408E" w:rsidRDefault="0070774A" w:rsidP="0070774A">
      <w:pPr>
        <w:pStyle w:val="ListParagraph"/>
        <w:numPr>
          <w:ilvl w:val="0"/>
          <w:numId w:val="15"/>
        </w:numPr>
      </w:pPr>
      <w:r w:rsidRPr="0001408E">
        <w:t>Young White (YW)</w:t>
      </w:r>
    </w:p>
    <w:p w14:paraId="057F7649" w14:textId="77777777" w:rsidR="0070774A" w:rsidRPr="0001408E" w:rsidRDefault="0070774A" w:rsidP="0070774A">
      <w:pPr>
        <w:pStyle w:val="ListParagraph"/>
        <w:numPr>
          <w:ilvl w:val="0"/>
          <w:numId w:val="15"/>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w:lastRenderedPageBreak/>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into the coarser,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70774A">
      <w:pPr>
        <w:pStyle w:val="ListParagraph"/>
        <w:numPr>
          <w:ilvl w:val="0"/>
          <w:numId w:val="17"/>
        </w:numPr>
      </w:pPr>
      <m:oMath>
        <m:r>
          <w:rPr>
            <w:rFonts w:ascii="Cambria Math" w:hAnsi="Cambria Math"/>
          </w:rPr>
          <m:t>μ</m:t>
        </m:r>
      </m:oMath>
      <w:r w:rsidRPr="0001408E">
        <w:t>: The simulated value from the model.</w:t>
      </w:r>
    </w:p>
    <w:p w14:paraId="27B3E5C0" w14:textId="77777777" w:rsidR="0070774A" w:rsidRPr="0001408E" w:rsidRDefault="0070774A" w:rsidP="0070774A">
      <w:pPr>
        <w:pStyle w:val="ListParagraph"/>
        <w:numPr>
          <w:ilvl w:val="0"/>
          <w:numId w:val="17"/>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065879">
      <w:pPr>
        <w:pStyle w:val="Heading2"/>
      </w:pPr>
      <w:r w:rsidRPr="0001408E">
        <w:lastRenderedPageBreak/>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254E6F8A" w14:textId="77777777" w:rsidR="0070774A" w:rsidRPr="0001408E" w:rsidRDefault="0070774A" w:rsidP="0070774A"/>
    <w:p w14:paraId="4D19C970" w14:textId="77777777" w:rsidR="0070774A" w:rsidRPr="00D614DF" w:rsidRDefault="0070774A" w:rsidP="0070774A"/>
    <w:p w14:paraId="7151B263" w14:textId="77777777" w:rsidR="0070774A" w:rsidRDefault="0070774A" w:rsidP="0070774A">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lastRenderedPageBreak/>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Some external datasets or validation studies report measurement errors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See calculating_error_terms_for_ehe_likelihoods.R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70774A">
      <w:pPr>
        <w:pStyle w:val="ListParagraph"/>
        <w:numPr>
          <w:ilvl w:val="0"/>
          <w:numId w:val="18"/>
        </w:numPr>
      </w:pPr>
      <w:r w:rsidRPr="00130B0E">
        <w:lastRenderedPageBreak/>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70774A">
      <w:pPr>
        <w:pStyle w:val="ListParagraph"/>
        <w:numPr>
          <w:ilvl w:val="0"/>
          <w:numId w:val="18"/>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70774A">
      <w:pPr>
        <w:pStyle w:val="ListParagraph"/>
        <w:numPr>
          <w:ilvl w:val="0"/>
          <w:numId w:val="19"/>
        </w:numPr>
        <w:ind w:left="360" w:hanging="360"/>
      </w:pPr>
      <w:r w:rsidRPr="0023669F">
        <w:rPr>
          <w:b/>
          <w:bCs/>
        </w:rPr>
        <w:t xml:space="preserve">Autoregressive (AR) Correlation: </w:t>
      </w:r>
      <w:r w:rsidRPr="00130B0E">
        <w:t>In an AR(1)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70774A">
      <w:pPr>
        <w:pStyle w:val="ListParagraph"/>
        <w:numPr>
          <w:ilvl w:val="0"/>
          <w:numId w:val="8"/>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r>
        <w:t>I</w:t>
      </w:r>
      <w:r w:rsidRPr="003A6CA0">
        <w:t>n reality, a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xml:space="preserve"> model may be more appropriate. This model assumes that errors in consecutive time periods are more strongly correlated, but this correlation weakens over time. For example, if the new diagnosis data in 2000 were off by 10%, an AR model would suggest </w:t>
      </w:r>
      <w:r w:rsidRPr="003A6CA0">
        <w:lastRenderedPageBreak/>
        <w:t>that errors in the following years (e.g., 2001, 2002) are similarly off, but the impact would diminish over longer periods (e.g., by 2010).</w:t>
      </w:r>
    </w:p>
    <w:p w14:paraId="408C543E" w14:textId="77777777" w:rsidR="00126C45" w:rsidRDefault="00126C45">
      <w:pPr>
        <w:spacing w:before="0" w:after="0"/>
      </w:pPr>
      <w:r>
        <w:br w:type="page"/>
      </w:r>
    </w:p>
    <w:p w14:paraId="6CC182B9" w14:textId="77777777" w:rsidR="0070774A" w:rsidRPr="003A6CA0" w:rsidRDefault="0070774A" w:rsidP="0070774A"/>
    <w:p w14:paraId="18849343" w14:textId="758ED580" w:rsidR="00126C45" w:rsidRDefault="00126C45" w:rsidP="00126C45">
      <w:pPr>
        <w:pStyle w:val="Heading1"/>
      </w:pPr>
      <w:r>
        <w:t>CALIBRATION TARGETS</w:t>
      </w:r>
    </w:p>
    <w:p w14:paraId="6F9525AA" w14:textId="77777777" w:rsidR="00126C45" w:rsidRDefault="00126C45" w:rsidP="00126C45">
      <w:pPr>
        <w:pStyle w:val="Heading2"/>
      </w:pPr>
      <w:r>
        <w:t xml:space="preserve">Demographic model </w:t>
      </w:r>
    </w:p>
    <w:p w14:paraId="3112318E" w14:textId="5DB4790F" w:rsidR="00126C45" w:rsidRPr="00126C45" w:rsidRDefault="00126C45" w:rsidP="00126C45">
      <w:pPr>
        <w:numPr>
          <w:ilvl w:val="0"/>
          <w:numId w:val="37"/>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126C45">
      <w:pPr>
        <w:numPr>
          <w:ilvl w:val="0"/>
          <w:numId w:val="37"/>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126C45">
      <w:pPr>
        <w:numPr>
          <w:ilvl w:val="0"/>
          <w:numId w:val="38"/>
        </w:numPr>
      </w:pPr>
      <w:r w:rsidRPr="00126C45">
        <w:rPr>
          <w:b/>
          <w:bCs/>
        </w:rPr>
        <w:t>Population Size:</w:t>
      </w:r>
      <w:r w:rsidRPr="00126C45">
        <w:t> Available from 2010 to 2020, broken down by age, sex, and race.</w:t>
      </w:r>
    </w:p>
    <w:p w14:paraId="7E63790D" w14:textId="77777777" w:rsidR="00126C45" w:rsidRPr="00126C45" w:rsidRDefault="00126C45" w:rsidP="00126C45">
      <w:pPr>
        <w:numPr>
          <w:ilvl w:val="0"/>
          <w:numId w:val="38"/>
        </w:numPr>
      </w:pPr>
      <w:r w:rsidRPr="00126C45">
        <w:rPr>
          <w:b/>
          <w:bCs/>
        </w:rPr>
        <w:t>Deaths:</w:t>
      </w:r>
      <w:r w:rsidRPr="00126C45">
        <w:t> Total count available for two periods—2001 to 2010 and 2011 to 2020.</w:t>
      </w:r>
    </w:p>
    <w:p w14:paraId="4927F496" w14:textId="77777777" w:rsidR="00126C45" w:rsidRPr="00126C45" w:rsidRDefault="00126C45" w:rsidP="00126C45">
      <w:pPr>
        <w:numPr>
          <w:ilvl w:val="0"/>
          <w:numId w:val="38"/>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pPr>
        <w:spacing w:before="0" w:after="0"/>
      </w:pPr>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126C45">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126C45">
      <w:pPr>
        <w:numPr>
          <w:ilvl w:val="0"/>
          <w:numId w:val="26"/>
        </w:numPr>
      </w:pPr>
      <w:r w:rsidRPr="00D11F02">
        <w:t>MSM (men who have sex with men) with other MSM, heterosexual men, or women.</w:t>
      </w:r>
    </w:p>
    <w:p w14:paraId="174123DD" w14:textId="77777777" w:rsidR="00126C45" w:rsidRPr="00D11F02" w:rsidRDefault="00126C45" w:rsidP="00126C45">
      <w:pPr>
        <w:numPr>
          <w:ilvl w:val="0"/>
          <w:numId w:val="26"/>
        </w:numPr>
      </w:pPr>
      <w:r w:rsidRPr="00D11F02">
        <w:t>Heterosexual men with MSM, other heterosexual men, or women.</w:t>
      </w:r>
    </w:p>
    <w:p w14:paraId="3909968C" w14:textId="77777777" w:rsidR="00126C45" w:rsidRPr="00D11F02" w:rsidRDefault="00126C45" w:rsidP="00126C45">
      <w:pPr>
        <w:numPr>
          <w:ilvl w:val="0"/>
          <w:numId w:val="2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126C45">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difference=N(μ,σ)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Diff(a)=N(B0+B1×a,L0+L1×a)</w:t>
      </w:r>
    </w:p>
    <w:p w14:paraId="5495DB5E" w14:textId="77777777" w:rsidR="00126C45" w:rsidRPr="00D11F02" w:rsidRDefault="00126C45" w:rsidP="00126C45">
      <w:r w:rsidRPr="00D11F02">
        <w:t>Here, a represents the age of the individual, and B0,B1,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PAIRING.INPUT.MANAGER$sex.age.models.</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r w:rsidRPr="00D11F02">
        <w:t>P(13−24)=0.1×pnorm(13−24,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sofisticated method for maping popualtion proportions based on census in each location </w:t>
      </w:r>
    </w:p>
    <w:p w14:paraId="7B48CD76" w14:textId="77777777" w:rsidR="00126C45" w:rsidRPr="00D11F02" w:rsidRDefault="00126C45" w:rsidP="00126C45">
      <w:pPr>
        <w:numPr>
          <w:ilvl w:val="0"/>
          <w:numId w:val="27"/>
        </w:numPr>
      </w:pPr>
      <w:r w:rsidRPr="00D11F02">
        <w:lastRenderedPageBreak/>
        <w:t>get.heterosexual.male.single.year.age.counts()</w:t>
      </w:r>
    </w:p>
    <w:p w14:paraId="32FF3290" w14:textId="77777777" w:rsidR="00126C45" w:rsidRPr="00D11F02" w:rsidRDefault="00126C45" w:rsidP="00126C45">
      <w:pPr>
        <w:numPr>
          <w:ilvl w:val="0"/>
          <w:numId w:val="27"/>
        </w:numPr>
      </w:pPr>
      <w:r w:rsidRPr="00D11F02">
        <w:t>get.female.single.year.age.counts()</w:t>
      </w:r>
    </w:p>
    <w:p w14:paraId="03437A2F" w14:textId="77777777" w:rsidR="00126C45" w:rsidRPr="00D11F02" w:rsidRDefault="00126C45" w:rsidP="00126C45">
      <w:pPr>
        <w:numPr>
          <w:ilvl w:val="0"/>
          <w:numId w:val="27"/>
        </w:numPr>
      </w:pPr>
      <w:r w:rsidRPr="00D11F02">
        <w:t>get.msm.single.year.age.counts()</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get.sexual.availability()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All the parameters introduced so far are estimated from data and remain fixed. However, we include one additional parameter specifically for calibration—a multiplier applied to the standard deviation in the age model. This calibration parameter adjusts the variability in age assortativity (age.mixing.sd.mult)</w:t>
      </w:r>
    </w:p>
    <w:p w14:paraId="50D6B91F" w14:textId="77777777" w:rsidR="00126C45" w:rsidRPr="00D11F02" w:rsidRDefault="00126C45" w:rsidP="00126C45">
      <w:pPr>
        <w:numPr>
          <w:ilvl w:val="0"/>
          <w:numId w:val="28"/>
        </w:numPr>
      </w:pPr>
      <w:r w:rsidRPr="00D11F02">
        <w:t>Larger values of the multiplier increase the variability in age differences, resulting in less age assortativity (i.e., individuals tend to partner with others from a wider range of ages).</w:t>
      </w:r>
    </w:p>
    <w:p w14:paraId="5888C482" w14:textId="77777777" w:rsidR="00126C45" w:rsidRPr="00D11F02" w:rsidRDefault="00126C45" w:rsidP="00126C45">
      <w:pPr>
        <w:numPr>
          <w:ilvl w:val="0"/>
          <w:numId w:val="28"/>
        </w:numPr>
      </w:pPr>
      <w:r w:rsidRPr="00D11F02">
        <w:t>Smaller values decrease the variability in age differences, leading to greater age assortativity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126C45">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Consider the case for females: if there is no sex assortativity, the proportion of female partners who are MSM or heterosexual males is proportional to their population distribution in a given location. For example, if 20% of men in Baltimore are MSM, then females would be expected to have 20% MSM and 80% heterosexual male partners. This implies that the </w:t>
      </w:r>
      <w:r w:rsidRPr="00D11F02">
        <w:rPr>
          <w:b/>
          <w:bCs/>
        </w:rPr>
        <w:t>observed-to-expected (OE) ratio</w:t>
      </w:r>
      <w:r w:rsidRPr="00D11F02">
        <w:t> for MSM partnerships would be equal to 1. However, when there is assortativity (i.e., a preference for partnering within specific groups), the OE ratio will deviate from 1—being either greater than or less than one, depending on the degree of assortativity.</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Estimating proportion of females contacts with msm and male hetrosexuals</w:t>
      </w:r>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lastRenderedPageBreak/>
        <w:t>name=′oe.female.pairings.with.msm′, value=0.0895(Pathela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126C45">
      <w:pPr>
        <w:numPr>
          <w:ilvl w:val="0"/>
          <w:numId w:val="29"/>
        </w:numPr>
      </w:pPr>
      <w:r w:rsidRPr="00D11F02">
        <w:t>Pmsm=0.089×prop.males.msm / (0.089×prop.males.msm+prop.males.not.msm)</w:t>
      </w:r>
    </w:p>
    <w:p w14:paraId="2DC9C2A0" w14:textId="77777777" w:rsidR="00126C45" w:rsidRPr="00D11F02" w:rsidRDefault="00126C45" w:rsidP="00126C45">
      <w:pPr>
        <w:numPr>
          <w:ilvl w:val="0"/>
          <w:numId w:val="29"/>
        </w:numPr>
      </w:pPr>
      <w:r w:rsidRPr="00D11F02">
        <w:t>Phet.male=prop.males.not.msm/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126C45">
      <w:pPr>
        <w:numPr>
          <w:ilvl w:val="0"/>
          <w:numId w:val="30"/>
        </w:numPr>
      </w:pPr>
      <w:r w:rsidRPr="00D11F02">
        <w:t>Pmsm+Phet.male=1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oe.female.pairings.with.msm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Estimating proportion of male contacts with msm and male heterosexuals</w:t>
      </w:r>
    </w:p>
    <w:p w14:paraId="1D5C0614" w14:textId="77777777" w:rsidR="00126C45" w:rsidRPr="00D11F02" w:rsidRDefault="00126C45" w:rsidP="00126C45">
      <w:r w:rsidRPr="00D11F02">
        <w:t>What fraction of hetrosexual males have contact with other men: fraction.heterosexual.male.pairings.with.male, value =0.004</w:t>
      </w:r>
    </w:p>
    <w:p w14:paraId="6E61EC47" w14:textId="77777777" w:rsidR="00126C45" w:rsidRPr="00D11F02" w:rsidRDefault="00126C45" w:rsidP="00126C45">
      <w:r w:rsidRPr="00D11F02">
        <w:t>What fraction of msm</w:t>
      </w:r>
    </w:p>
    <w:p w14:paraId="3DB256C8" w14:textId="77777777" w:rsidR="00126C45" w:rsidRDefault="00126C45" w:rsidP="00126C45">
      <w:pPr>
        <w:pStyle w:val="Heading2"/>
      </w:pPr>
      <w:r>
        <w:t xml:space="preserve">Race mixing model </w:t>
      </w:r>
    </w:p>
    <w:p w14:paraId="7DB7FB36" w14:textId="77777777" w:rsidR="00126C45" w:rsidRDefault="00126C45" w:rsidP="00126C45">
      <w:r>
        <w:t xml:space="preserve">Similar to sex mixing, this relies on observed to expected proportion of contact between difference racial groups </w:t>
      </w:r>
    </w:p>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#assuming X% of people with genital ulcer/rash will seek care, now the quesiton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monts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look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lastRenderedPageBreak/>
        <w:t>Improving efficiency and equity</w:t>
      </w:r>
    </w:p>
    <w:p w14:paraId="1E7A94B2" w14:textId="77777777" w:rsidR="00AC7C42" w:rsidRDefault="00AC7C42" w:rsidP="00AC7C42">
      <w:pPr>
        <w:pStyle w:val="ListParagraph"/>
        <w:numPr>
          <w:ilvl w:val="0"/>
          <w:numId w:val="2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AC7C42">
      <w:pPr>
        <w:pStyle w:val="ListParagraph"/>
        <w:numPr>
          <w:ilvl w:val="0"/>
          <w:numId w:val="2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AC7C42">
      <w:pPr>
        <w:pStyle w:val="ListParagraph"/>
        <w:numPr>
          <w:ilvl w:val="0"/>
          <w:numId w:val="2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77777777" w:rsidR="00CB2855" w:rsidRPr="00294C9A" w:rsidRDefault="00CB2855" w:rsidP="00294C9A"/>
    <w:sectPr w:rsidR="00CB2855" w:rsidRPr="00294C9A"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475C2A"/>
    <w:multiLevelType w:val="multilevel"/>
    <w:tmpl w:val="1D1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A57A91"/>
    <w:multiLevelType w:val="multilevel"/>
    <w:tmpl w:val="B0D0CBAA"/>
    <w:lvl w:ilvl="0">
      <w:start w:val="1"/>
      <w:numFmt w:val="decimal"/>
      <w:pStyle w:val="Heading1"/>
      <w:lvlText w:val="%1"/>
      <w:lvlJc w:val="left"/>
      <w:pPr>
        <w:ind w:left="423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1825A7"/>
    <w:multiLevelType w:val="hybridMultilevel"/>
    <w:tmpl w:val="4F5E2068"/>
    <w:lvl w:ilvl="0" w:tplc="519C3598">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156E5"/>
    <w:multiLevelType w:val="hybridMultilevel"/>
    <w:tmpl w:val="DA1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735BC"/>
    <w:multiLevelType w:val="multilevel"/>
    <w:tmpl w:val="36B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F12084"/>
    <w:multiLevelType w:val="multilevel"/>
    <w:tmpl w:val="3A38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56D7A"/>
    <w:multiLevelType w:val="hybridMultilevel"/>
    <w:tmpl w:val="D0AA8702"/>
    <w:lvl w:ilvl="0" w:tplc="FA6E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E72EE"/>
    <w:multiLevelType w:val="hybridMultilevel"/>
    <w:tmpl w:val="E82C6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974772C"/>
    <w:multiLevelType w:val="multilevel"/>
    <w:tmpl w:val="629E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5E0BDF"/>
    <w:multiLevelType w:val="multilevel"/>
    <w:tmpl w:val="34C24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BD0933"/>
    <w:multiLevelType w:val="hybridMultilevel"/>
    <w:tmpl w:val="45D2ECE6"/>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2F2BAF"/>
    <w:multiLevelType w:val="multilevel"/>
    <w:tmpl w:val="2B141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38"/>
  </w:num>
  <w:num w:numId="2" w16cid:durableId="2001957101">
    <w:abstractNumId w:val="8"/>
  </w:num>
  <w:num w:numId="3" w16cid:durableId="756487531">
    <w:abstractNumId w:val="8"/>
  </w:num>
  <w:num w:numId="4" w16cid:durableId="1135559157">
    <w:abstractNumId w:val="8"/>
  </w:num>
  <w:num w:numId="5" w16cid:durableId="230774828">
    <w:abstractNumId w:val="8"/>
  </w:num>
  <w:num w:numId="6" w16cid:durableId="400568982">
    <w:abstractNumId w:val="8"/>
  </w:num>
  <w:num w:numId="7" w16cid:durableId="1014537">
    <w:abstractNumId w:val="8"/>
  </w:num>
  <w:num w:numId="8" w16cid:durableId="445197601">
    <w:abstractNumId w:val="29"/>
  </w:num>
  <w:num w:numId="9" w16cid:durableId="1676420802">
    <w:abstractNumId w:val="14"/>
  </w:num>
  <w:num w:numId="10" w16cid:durableId="2102557157">
    <w:abstractNumId w:val="2"/>
  </w:num>
  <w:num w:numId="11" w16cid:durableId="147213799">
    <w:abstractNumId w:val="33"/>
  </w:num>
  <w:num w:numId="12" w16cid:durableId="1741949462">
    <w:abstractNumId w:val="17"/>
  </w:num>
  <w:num w:numId="13" w16cid:durableId="275067992">
    <w:abstractNumId w:val="25"/>
  </w:num>
  <w:num w:numId="14" w16cid:durableId="1882084030">
    <w:abstractNumId w:val="4"/>
  </w:num>
  <w:num w:numId="15" w16cid:durableId="1283532355">
    <w:abstractNumId w:val="15"/>
  </w:num>
  <w:num w:numId="16" w16cid:durableId="1922793383">
    <w:abstractNumId w:val="1"/>
  </w:num>
  <w:num w:numId="17" w16cid:durableId="488903779">
    <w:abstractNumId w:val="28"/>
  </w:num>
  <w:num w:numId="18" w16cid:durableId="1504659397">
    <w:abstractNumId w:val="13"/>
  </w:num>
  <w:num w:numId="19" w16cid:durableId="1163201654">
    <w:abstractNumId w:val="29"/>
    <w:lvlOverride w:ilvl="0">
      <w:startOverride w:val="1"/>
    </w:lvlOverride>
  </w:num>
  <w:num w:numId="20" w16cid:durableId="1108043211">
    <w:abstractNumId w:val="35"/>
  </w:num>
  <w:num w:numId="21" w16cid:durableId="1037510927">
    <w:abstractNumId w:val="24"/>
  </w:num>
  <w:num w:numId="22" w16cid:durableId="328364884">
    <w:abstractNumId w:val="11"/>
  </w:num>
  <w:num w:numId="23" w16cid:durableId="1925606903">
    <w:abstractNumId w:val="22"/>
  </w:num>
  <w:num w:numId="24" w16cid:durableId="1496916192">
    <w:abstractNumId w:val="21"/>
  </w:num>
  <w:num w:numId="25" w16cid:durableId="1282304557">
    <w:abstractNumId w:val="3"/>
  </w:num>
  <w:num w:numId="26" w16cid:durableId="1748649461">
    <w:abstractNumId w:val="9"/>
  </w:num>
  <w:num w:numId="27" w16cid:durableId="1485007451">
    <w:abstractNumId w:val="5"/>
  </w:num>
  <w:num w:numId="28" w16cid:durableId="1776515359">
    <w:abstractNumId w:val="0"/>
  </w:num>
  <w:num w:numId="29" w16cid:durableId="773012528">
    <w:abstractNumId w:val="34"/>
  </w:num>
  <w:num w:numId="30" w16cid:durableId="146240673">
    <w:abstractNumId w:val="18"/>
  </w:num>
  <w:num w:numId="31" w16cid:durableId="1240284918">
    <w:abstractNumId w:val="12"/>
  </w:num>
  <w:num w:numId="32" w16cid:durableId="724377618">
    <w:abstractNumId w:val="16"/>
  </w:num>
  <w:num w:numId="33" w16cid:durableId="2170222">
    <w:abstractNumId w:val="6"/>
  </w:num>
  <w:num w:numId="34" w16cid:durableId="1751656195">
    <w:abstractNumId w:val="36"/>
  </w:num>
  <w:num w:numId="35" w16cid:durableId="2080055719">
    <w:abstractNumId w:val="10"/>
  </w:num>
  <w:num w:numId="36" w16cid:durableId="1085883027">
    <w:abstractNumId w:val="23"/>
  </w:num>
  <w:num w:numId="37" w16cid:durableId="2015185942">
    <w:abstractNumId w:val="27"/>
  </w:num>
  <w:num w:numId="38" w16cid:durableId="768044241">
    <w:abstractNumId w:val="20"/>
  </w:num>
  <w:num w:numId="39" w16cid:durableId="415902354">
    <w:abstractNumId w:val="37"/>
  </w:num>
  <w:num w:numId="40" w16cid:durableId="2132236762">
    <w:abstractNumId w:val="31"/>
  </w:num>
  <w:num w:numId="41" w16cid:durableId="2558341">
    <w:abstractNumId w:val="30"/>
  </w:num>
  <w:num w:numId="42" w16cid:durableId="1229683208">
    <w:abstractNumId w:val="26"/>
  </w:num>
  <w:num w:numId="43" w16cid:durableId="2079594721">
    <w:abstractNumId w:val="7"/>
  </w:num>
  <w:num w:numId="44" w16cid:durableId="599458757">
    <w:abstractNumId w:val="32"/>
  </w:num>
  <w:num w:numId="45" w16cid:durableId="7944478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35AA8"/>
    <w:rsid w:val="00052732"/>
    <w:rsid w:val="00065879"/>
    <w:rsid w:val="000A1117"/>
    <w:rsid w:val="000A3760"/>
    <w:rsid w:val="000E3942"/>
    <w:rsid w:val="001031DC"/>
    <w:rsid w:val="00126C45"/>
    <w:rsid w:val="001B592A"/>
    <w:rsid w:val="001B636B"/>
    <w:rsid w:val="001E3F66"/>
    <w:rsid w:val="00216989"/>
    <w:rsid w:val="00217C6A"/>
    <w:rsid w:val="002470B5"/>
    <w:rsid w:val="002537D5"/>
    <w:rsid w:val="0026236C"/>
    <w:rsid w:val="00281607"/>
    <w:rsid w:val="002949BD"/>
    <w:rsid w:val="00294C9A"/>
    <w:rsid w:val="002A4DC3"/>
    <w:rsid w:val="002C15FC"/>
    <w:rsid w:val="002D77B3"/>
    <w:rsid w:val="002E3795"/>
    <w:rsid w:val="002E75B3"/>
    <w:rsid w:val="00300547"/>
    <w:rsid w:val="00332EC6"/>
    <w:rsid w:val="00356E6F"/>
    <w:rsid w:val="003658CA"/>
    <w:rsid w:val="00375AD9"/>
    <w:rsid w:val="003A5EE9"/>
    <w:rsid w:val="003B61C7"/>
    <w:rsid w:val="003B6A07"/>
    <w:rsid w:val="004357B8"/>
    <w:rsid w:val="0044689F"/>
    <w:rsid w:val="00454C94"/>
    <w:rsid w:val="00463C37"/>
    <w:rsid w:val="0047730A"/>
    <w:rsid w:val="004A1D63"/>
    <w:rsid w:val="004B23CE"/>
    <w:rsid w:val="004B3B29"/>
    <w:rsid w:val="004D7267"/>
    <w:rsid w:val="004D748B"/>
    <w:rsid w:val="00534CE3"/>
    <w:rsid w:val="00543FC8"/>
    <w:rsid w:val="00560580"/>
    <w:rsid w:val="005A429C"/>
    <w:rsid w:val="005E2400"/>
    <w:rsid w:val="005F3AA0"/>
    <w:rsid w:val="00645126"/>
    <w:rsid w:val="00652524"/>
    <w:rsid w:val="00680F7F"/>
    <w:rsid w:val="006A7027"/>
    <w:rsid w:val="006D43BB"/>
    <w:rsid w:val="006D56A3"/>
    <w:rsid w:val="006E431F"/>
    <w:rsid w:val="0070774A"/>
    <w:rsid w:val="007250BC"/>
    <w:rsid w:val="00736061"/>
    <w:rsid w:val="00740BC9"/>
    <w:rsid w:val="00751A02"/>
    <w:rsid w:val="007700EB"/>
    <w:rsid w:val="00782BB4"/>
    <w:rsid w:val="00785448"/>
    <w:rsid w:val="00790981"/>
    <w:rsid w:val="007B2E1D"/>
    <w:rsid w:val="007E623C"/>
    <w:rsid w:val="007E7BFD"/>
    <w:rsid w:val="007F2ACD"/>
    <w:rsid w:val="008056D8"/>
    <w:rsid w:val="00820355"/>
    <w:rsid w:val="00850065"/>
    <w:rsid w:val="00890D34"/>
    <w:rsid w:val="00892FFC"/>
    <w:rsid w:val="008D4547"/>
    <w:rsid w:val="008D51C7"/>
    <w:rsid w:val="008D67FA"/>
    <w:rsid w:val="008E5126"/>
    <w:rsid w:val="00916431"/>
    <w:rsid w:val="009249B2"/>
    <w:rsid w:val="0096294A"/>
    <w:rsid w:val="009A75C1"/>
    <w:rsid w:val="009B09BF"/>
    <w:rsid w:val="009C06DD"/>
    <w:rsid w:val="009E1A87"/>
    <w:rsid w:val="009E74E3"/>
    <w:rsid w:val="009F0DC0"/>
    <w:rsid w:val="009F2F28"/>
    <w:rsid w:val="00A25A42"/>
    <w:rsid w:val="00A42461"/>
    <w:rsid w:val="00A42B81"/>
    <w:rsid w:val="00A53A89"/>
    <w:rsid w:val="00A744BE"/>
    <w:rsid w:val="00A92CF2"/>
    <w:rsid w:val="00AA09DA"/>
    <w:rsid w:val="00AC7C42"/>
    <w:rsid w:val="00AD0EBA"/>
    <w:rsid w:val="00AD7AAA"/>
    <w:rsid w:val="00AD7CBE"/>
    <w:rsid w:val="00AE2923"/>
    <w:rsid w:val="00B06F73"/>
    <w:rsid w:val="00B11E7E"/>
    <w:rsid w:val="00B243C8"/>
    <w:rsid w:val="00B50DC7"/>
    <w:rsid w:val="00B532FD"/>
    <w:rsid w:val="00B568B2"/>
    <w:rsid w:val="00BA071C"/>
    <w:rsid w:val="00BC7533"/>
    <w:rsid w:val="00BD3169"/>
    <w:rsid w:val="00BF4A2C"/>
    <w:rsid w:val="00C033B4"/>
    <w:rsid w:val="00C46896"/>
    <w:rsid w:val="00C47145"/>
    <w:rsid w:val="00C5584D"/>
    <w:rsid w:val="00C80FDF"/>
    <w:rsid w:val="00C91146"/>
    <w:rsid w:val="00C91AA6"/>
    <w:rsid w:val="00CA419E"/>
    <w:rsid w:val="00CA683A"/>
    <w:rsid w:val="00CB2855"/>
    <w:rsid w:val="00CC7CE6"/>
    <w:rsid w:val="00CE164B"/>
    <w:rsid w:val="00CE7C83"/>
    <w:rsid w:val="00D07F8B"/>
    <w:rsid w:val="00D233AA"/>
    <w:rsid w:val="00D23B42"/>
    <w:rsid w:val="00D574AD"/>
    <w:rsid w:val="00D83D4D"/>
    <w:rsid w:val="00D878B1"/>
    <w:rsid w:val="00D974CB"/>
    <w:rsid w:val="00DF0103"/>
    <w:rsid w:val="00E058EB"/>
    <w:rsid w:val="00E17F9C"/>
    <w:rsid w:val="00E24A5A"/>
    <w:rsid w:val="00E2551C"/>
    <w:rsid w:val="00E362EE"/>
    <w:rsid w:val="00E42214"/>
    <w:rsid w:val="00E430EA"/>
    <w:rsid w:val="00E952FC"/>
    <w:rsid w:val="00EA390A"/>
    <w:rsid w:val="00EB761F"/>
    <w:rsid w:val="00EE01E0"/>
    <w:rsid w:val="00F04380"/>
    <w:rsid w:val="00F15686"/>
    <w:rsid w:val="00F54DE4"/>
    <w:rsid w:val="00F87862"/>
    <w:rsid w:val="00F96C16"/>
    <w:rsid w:val="00FC0F42"/>
    <w:rsid w:val="00FC41DC"/>
    <w:rsid w:val="00FD7CD5"/>
    <w:rsid w:val="00FE7D42"/>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BD"/>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065879"/>
    <w:pPr>
      <w:keepNext/>
      <w:keepLines/>
      <w:numPr>
        <w:numId w:val="7"/>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ind w:left="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Theme="minorBidi" w:eastAsiaTheme="majorEastAsia" w:hAnsiTheme="minorBid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29</TotalTime>
  <Pages>14</Pages>
  <Words>3731</Words>
  <Characters>21269</Characters>
  <Application>Microsoft Office Word</Application>
  <DocSecurity>0</DocSecurity>
  <Lines>177</Lines>
  <Paragraphs>49</Paragraphs>
  <ScaleCrop>false</ScaleCrop>
  <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47</cp:revision>
  <dcterms:created xsi:type="dcterms:W3CDTF">2024-10-31T14:01:00Z</dcterms:created>
  <dcterms:modified xsi:type="dcterms:W3CDTF">2024-11-11T16:01:00Z</dcterms:modified>
</cp:coreProperties>
</file>