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540D1" w14:textId="77777777" w:rsidR="00A676D8" w:rsidRDefault="00A676D8" w:rsidP="00CB27F6">
      <w:pPr>
        <w:jc w:val="both"/>
        <w:rPr>
          <w:rFonts w:ascii="Calibri" w:hAnsi="Calibri" w:cs="Calibri"/>
          <w:sz w:val="20"/>
          <w:szCs w:val="20"/>
        </w:rPr>
      </w:pPr>
    </w:p>
    <w:p w14:paraId="6BB8C2B5" w14:textId="5B26CFA8" w:rsidR="00DC1273" w:rsidRDefault="00DC1273" w:rsidP="00CB27F6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“</w:t>
      </w:r>
      <w:r w:rsidRPr="00DC1273">
        <w:rPr>
          <w:rFonts w:ascii="Calibri" w:hAnsi="Calibri" w:cs="Calibri"/>
          <w:sz w:val="20"/>
          <w:szCs w:val="20"/>
        </w:rPr>
        <w:t xml:space="preserve">We are now </w:t>
      </w:r>
      <w:r>
        <w:rPr>
          <w:rFonts w:ascii="Calibri" w:hAnsi="Calibri" w:cs="Calibri"/>
          <w:sz w:val="20"/>
          <w:szCs w:val="20"/>
        </w:rPr>
        <w:t>[assuming]</w:t>
      </w:r>
      <w:r w:rsidRPr="00DC1273">
        <w:rPr>
          <w:rFonts w:ascii="Calibri" w:hAnsi="Calibri" w:cs="Calibri"/>
          <w:sz w:val="20"/>
          <w:szCs w:val="20"/>
        </w:rPr>
        <w:t xml:space="preserve"> that only a percentage of cases in the primary/secondary stage are symptomatic, and among those with symptoms, some </w:t>
      </w:r>
      <w:proofErr w:type="gramStart"/>
      <w:r w:rsidRPr="00DC1273">
        <w:rPr>
          <w:rFonts w:ascii="Calibri" w:hAnsi="Calibri" w:cs="Calibri"/>
          <w:sz w:val="20"/>
          <w:szCs w:val="20"/>
        </w:rPr>
        <w:t>percentage</w:t>
      </w:r>
      <w:proofErr w:type="gramEnd"/>
      <w:r w:rsidRPr="00DC1273">
        <w:rPr>
          <w:rFonts w:ascii="Calibri" w:hAnsi="Calibri" w:cs="Calibri"/>
          <w:sz w:val="20"/>
          <w:szCs w:val="20"/>
        </w:rPr>
        <w:t xml:space="preserve"> of cases don’t recognize symptoms.</w:t>
      </w:r>
      <w:r>
        <w:rPr>
          <w:rFonts w:ascii="Calibri" w:hAnsi="Calibri" w:cs="Calibri"/>
          <w:sz w:val="20"/>
          <w:szCs w:val="20"/>
        </w:rPr>
        <w:t>”</w:t>
      </w:r>
    </w:p>
    <w:p w14:paraId="251C6F9A" w14:textId="77777777" w:rsidR="00DC1273" w:rsidRPr="00014B65" w:rsidRDefault="00DC1273" w:rsidP="00CB27F6">
      <w:pPr>
        <w:jc w:val="both"/>
        <w:rPr>
          <w:rFonts w:ascii="Calibri" w:hAnsi="Calibri" w:cs="Calibri"/>
          <w:sz w:val="20"/>
          <w:szCs w:val="20"/>
        </w:rPr>
      </w:pPr>
    </w:p>
    <w:p w14:paraId="520B8F41" w14:textId="26788F94" w:rsidR="00191C9F" w:rsidRPr="00014B65" w:rsidRDefault="00191C9F" w:rsidP="00CB27F6">
      <w:pPr>
        <w:jc w:val="both"/>
        <w:rPr>
          <w:rFonts w:ascii="Calibri" w:hAnsi="Calibri" w:cs="Calibri"/>
          <w:sz w:val="20"/>
          <w:szCs w:val="20"/>
        </w:rPr>
      </w:pPr>
      <w:r w:rsidRPr="00014B65">
        <w:rPr>
          <w:rFonts w:ascii="Calibri" w:hAnsi="Calibri" w:cs="Calibri"/>
          <w:b/>
          <w:bCs/>
          <w:sz w:val="20"/>
          <w:szCs w:val="20"/>
        </w:rPr>
        <w:t>Parameter:</w:t>
      </w:r>
      <w:r w:rsidRPr="00014B65">
        <w:rPr>
          <w:rFonts w:ascii="Calibri" w:hAnsi="Calibri" w:cs="Calibri"/>
          <w:sz w:val="20"/>
          <w:szCs w:val="20"/>
        </w:rPr>
        <w:t xml:space="preserve"> Proportion of primary/secondary symptomatic disease among MSM, Het men and Women</w:t>
      </w:r>
    </w:p>
    <w:p w14:paraId="584BA566" w14:textId="77777777" w:rsidR="00191C9F" w:rsidRPr="00014B65" w:rsidRDefault="00191C9F" w:rsidP="00CB27F6">
      <w:pPr>
        <w:jc w:val="both"/>
        <w:rPr>
          <w:rFonts w:ascii="Calibri" w:hAnsi="Calibri" w:cs="Calibri"/>
          <w:sz w:val="20"/>
          <w:szCs w:val="20"/>
        </w:rPr>
      </w:pPr>
    </w:p>
    <w:p w14:paraId="6808111A" w14:textId="1541533E" w:rsidR="00191C9F" w:rsidRPr="00014B65" w:rsidRDefault="00191C9F" w:rsidP="00CB27F6">
      <w:pPr>
        <w:jc w:val="both"/>
        <w:rPr>
          <w:rFonts w:ascii="Calibri" w:hAnsi="Calibri" w:cs="Calibri"/>
          <w:sz w:val="20"/>
          <w:szCs w:val="20"/>
        </w:rPr>
      </w:pPr>
      <w:r w:rsidRPr="00014B65">
        <w:rPr>
          <w:rFonts w:ascii="Calibri" w:hAnsi="Calibri" w:cs="Calibri"/>
          <w:b/>
          <w:bCs/>
          <w:sz w:val="20"/>
          <w:szCs w:val="20"/>
        </w:rPr>
        <w:t>Reference</w:t>
      </w:r>
      <w:r w:rsidR="00BD10F7">
        <w:rPr>
          <w:rFonts w:ascii="Calibri" w:hAnsi="Calibri" w:cs="Calibri"/>
          <w:b/>
          <w:bCs/>
          <w:sz w:val="20"/>
          <w:szCs w:val="20"/>
        </w:rPr>
        <w:t xml:space="preserve"> (MSM)</w:t>
      </w:r>
      <w:r w:rsidRPr="00014B65">
        <w:rPr>
          <w:rFonts w:ascii="Calibri" w:hAnsi="Calibri" w:cs="Calibri"/>
          <w:b/>
          <w:bCs/>
          <w:sz w:val="20"/>
          <w:szCs w:val="20"/>
        </w:rPr>
        <w:t xml:space="preserve">: </w:t>
      </w:r>
      <w:r w:rsidRPr="00014B65">
        <w:rPr>
          <w:rFonts w:ascii="Calibri" w:hAnsi="Calibri" w:cs="Calibri"/>
          <w:sz w:val="20"/>
          <w:szCs w:val="20"/>
        </w:rPr>
        <w:t xml:space="preserve">Peel J, Chow EP, Denham I, Schmidt T, Buchanan A, Fairley CK, Williamson DA, </w:t>
      </w:r>
      <w:proofErr w:type="spellStart"/>
      <w:r w:rsidRPr="00014B65">
        <w:rPr>
          <w:rFonts w:ascii="Calibri" w:hAnsi="Calibri" w:cs="Calibri"/>
          <w:sz w:val="20"/>
          <w:szCs w:val="20"/>
        </w:rPr>
        <w:t>Bissessor</w:t>
      </w:r>
      <w:proofErr w:type="spellEnd"/>
      <w:r w:rsidRPr="00014B65">
        <w:rPr>
          <w:rFonts w:ascii="Calibri" w:hAnsi="Calibri" w:cs="Calibri"/>
          <w:sz w:val="20"/>
          <w:szCs w:val="20"/>
        </w:rPr>
        <w:t xml:space="preserve"> M, Chen MY. Clinical presentation of incident syphilis among men who have sex with men taking HIV pre-exposure prophylaxis in Melbourne, Australia. Clinical Infectious Diseases. 2021 Aug 15;73(4):e934-7.</w:t>
      </w:r>
    </w:p>
    <w:p w14:paraId="577EE348" w14:textId="4AA7ED18" w:rsidR="00191C9F" w:rsidRDefault="00DA29A6" w:rsidP="00CB27F6">
      <w:pPr>
        <w:jc w:val="both"/>
        <w:rPr>
          <w:rFonts w:ascii="Calibri" w:hAnsi="Calibri" w:cs="Calibri"/>
          <w:sz w:val="20"/>
          <w:szCs w:val="20"/>
        </w:rPr>
      </w:pPr>
      <w:hyperlink r:id="rId5" w:history="1">
        <w:r w:rsidRPr="0088435F">
          <w:rPr>
            <w:rStyle w:val="Hyperlink"/>
            <w:rFonts w:ascii="Calibri" w:hAnsi="Calibri" w:cs="Calibri"/>
            <w:sz w:val="20"/>
            <w:szCs w:val="20"/>
          </w:rPr>
          <w:t>https://academic.oup.com/cid/article/73/4/e934/6125283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p w14:paraId="1B56EE41" w14:textId="77777777" w:rsidR="00DA29A6" w:rsidRPr="00014B65" w:rsidRDefault="00DA29A6" w:rsidP="00CB27F6">
      <w:pPr>
        <w:jc w:val="both"/>
        <w:rPr>
          <w:rFonts w:ascii="Calibri" w:hAnsi="Calibri" w:cs="Calibri"/>
          <w:sz w:val="20"/>
          <w:szCs w:val="20"/>
        </w:rPr>
      </w:pPr>
    </w:p>
    <w:p w14:paraId="320A3C1F" w14:textId="0A2F473A" w:rsidR="00191C9F" w:rsidRPr="00D919C8" w:rsidRDefault="00191C9F" w:rsidP="00CB27F6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919C8">
        <w:rPr>
          <w:rFonts w:ascii="Calibri" w:hAnsi="Calibri" w:cs="Calibri"/>
          <w:b/>
          <w:bCs/>
          <w:sz w:val="20"/>
          <w:szCs w:val="20"/>
        </w:rPr>
        <w:t xml:space="preserve">Summary: </w:t>
      </w:r>
    </w:p>
    <w:p w14:paraId="121E4B9B" w14:textId="05513B19" w:rsidR="00466BD8" w:rsidRDefault="00466BD8" w:rsidP="00812708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MSM attending </w:t>
      </w:r>
      <w:r w:rsidR="00812708">
        <w:rPr>
          <w:rFonts w:ascii="Calibri" w:hAnsi="Calibri" w:cs="Calibri"/>
          <w:sz w:val="20"/>
          <w:szCs w:val="20"/>
        </w:rPr>
        <w:t xml:space="preserve">3-monthly visits at </w:t>
      </w:r>
      <w:r w:rsidR="00D5121C">
        <w:rPr>
          <w:rFonts w:ascii="Calibri" w:hAnsi="Calibri" w:cs="Calibri"/>
          <w:sz w:val="20"/>
          <w:szCs w:val="20"/>
        </w:rPr>
        <w:t xml:space="preserve">a </w:t>
      </w:r>
      <w:r>
        <w:rPr>
          <w:rFonts w:ascii="Calibri" w:hAnsi="Calibri" w:cs="Calibri"/>
          <w:sz w:val="20"/>
          <w:szCs w:val="20"/>
        </w:rPr>
        <w:t xml:space="preserve">PrEP clinic in Melbourne, Australia between Feb 2016 – Mar 2019 </w:t>
      </w:r>
    </w:p>
    <w:p w14:paraId="311B4E74" w14:textId="77777777" w:rsidR="00B92D26" w:rsidRDefault="00CA4F74" w:rsidP="00812708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Underwent routine STI screening with serological testing for syphilis </w:t>
      </w:r>
      <w:r w:rsidR="00B5234F">
        <w:rPr>
          <w:rFonts w:ascii="Calibri" w:hAnsi="Calibri" w:cs="Calibri"/>
          <w:sz w:val="20"/>
          <w:szCs w:val="20"/>
        </w:rPr>
        <w:t xml:space="preserve">at visits but could also attend walk-in clinic outside of their visits </w:t>
      </w:r>
    </w:p>
    <w:p w14:paraId="19201828" w14:textId="41861F43" w:rsidR="009D5CA4" w:rsidRDefault="00B92D26" w:rsidP="00812708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Syphilis diagnoses classified using Australian laboratory case definition (seroconversion with prior negative serology within 24 months or a 4-fold rise in RPR if reinfection)</w:t>
      </w:r>
      <w:r w:rsidR="003940A4">
        <w:rPr>
          <w:rFonts w:ascii="Calibri" w:hAnsi="Calibri" w:cs="Calibri"/>
          <w:sz w:val="20"/>
          <w:szCs w:val="20"/>
        </w:rPr>
        <w:t>; classified as primary/secondary based on clinical exam and lab results (PCR from a lesion and/or serology)</w:t>
      </w:r>
      <w:r w:rsidR="00155EC8">
        <w:rPr>
          <w:rFonts w:ascii="Calibri" w:hAnsi="Calibri" w:cs="Calibri"/>
          <w:sz w:val="20"/>
          <w:szCs w:val="20"/>
        </w:rPr>
        <w:t xml:space="preserve"> </w:t>
      </w:r>
      <w:r w:rsidR="009D5CA4">
        <w:rPr>
          <w:rFonts w:ascii="Calibri" w:hAnsi="Calibri" w:cs="Calibri"/>
          <w:sz w:val="20"/>
          <w:szCs w:val="20"/>
        </w:rPr>
        <w:t xml:space="preserve"> </w:t>
      </w:r>
    </w:p>
    <w:p w14:paraId="6E9396B8" w14:textId="0099AEC5" w:rsidR="00155EC8" w:rsidRDefault="00155EC8" w:rsidP="00812708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Results </w:t>
      </w:r>
      <w:r w:rsidR="0062193C">
        <w:rPr>
          <w:rFonts w:ascii="Calibri" w:hAnsi="Calibri" w:cs="Calibri"/>
          <w:sz w:val="20"/>
          <w:szCs w:val="20"/>
        </w:rPr>
        <w:t xml:space="preserve">(Table 1) </w:t>
      </w:r>
    </w:p>
    <w:p w14:paraId="02B77312" w14:textId="232CF56E" w:rsidR="00155EC8" w:rsidRDefault="00155EC8" w:rsidP="00155EC8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Total of 69 incident syphilis cases (24 primary, 16 secondary, 29 early latent) </w:t>
      </w:r>
    </w:p>
    <w:p w14:paraId="43448868" w14:textId="2E95E55F" w:rsidR="00155EC8" w:rsidRDefault="00155EC8" w:rsidP="00A83F8B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Among all 69 cases, 20 presented reporting symptoms of primary syphilis</w:t>
      </w:r>
      <w:r w:rsidR="003A0738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 xml:space="preserve">14 </w:t>
      </w:r>
      <w:r w:rsidR="003A0738">
        <w:rPr>
          <w:rFonts w:ascii="Calibri" w:hAnsi="Calibri" w:cs="Calibri"/>
          <w:sz w:val="20"/>
          <w:szCs w:val="20"/>
        </w:rPr>
        <w:t xml:space="preserve">of whom </w:t>
      </w:r>
      <w:r>
        <w:rPr>
          <w:rFonts w:ascii="Calibri" w:hAnsi="Calibri" w:cs="Calibri"/>
          <w:sz w:val="20"/>
          <w:szCs w:val="20"/>
        </w:rPr>
        <w:t>were</w:t>
      </w:r>
      <w:r w:rsidR="00430F2A">
        <w:rPr>
          <w:rFonts w:ascii="Calibri" w:hAnsi="Calibri" w:cs="Calibri"/>
          <w:sz w:val="20"/>
          <w:szCs w:val="20"/>
        </w:rPr>
        <w:t xml:space="preserve"> diagnosed</w:t>
      </w:r>
      <w:r w:rsidR="0075578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at walk-in STI clinic </w:t>
      </w:r>
      <w:r>
        <w:rPr>
          <w:rFonts w:ascii="Calibri" w:hAnsi="Calibri" w:cs="Calibri"/>
          <w:i/>
          <w:iCs/>
          <w:sz w:val="20"/>
          <w:szCs w:val="20"/>
        </w:rPr>
        <w:t>between</w:t>
      </w:r>
      <w:r>
        <w:rPr>
          <w:rFonts w:ascii="Calibri" w:hAnsi="Calibri" w:cs="Calibri"/>
          <w:sz w:val="20"/>
          <w:szCs w:val="20"/>
        </w:rPr>
        <w:t xml:space="preserve"> PrEP appointments </w:t>
      </w:r>
      <w:r w:rsidR="00517B61">
        <w:rPr>
          <w:rFonts w:ascii="Calibri" w:hAnsi="Calibri" w:cs="Calibri"/>
          <w:sz w:val="20"/>
          <w:szCs w:val="20"/>
        </w:rPr>
        <w:t xml:space="preserve"> </w:t>
      </w:r>
    </w:p>
    <w:p w14:paraId="680F3A1E" w14:textId="061AB62D" w:rsidR="00155EC8" w:rsidRDefault="00155EC8" w:rsidP="00A83F8B">
      <w:pPr>
        <w:pStyle w:val="ListParagraph"/>
        <w:numPr>
          <w:ilvl w:val="2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155EC8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</w:t>
      </w:r>
      <w:r w:rsidRPr="00155EC8">
        <w:rPr>
          <w:rFonts w:ascii="Calibri" w:hAnsi="Calibri" w:cs="Calibri"/>
          <w:b/>
          <w:bCs/>
          <w:sz w:val="20"/>
          <w:szCs w:val="20"/>
        </w:rPr>
        <w:t xml:space="preserve">Proportion of incident cases presenting with </w:t>
      </w:r>
      <w:r w:rsidRPr="00CA0623">
        <w:rPr>
          <w:rFonts w:ascii="Calibri" w:hAnsi="Calibri" w:cs="Calibri"/>
          <w:b/>
          <w:bCs/>
          <w:sz w:val="20"/>
          <w:szCs w:val="20"/>
          <w:u w:val="single"/>
        </w:rPr>
        <w:t>symptomatic primary syphilis</w:t>
      </w:r>
      <w:r w:rsidRPr="00155EC8">
        <w:rPr>
          <w:rFonts w:ascii="Calibri" w:hAnsi="Calibri" w:cs="Calibri"/>
          <w:b/>
          <w:bCs/>
          <w:sz w:val="20"/>
          <w:szCs w:val="20"/>
        </w:rPr>
        <w:t xml:space="preserve"> = 20-29%</w:t>
      </w:r>
      <w:r>
        <w:rPr>
          <w:rFonts w:ascii="Calibri" w:hAnsi="Calibri" w:cs="Calibri"/>
          <w:sz w:val="20"/>
          <w:szCs w:val="20"/>
        </w:rPr>
        <w:t xml:space="preserve"> (14/69 – 20/69)  </w:t>
      </w:r>
    </w:p>
    <w:p w14:paraId="20343085" w14:textId="13CFCA07" w:rsidR="00155EC8" w:rsidRDefault="00155EC8" w:rsidP="00A83F8B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Among the cases who were </w:t>
      </w:r>
      <w:r>
        <w:rPr>
          <w:rFonts w:ascii="Calibri" w:hAnsi="Calibri" w:cs="Calibri"/>
          <w:i/>
          <w:iCs/>
          <w:sz w:val="20"/>
          <w:szCs w:val="20"/>
        </w:rPr>
        <w:t>not</w:t>
      </w:r>
      <w:r>
        <w:rPr>
          <w:rFonts w:ascii="Calibri" w:hAnsi="Calibri" w:cs="Calibri"/>
          <w:sz w:val="20"/>
          <w:szCs w:val="20"/>
        </w:rPr>
        <w:t xml:space="preserve"> primary (45 cases), 8 presented reporting symptoms of secondary syphilis</w:t>
      </w:r>
      <w:r w:rsidR="0079265D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 xml:space="preserve"> 7 </w:t>
      </w:r>
      <w:r w:rsidR="0079265D">
        <w:rPr>
          <w:rFonts w:ascii="Calibri" w:hAnsi="Calibri" w:cs="Calibri"/>
          <w:sz w:val="20"/>
          <w:szCs w:val="20"/>
        </w:rPr>
        <w:t xml:space="preserve">of whom </w:t>
      </w:r>
      <w:r>
        <w:rPr>
          <w:rFonts w:ascii="Calibri" w:hAnsi="Calibri" w:cs="Calibri"/>
          <w:sz w:val="20"/>
          <w:szCs w:val="20"/>
        </w:rPr>
        <w:t xml:space="preserve">were diagnosed at walk-in STI clinic </w:t>
      </w:r>
      <w:r>
        <w:rPr>
          <w:rFonts w:ascii="Calibri" w:hAnsi="Calibri" w:cs="Calibri"/>
          <w:i/>
          <w:iCs/>
          <w:sz w:val="20"/>
          <w:szCs w:val="20"/>
        </w:rPr>
        <w:t>between</w:t>
      </w:r>
      <w:r>
        <w:rPr>
          <w:rFonts w:ascii="Calibri" w:hAnsi="Calibri" w:cs="Calibri"/>
          <w:sz w:val="20"/>
          <w:szCs w:val="20"/>
        </w:rPr>
        <w:t xml:space="preserve"> PrEP appointments </w:t>
      </w:r>
    </w:p>
    <w:p w14:paraId="1E16FB4E" w14:textId="60923C1C" w:rsidR="00517B61" w:rsidRPr="00812708" w:rsidRDefault="00517B61" w:rsidP="00A83F8B">
      <w:pPr>
        <w:pStyle w:val="ListParagraph"/>
        <w:numPr>
          <w:ilvl w:val="2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517B61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</w:t>
      </w:r>
      <w:r w:rsidRPr="00CA0623">
        <w:rPr>
          <w:rFonts w:ascii="Calibri" w:hAnsi="Calibri" w:cs="Calibri"/>
          <w:b/>
          <w:bCs/>
          <w:sz w:val="20"/>
          <w:szCs w:val="20"/>
        </w:rPr>
        <w:t xml:space="preserve">Proportion of incident, non-primary cases presenting with </w:t>
      </w:r>
      <w:r w:rsidRPr="00CA0623">
        <w:rPr>
          <w:rFonts w:ascii="Calibri" w:hAnsi="Calibri" w:cs="Calibri"/>
          <w:b/>
          <w:bCs/>
          <w:sz w:val="20"/>
          <w:szCs w:val="20"/>
          <w:u w:val="single"/>
        </w:rPr>
        <w:t>symptomatic secondary syphilis</w:t>
      </w:r>
      <w:r w:rsidRPr="00CA0623">
        <w:rPr>
          <w:rFonts w:ascii="Calibri" w:hAnsi="Calibri" w:cs="Calibri"/>
          <w:b/>
          <w:bCs/>
          <w:sz w:val="20"/>
          <w:szCs w:val="20"/>
        </w:rPr>
        <w:t xml:space="preserve"> = 15-17%</w:t>
      </w:r>
      <w:r>
        <w:rPr>
          <w:rFonts w:ascii="Calibri" w:hAnsi="Calibri" w:cs="Calibri"/>
          <w:sz w:val="20"/>
          <w:szCs w:val="20"/>
        </w:rPr>
        <w:t xml:space="preserve"> (7/45 – 8/45) </w:t>
      </w:r>
    </w:p>
    <w:sectPr w:rsidR="00517B61" w:rsidRPr="00812708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51CB9"/>
    <w:multiLevelType w:val="hybridMultilevel"/>
    <w:tmpl w:val="31C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147C7"/>
    <w:multiLevelType w:val="hybridMultilevel"/>
    <w:tmpl w:val="C1E8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236762">
    <w:abstractNumId w:val="1"/>
  </w:num>
  <w:num w:numId="2" w16cid:durableId="83422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9F"/>
    <w:rsid w:val="00001D9F"/>
    <w:rsid w:val="00006EFB"/>
    <w:rsid w:val="00014B65"/>
    <w:rsid w:val="00015023"/>
    <w:rsid w:val="00015CD7"/>
    <w:rsid w:val="00031E65"/>
    <w:rsid w:val="00040FE7"/>
    <w:rsid w:val="00045CE8"/>
    <w:rsid w:val="000476F1"/>
    <w:rsid w:val="000530EC"/>
    <w:rsid w:val="00055565"/>
    <w:rsid w:val="00055A12"/>
    <w:rsid w:val="00065138"/>
    <w:rsid w:val="00084106"/>
    <w:rsid w:val="00085DA1"/>
    <w:rsid w:val="00086491"/>
    <w:rsid w:val="00086E87"/>
    <w:rsid w:val="000904C1"/>
    <w:rsid w:val="00092A7A"/>
    <w:rsid w:val="00095C36"/>
    <w:rsid w:val="000B6B0D"/>
    <w:rsid w:val="000C08E2"/>
    <w:rsid w:val="000C24DE"/>
    <w:rsid w:val="000D7F43"/>
    <w:rsid w:val="000F1B22"/>
    <w:rsid w:val="000F7028"/>
    <w:rsid w:val="0010632C"/>
    <w:rsid w:val="0011284B"/>
    <w:rsid w:val="001178AB"/>
    <w:rsid w:val="00126AD0"/>
    <w:rsid w:val="00140D27"/>
    <w:rsid w:val="001423E8"/>
    <w:rsid w:val="00146C83"/>
    <w:rsid w:val="001522A6"/>
    <w:rsid w:val="00155EC8"/>
    <w:rsid w:val="00172179"/>
    <w:rsid w:val="00172A62"/>
    <w:rsid w:val="0017610D"/>
    <w:rsid w:val="0018770F"/>
    <w:rsid w:val="00191A0E"/>
    <w:rsid w:val="00191C9F"/>
    <w:rsid w:val="00194FCB"/>
    <w:rsid w:val="001B44C4"/>
    <w:rsid w:val="001B517A"/>
    <w:rsid w:val="001F0A84"/>
    <w:rsid w:val="00206815"/>
    <w:rsid w:val="0021691A"/>
    <w:rsid w:val="00222380"/>
    <w:rsid w:val="00246005"/>
    <w:rsid w:val="002512E8"/>
    <w:rsid w:val="0027217A"/>
    <w:rsid w:val="002A2094"/>
    <w:rsid w:val="002B193E"/>
    <w:rsid w:val="002B1BFC"/>
    <w:rsid w:val="002B35F7"/>
    <w:rsid w:val="002B3C19"/>
    <w:rsid w:val="002B68D7"/>
    <w:rsid w:val="002C0F02"/>
    <w:rsid w:val="002C29F6"/>
    <w:rsid w:val="002E186E"/>
    <w:rsid w:val="002F1263"/>
    <w:rsid w:val="00301B4F"/>
    <w:rsid w:val="00306E7B"/>
    <w:rsid w:val="00316AFA"/>
    <w:rsid w:val="003218D8"/>
    <w:rsid w:val="00372C6D"/>
    <w:rsid w:val="00387398"/>
    <w:rsid w:val="003940A4"/>
    <w:rsid w:val="00396700"/>
    <w:rsid w:val="003A0718"/>
    <w:rsid w:val="003A0738"/>
    <w:rsid w:val="003A088C"/>
    <w:rsid w:val="003A3BD5"/>
    <w:rsid w:val="003B1F80"/>
    <w:rsid w:val="003D17A8"/>
    <w:rsid w:val="003E279C"/>
    <w:rsid w:val="003F50F1"/>
    <w:rsid w:val="00421EB0"/>
    <w:rsid w:val="00423304"/>
    <w:rsid w:val="00424ABA"/>
    <w:rsid w:val="00430F2A"/>
    <w:rsid w:val="00435632"/>
    <w:rsid w:val="00436DBD"/>
    <w:rsid w:val="00451789"/>
    <w:rsid w:val="00466B2D"/>
    <w:rsid w:val="00466BD8"/>
    <w:rsid w:val="004944FD"/>
    <w:rsid w:val="004A3B80"/>
    <w:rsid w:val="004A6B86"/>
    <w:rsid w:val="004B752C"/>
    <w:rsid w:val="004C5B37"/>
    <w:rsid w:val="004C7C50"/>
    <w:rsid w:val="004D69A1"/>
    <w:rsid w:val="004F15DC"/>
    <w:rsid w:val="004F2BB7"/>
    <w:rsid w:val="00502B0E"/>
    <w:rsid w:val="005060F6"/>
    <w:rsid w:val="00517B61"/>
    <w:rsid w:val="00520517"/>
    <w:rsid w:val="00523D76"/>
    <w:rsid w:val="005275ED"/>
    <w:rsid w:val="00537A92"/>
    <w:rsid w:val="0054137C"/>
    <w:rsid w:val="00547861"/>
    <w:rsid w:val="0055096F"/>
    <w:rsid w:val="00550F16"/>
    <w:rsid w:val="00557F46"/>
    <w:rsid w:val="005703BE"/>
    <w:rsid w:val="005876C1"/>
    <w:rsid w:val="005A2983"/>
    <w:rsid w:val="005B5A53"/>
    <w:rsid w:val="005C6F5A"/>
    <w:rsid w:val="005D69D7"/>
    <w:rsid w:val="005E4556"/>
    <w:rsid w:val="005E6095"/>
    <w:rsid w:val="005E61F1"/>
    <w:rsid w:val="005F712B"/>
    <w:rsid w:val="006120E6"/>
    <w:rsid w:val="00614138"/>
    <w:rsid w:val="0062193C"/>
    <w:rsid w:val="006338F5"/>
    <w:rsid w:val="00641B26"/>
    <w:rsid w:val="00652C97"/>
    <w:rsid w:val="0068306E"/>
    <w:rsid w:val="006941AE"/>
    <w:rsid w:val="006B6ABF"/>
    <w:rsid w:val="006C1181"/>
    <w:rsid w:val="006C6D39"/>
    <w:rsid w:val="006D0AE9"/>
    <w:rsid w:val="006D7F67"/>
    <w:rsid w:val="006E7272"/>
    <w:rsid w:val="006F4777"/>
    <w:rsid w:val="0070778C"/>
    <w:rsid w:val="00724C99"/>
    <w:rsid w:val="00731ABF"/>
    <w:rsid w:val="007363F2"/>
    <w:rsid w:val="0073772E"/>
    <w:rsid w:val="00743821"/>
    <w:rsid w:val="00755784"/>
    <w:rsid w:val="00766184"/>
    <w:rsid w:val="00773B58"/>
    <w:rsid w:val="00791E48"/>
    <w:rsid w:val="0079265D"/>
    <w:rsid w:val="007A1A79"/>
    <w:rsid w:val="007A2DCC"/>
    <w:rsid w:val="007D7C8F"/>
    <w:rsid w:val="007E190E"/>
    <w:rsid w:val="007E4917"/>
    <w:rsid w:val="007E6DF8"/>
    <w:rsid w:val="00800BA9"/>
    <w:rsid w:val="008112D4"/>
    <w:rsid w:val="00812708"/>
    <w:rsid w:val="008147F5"/>
    <w:rsid w:val="008200D0"/>
    <w:rsid w:val="00827644"/>
    <w:rsid w:val="0083058E"/>
    <w:rsid w:val="00832BB1"/>
    <w:rsid w:val="00845B4F"/>
    <w:rsid w:val="008530F3"/>
    <w:rsid w:val="0085331B"/>
    <w:rsid w:val="008571CD"/>
    <w:rsid w:val="00861011"/>
    <w:rsid w:val="00865A35"/>
    <w:rsid w:val="00866067"/>
    <w:rsid w:val="0088308B"/>
    <w:rsid w:val="0089253E"/>
    <w:rsid w:val="008B4AEB"/>
    <w:rsid w:val="008C067B"/>
    <w:rsid w:val="008F3AE6"/>
    <w:rsid w:val="00912812"/>
    <w:rsid w:val="009462C4"/>
    <w:rsid w:val="0095334B"/>
    <w:rsid w:val="00961229"/>
    <w:rsid w:val="009707A8"/>
    <w:rsid w:val="00973A7F"/>
    <w:rsid w:val="00987B46"/>
    <w:rsid w:val="009963E5"/>
    <w:rsid w:val="009A24E3"/>
    <w:rsid w:val="009A5097"/>
    <w:rsid w:val="009B0375"/>
    <w:rsid w:val="009B21BD"/>
    <w:rsid w:val="009B59BB"/>
    <w:rsid w:val="009B6348"/>
    <w:rsid w:val="009B79C2"/>
    <w:rsid w:val="009C33C2"/>
    <w:rsid w:val="009C6426"/>
    <w:rsid w:val="009D5CA4"/>
    <w:rsid w:val="009E4D23"/>
    <w:rsid w:val="009F7FF7"/>
    <w:rsid w:val="00A00685"/>
    <w:rsid w:val="00A04E45"/>
    <w:rsid w:val="00A058DB"/>
    <w:rsid w:val="00A241DC"/>
    <w:rsid w:val="00A3058C"/>
    <w:rsid w:val="00A352E1"/>
    <w:rsid w:val="00A46939"/>
    <w:rsid w:val="00A513F8"/>
    <w:rsid w:val="00A63BCC"/>
    <w:rsid w:val="00A676D8"/>
    <w:rsid w:val="00A714C0"/>
    <w:rsid w:val="00A714F6"/>
    <w:rsid w:val="00A7480A"/>
    <w:rsid w:val="00A83F8B"/>
    <w:rsid w:val="00A93149"/>
    <w:rsid w:val="00A96626"/>
    <w:rsid w:val="00AA30AA"/>
    <w:rsid w:val="00AB4B09"/>
    <w:rsid w:val="00AB60B5"/>
    <w:rsid w:val="00AB620C"/>
    <w:rsid w:val="00AB6835"/>
    <w:rsid w:val="00AD176C"/>
    <w:rsid w:val="00AD4D7F"/>
    <w:rsid w:val="00AE1B7D"/>
    <w:rsid w:val="00AF18B9"/>
    <w:rsid w:val="00AF3D0B"/>
    <w:rsid w:val="00AF542E"/>
    <w:rsid w:val="00B30151"/>
    <w:rsid w:val="00B34BFC"/>
    <w:rsid w:val="00B51765"/>
    <w:rsid w:val="00B5234F"/>
    <w:rsid w:val="00B61682"/>
    <w:rsid w:val="00B675B8"/>
    <w:rsid w:val="00B83FD0"/>
    <w:rsid w:val="00B84557"/>
    <w:rsid w:val="00B879FE"/>
    <w:rsid w:val="00B92D26"/>
    <w:rsid w:val="00B954BB"/>
    <w:rsid w:val="00BA27E2"/>
    <w:rsid w:val="00BA2841"/>
    <w:rsid w:val="00BB41BB"/>
    <w:rsid w:val="00BC033C"/>
    <w:rsid w:val="00BC54B2"/>
    <w:rsid w:val="00BD04D6"/>
    <w:rsid w:val="00BD0D9B"/>
    <w:rsid w:val="00BD10F7"/>
    <w:rsid w:val="00BD26A4"/>
    <w:rsid w:val="00BD598C"/>
    <w:rsid w:val="00BD5E22"/>
    <w:rsid w:val="00C026E1"/>
    <w:rsid w:val="00C26047"/>
    <w:rsid w:val="00C3180A"/>
    <w:rsid w:val="00C42B79"/>
    <w:rsid w:val="00C4637A"/>
    <w:rsid w:val="00C46A74"/>
    <w:rsid w:val="00C5473E"/>
    <w:rsid w:val="00C6005E"/>
    <w:rsid w:val="00C8058D"/>
    <w:rsid w:val="00C8379A"/>
    <w:rsid w:val="00C9165A"/>
    <w:rsid w:val="00CA0623"/>
    <w:rsid w:val="00CA4F74"/>
    <w:rsid w:val="00CB27F6"/>
    <w:rsid w:val="00CC46F3"/>
    <w:rsid w:val="00CC5A2D"/>
    <w:rsid w:val="00CD10C5"/>
    <w:rsid w:val="00CD3D64"/>
    <w:rsid w:val="00CD3D9A"/>
    <w:rsid w:val="00CE3D8B"/>
    <w:rsid w:val="00CF0CF8"/>
    <w:rsid w:val="00CF0FD1"/>
    <w:rsid w:val="00CF7BAA"/>
    <w:rsid w:val="00D23DD5"/>
    <w:rsid w:val="00D23F35"/>
    <w:rsid w:val="00D44934"/>
    <w:rsid w:val="00D4630C"/>
    <w:rsid w:val="00D5121C"/>
    <w:rsid w:val="00D52A7E"/>
    <w:rsid w:val="00D52D2C"/>
    <w:rsid w:val="00D63762"/>
    <w:rsid w:val="00D73452"/>
    <w:rsid w:val="00D7496B"/>
    <w:rsid w:val="00D77972"/>
    <w:rsid w:val="00D81B46"/>
    <w:rsid w:val="00D82A4A"/>
    <w:rsid w:val="00D82A9D"/>
    <w:rsid w:val="00D84850"/>
    <w:rsid w:val="00D84E47"/>
    <w:rsid w:val="00D919C8"/>
    <w:rsid w:val="00D95AF8"/>
    <w:rsid w:val="00DA29A6"/>
    <w:rsid w:val="00DB1EE3"/>
    <w:rsid w:val="00DC1273"/>
    <w:rsid w:val="00DD26F8"/>
    <w:rsid w:val="00DD3918"/>
    <w:rsid w:val="00DE3F84"/>
    <w:rsid w:val="00DF25B6"/>
    <w:rsid w:val="00DF40EB"/>
    <w:rsid w:val="00DF7ABF"/>
    <w:rsid w:val="00E00C9F"/>
    <w:rsid w:val="00E00E7B"/>
    <w:rsid w:val="00E15969"/>
    <w:rsid w:val="00E175C9"/>
    <w:rsid w:val="00E233CC"/>
    <w:rsid w:val="00E37E6B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01BE"/>
    <w:rsid w:val="00EA7586"/>
    <w:rsid w:val="00EB48E2"/>
    <w:rsid w:val="00EE2A06"/>
    <w:rsid w:val="00F2180F"/>
    <w:rsid w:val="00F25467"/>
    <w:rsid w:val="00F27352"/>
    <w:rsid w:val="00F67E45"/>
    <w:rsid w:val="00F72934"/>
    <w:rsid w:val="00F87748"/>
    <w:rsid w:val="00F93C47"/>
    <w:rsid w:val="00F946AA"/>
    <w:rsid w:val="00FA5AC7"/>
    <w:rsid w:val="00FC3327"/>
    <w:rsid w:val="00FC4061"/>
    <w:rsid w:val="00FC4D7C"/>
    <w:rsid w:val="00FC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9B892"/>
  <w15:chartTrackingRefBased/>
  <w15:docId w15:val="{2AB7D954-BC1C-EA49-8969-FBF7B3F0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C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C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C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C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9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ademic.oup.com/cid/article/73/4/e934/61252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28</cp:revision>
  <dcterms:created xsi:type="dcterms:W3CDTF">2025-01-31T14:02:00Z</dcterms:created>
  <dcterms:modified xsi:type="dcterms:W3CDTF">2025-01-31T14:29:00Z</dcterms:modified>
</cp:coreProperties>
</file>