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4C1AB" w14:textId="77777777" w:rsidR="00131835" w:rsidRPr="00516213" w:rsidRDefault="00131835" w:rsidP="00516213">
      <w:pPr>
        <w:rPr>
          <w:rFonts w:cstheme="minorBidi"/>
          <w:szCs w:val="20"/>
        </w:rPr>
      </w:pPr>
    </w:p>
    <w:p w14:paraId="26267997" w14:textId="77777777" w:rsidR="00131835" w:rsidRPr="00516213" w:rsidRDefault="00131835" w:rsidP="00E67334">
      <w:pPr>
        <w:pStyle w:val="Heading1"/>
      </w:pPr>
      <w:r w:rsidRPr="00516213">
        <w:t>Natural History of Syphilis</w:t>
      </w:r>
    </w:p>
    <w:p w14:paraId="7312A86F" w14:textId="56897892" w:rsidR="00D32034" w:rsidRPr="00516213" w:rsidRDefault="00D32034" w:rsidP="00516213">
      <w:pPr>
        <w:rPr>
          <w:rFonts w:cstheme="minorBidi"/>
          <w:szCs w:val="20"/>
        </w:rPr>
      </w:pPr>
      <w:r w:rsidRPr="00516213">
        <w:rPr>
          <w:rFonts w:cstheme="minorBidi"/>
          <w:szCs w:val="20"/>
        </w:rPr>
        <w:t>Syphilis is a multistage disease with diverse and wide-ranging clinical manifestations that vary depending on the stage of infection, which often includes overlapping phases</w:t>
      </w:r>
      <w:r w:rsidRPr="00516213">
        <w:rPr>
          <w:rFonts w:cstheme="minorBidi"/>
          <w:szCs w:val="20"/>
        </w:rPr>
        <w:t xml:space="preserve">. </w:t>
      </w:r>
      <w:r w:rsidRPr="00516213">
        <w:rPr>
          <w:rFonts w:cstheme="minorBidi"/>
          <w:szCs w:val="20"/>
        </w:rPr>
        <w:t>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22C58EEC" w14:textId="77777777" w:rsidR="00131835" w:rsidRPr="00516213" w:rsidRDefault="00131835" w:rsidP="00516213">
      <w:pPr>
        <w:rPr>
          <w:rFonts w:cstheme="minorBidi"/>
          <w:b/>
          <w:bCs/>
          <w:i/>
          <w:iCs/>
          <w:szCs w:val="20"/>
        </w:rPr>
      </w:pPr>
    </w:p>
    <w:p w14:paraId="635BE27D" w14:textId="1612C42C" w:rsidR="00D32034" w:rsidRPr="00516213" w:rsidRDefault="00D32034" w:rsidP="00516213">
      <w:pPr>
        <w:rPr>
          <w:rFonts w:cstheme="minorBidi"/>
          <w:szCs w:val="20"/>
        </w:rPr>
      </w:pPr>
      <w:r w:rsidRPr="00516213">
        <w:rPr>
          <w:rFonts w:cstheme="minorBidi"/>
          <w:szCs w:val="20"/>
        </w:rPr>
        <w:t xml:space="preserve">&gt;Khalil: </w:t>
      </w:r>
      <w:r w:rsidRPr="00516213">
        <w:rPr>
          <w:rFonts w:cstheme="minorBidi"/>
          <w:szCs w:val="20"/>
        </w:rPr>
        <w:t>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516213" w:rsidRDefault="00D32034" w:rsidP="00801282">
      <w:pPr>
        <w:pStyle w:val="Heading2"/>
        <w:rPr>
          <w:rFonts w:cstheme="minorBidi"/>
          <w:i/>
          <w:iCs/>
          <w:szCs w:val="20"/>
        </w:rPr>
      </w:pPr>
      <w:r w:rsidRPr="00516213">
        <w:t>Primary syphilis:</w:t>
      </w:r>
    </w:p>
    <w:p w14:paraId="742538B7" w14:textId="77777777" w:rsidR="00D32034" w:rsidRPr="00516213" w:rsidRDefault="00D32034" w:rsidP="00516213">
      <w:pPr>
        <w:rPr>
          <w:rFonts w:cstheme="minorBidi"/>
          <w:szCs w:val="20"/>
        </w:rPr>
      </w:pPr>
      <w:r w:rsidRPr="00516213">
        <w:rPr>
          <w:rFonts w:cstheme="minorBidi"/>
          <w:szCs w:val="20"/>
        </w:rPr>
        <w:t xml:space="preserve">Within the early infection period, we assume that </w:t>
      </w:r>
      <w:r w:rsidRPr="00516213">
        <w:rPr>
          <w:rFonts w:cstheme="minorBidi"/>
          <w:b/>
          <w:bCs/>
          <w:szCs w:val="20"/>
        </w:rPr>
        <w:t>primary syphilis</w:t>
      </w:r>
      <w:r w:rsidRPr="00516213">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516213">
        <w:rPr>
          <w:rFonts w:cstheme="minorBidi"/>
          <w:i/>
          <w:iCs/>
          <w:szCs w:val="20"/>
        </w:rPr>
        <w:t>T. pallidum</w:t>
      </w:r>
      <w:r w:rsidRPr="00516213">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p>
    <w:p w14:paraId="22B7354F" w14:textId="2319A5B1" w:rsidR="00D32034" w:rsidRPr="00516213" w:rsidRDefault="00D32034" w:rsidP="00516213">
      <w:pPr>
        <w:pStyle w:val="ListParagraph"/>
        <w:numPr>
          <w:ilvl w:val="0"/>
          <w:numId w:val="22"/>
        </w:numPr>
        <w:rPr>
          <w:rFonts w:cstheme="minorBidi"/>
          <w:i/>
          <w:iCs/>
          <w:szCs w:val="20"/>
        </w:rPr>
      </w:pPr>
      <w:r w:rsidRPr="00516213">
        <w:rPr>
          <w:rFonts w:cstheme="minorBidi"/>
          <w:b/>
          <w:bCs/>
          <w:i/>
          <w:iCs/>
          <w:szCs w:val="20"/>
        </w:rPr>
        <w:t xml:space="preserve">Primary incubation: </w:t>
      </w:r>
      <w:r w:rsidRPr="00516213">
        <w:rPr>
          <w:rFonts w:cstheme="minorBidi"/>
          <w:i/>
          <w:iCs/>
          <w:szCs w:val="20"/>
        </w:rPr>
        <w:t xml:space="preserve">Primary syphilis occurs 21 days (3 to 90) days after exposure when the first chancre develops </w: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 </w:instrTex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EN.CITE.DATA </w:instrText>
      </w:r>
      <w:r w:rsidRPr="00516213">
        <w:rPr>
          <w:rFonts w:cstheme="minorBidi"/>
          <w:i/>
          <w:iCs/>
          <w:szCs w:val="20"/>
        </w:rPr>
        <w:fldChar w:fldCharType="end"/>
      </w:r>
      <w:r w:rsidRPr="00516213">
        <w:rPr>
          <w:rFonts w:cstheme="minorBidi"/>
          <w:i/>
          <w:iCs/>
          <w:szCs w:val="20"/>
        </w:rPr>
        <w:fldChar w:fldCharType="separate"/>
      </w:r>
      <w:r w:rsidRPr="00516213">
        <w:rPr>
          <w:rFonts w:cstheme="minorBidi"/>
          <w:i/>
          <w:iCs/>
          <w:noProof/>
          <w:szCs w:val="20"/>
        </w:rPr>
        <w:t>(1, 2)</w:t>
      </w:r>
      <w:r w:rsidRPr="00516213">
        <w:rPr>
          <w:rFonts w:cstheme="minorBidi"/>
          <w:i/>
          <w:iCs/>
          <w:szCs w:val="20"/>
        </w:rPr>
        <w:fldChar w:fldCharType="end"/>
      </w:r>
    </w:p>
    <w:p w14:paraId="52FDCA87" w14:textId="46E653A4" w:rsidR="00D32034" w:rsidRPr="00516213" w:rsidRDefault="00D32034" w:rsidP="00516213">
      <w:pPr>
        <w:pStyle w:val="ListParagraph"/>
        <w:numPr>
          <w:ilvl w:val="0"/>
          <w:numId w:val="22"/>
        </w:numPr>
        <w:rPr>
          <w:rFonts w:cstheme="minorBidi"/>
          <w:szCs w:val="20"/>
        </w:rPr>
      </w:pPr>
      <w:r w:rsidRPr="00516213">
        <w:rPr>
          <w:rFonts w:cstheme="minorBidi"/>
          <w:szCs w:val="20"/>
        </w:rPr>
        <w:t xml:space="preserve">Duration of chancre: 3-6 weeks </w: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 </w:instrText>
      </w:r>
      <w:r w:rsidRPr="00516213">
        <w:rPr>
          <w:rFonts w:cstheme="minorBidi"/>
          <w:i/>
          <w:iCs/>
          <w:szCs w:val="20"/>
        </w:rPr>
        <w:fldChar w:fldCharType="begin">
          <w:fldData xml:space="preserve">PEVuZE5vdGU+PENpdGU+PEF1dGhvcj5NZXJjdXJpPC9BdXRob3I+PFllYXI+MjAyMjwvWWVhcj48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b3VyY2UtbnVtPjwvcmVjb3JkPjwvQ2l0ZT48L0VuZE5vdGU+AG==
</w:fldData>
        </w:fldChar>
      </w:r>
      <w:r w:rsidRPr="00516213">
        <w:rPr>
          <w:rFonts w:cstheme="minorBidi"/>
          <w:i/>
          <w:iCs/>
          <w:szCs w:val="20"/>
        </w:rPr>
        <w:instrText xml:space="preserve"> ADDIN EN.CITE.DATA </w:instrText>
      </w:r>
      <w:r w:rsidRPr="00516213">
        <w:rPr>
          <w:i/>
          <w:iCs/>
        </w:rPr>
      </w:r>
      <w:r w:rsidRPr="00516213">
        <w:rPr>
          <w:rFonts w:cstheme="minorBidi"/>
          <w:i/>
          <w:iCs/>
          <w:szCs w:val="20"/>
        </w:rPr>
        <w:fldChar w:fldCharType="end"/>
      </w:r>
      <w:r w:rsidRPr="00516213">
        <w:rPr>
          <w:rFonts w:cstheme="minorBidi"/>
          <w:i/>
          <w:iCs/>
          <w:szCs w:val="20"/>
        </w:rPr>
        <w:fldChar w:fldCharType="separate"/>
      </w:r>
      <w:r w:rsidRPr="00516213">
        <w:rPr>
          <w:rFonts w:cstheme="minorBidi"/>
          <w:i/>
          <w:iCs/>
          <w:noProof/>
          <w:szCs w:val="20"/>
        </w:rPr>
        <w:t>(1, 2)</w:t>
      </w:r>
      <w:r w:rsidRPr="00516213">
        <w:rPr>
          <w:rFonts w:cstheme="minorBidi"/>
          <w:i/>
          <w:iCs/>
          <w:szCs w:val="20"/>
        </w:rPr>
        <w:fldChar w:fldCharType="end"/>
      </w:r>
      <w:r w:rsidRPr="00516213">
        <w:rPr>
          <w:rFonts w:cstheme="minorBidi"/>
          <w:i/>
          <w:iCs/>
          <w:szCs w:val="20"/>
        </w:rPr>
        <w:t xml:space="preserve">, </w:t>
      </w:r>
      <w:r w:rsidRPr="00516213">
        <w:rPr>
          <w:rFonts w:cstheme="minorBidi"/>
          <w:szCs w:val="20"/>
        </w:rPr>
        <w:t xml:space="preserve"> 2-6 weeks   </w:t>
      </w:r>
      <w:r w:rsidRPr="00516213">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516213">
        <w:rPr>
          <w:rFonts w:cstheme="minorBidi"/>
          <w:szCs w:val="20"/>
        </w:rPr>
        <w:instrText xml:space="preserve"> ADDIN EN.CITE </w:instrText>
      </w:r>
      <w:r w:rsidRPr="00516213">
        <w:rPr>
          <w:rFonts w:cstheme="minorBidi"/>
          <w:szCs w:val="20"/>
        </w:rPr>
        <w:fldChar w:fldCharType="begin">
          <w:fldData xml:space="preserve">PEVuZE5vdGU+PENpdGU+PEF1dGhvcj5IaWNrczwvQXV0aG9yPjxZZWFyPjIwMjE8L1llYXI+PFJl
Y051bT4zPC9SZWNOdW0+PERpc3BsYXlUZXh0PigzLCA0KTwvRGlzcGxheVRleHQ+PHJlY29yZD48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516213">
        <w:rPr>
          <w:rFonts w:cstheme="minorBidi"/>
          <w:szCs w:val="20"/>
        </w:rPr>
        <w:instrText xml:space="preserve"> ADDIN EN.CITE.DATA </w:instrText>
      </w:r>
      <w:r w:rsidRPr="00516213">
        <w:rPr>
          <w:rFonts w:cstheme="minorBidi"/>
          <w:szCs w:val="20"/>
        </w:rPr>
        <w:fldChar w:fldCharType="end"/>
      </w:r>
      <w:r w:rsidRPr="00516213">
        <w:rPr>
          <w:rFonts w:cstheme="minorBidi"/>
          <w:szCs w:val="20"/>
        </w:rPr>
        <w:fldChar w:fldCharType="separate"/>
      </w:r>
      <w:r w:rsidRPr="00516213">
        <w:rPr>
          <w:rFonts w:cstheme="minorBidi"/>
          <w:noProof/>
          <w:szCs w:val="20"/>
        </w:rPr>
        <w:t>(3, 4)</w:t>
      </w:r>
      <w:r w:rsidRPr="00516213">
        <w:rPr>
          <w:rFonts w:cstheme="minorBidi"/>
          <w:szCs w:val="20"/>
        </w:rPr>
        <w:fldChar w:fldCharType="end"/>
      </w:r>
      <w:r w:rsidRPr="00516213">
        <w:rPr>
          <w:rFonts w:cstheme="minorBidi"/>
          <w:szCs w:val="20"/>
        </w:rPr>
        <w:t>, 4-6weeks</w:t>
      </w:r>
      <w:r w:rsidRPr="00516213">
        <w:rPr>
          <w:rFonts w:cstheme="minorBidi"/>
          <w:szCs w:val="20"/>
          <w:highlight w:val="yellow"/>
        </w:rPr>
        <w:fldChar w:fldCharType="begin"/>
      </w:r>
      <w:r w:rsidRPr="00516213">
        <w:rPr>
          <w:rFonts w:cstheme="minorBidi"/>
          <w:szCs w:val="20"/>
          <w:highlight w:val="yellow"/>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highlight w:val="yellow"/>
        </w:rPr>
        <w:fldChar w:fldCharType="separate"/>
      </w:r>
      <w:r w:rsidRPr="00516213">
        <w:rPr>
          <w:rFonts w:cstheme="minorBidi"/>
          <w:noProof/>
          <w:szCs w:val="20"/>
          <w:highlight w:val="yellow"/>
        </w:rPr>
        <w:t>(5)</w:t>
      </w:r>
      <w:r w:rsidRPr="00516213">
        <w:rPr>
          <w:rFonts w:cstheme="minorBidi"/>
          <w:szCs w:val="20"/>
          <w:highlight w:val="yellow"/>
        </w:rPr>
        <w:fldChar w:fldCharType="end"/>
      </w:r>
    </w:p>
    <w:p w14:paraId="6D4F753B" w14:textId="7016F639" w:rsidR="00D32034" w:rsidRPr="00516213" w:rsidRDefault="00D32034" w:rsidP="00516213">
      <w:pPr>
        <w:pStyle w:val="ListParagraph"/>
        <w:numPr>
          <w:ilvl w:val="0"/>
          <w:numId w:val="22"/>
        </w:numPr>
        <w:rPr>
          <w:rFonts w:cstheme="minorBidi"/>
          <w:szCs w:val="20"/>
          <w:highlight w:val="yellow"/>
        </w:rPr>
      </w:pPr>
      <w:r w:rsidRPr="00516213">
        <w:rPr>
          <w:rFonts w:cstheme="minorBidi"/>
          <w:szCs w:val="20"/>
        </w:rPr>
        <w:t xml:space="preserve">Prop of </w:t>
      </w:r>
      <w:proofErr w:type="spellStart"/>
      <w:r w:rsidRPr="00516213">
        <w:rPr>
          <w:rFonts w:cstheme="minorBidi"/>
          <w:szCs w:val="20"/>
        </w:rPr>
        <w:t>msm</w:t>
      </w:r>
      <w:proofErr w:type="spellEnd"/>
      <w:r w:rsidRPr="00516213">
        <w:rPr>
          <w:rFonts w:cstheme="minorBidi"/>
          <w:szCs w:val="20"/>
        </w:rPr>
        <w:t xml:space="preserve"> with chancre in non-penile area </w:t>
      </w:r>
      <w:r w:rsidRPr="00516213">
        <w:rPr>
          <w:rFonts w:cstheme="minorBidi"/>
          <w:i/>
          <w:iCs/>
          <w:szCs w:val="20"/>
        </w:rPr>
        <w:t>including the rectum, anal canal, and oral cavity.</w:t>
      </w:r>
      <w:r w:rsidRPr="00516213">
        <w:rPr>
          <w:rFonts w:cstheme="minorBidi"/>
          <w:szCs w:val="20"/>
        </w:rPr>
        <w:t xml:space="preserve">: </w:t>
      </w:r>
      <w:r w:rsidRPr="00516213">
        <w:rPr>
          <w:rFonts w:cstheme="minorBidi"/>
          <w:szCs w:val="20"/>
          <w:highlight w:val="yellow"/>
        </w:rPr>
        <w:t xml:space="preserve">32-36% </w:t>
      </w:r>
      <w:r w:rsidRPr="00516213">
        <w:rPr>
          <w:rFonts w:cstheme="minorBidi"/>
          <w:szCs w:val="20"/>
          <w:highlight w:val="yellow"/>
        </w:rPr>
        <w:fldChar w:fldCharType="begin"/>
      </w:r>
      <w:r w:rsidRPr="00516213">
        <w:rPr>
          <w:rFonts w:cstheme="minorBidi"/>
          <w:szCs w:val="20"/>
          <w:highlight w:val="yellow"/>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highlight w:val="yellow"/>
        </w:rPr>
        <w:fldChar w:fldCharType="separate"/>
      </w:r>
      <w:r w:rsidRPr="00516213">
        <w:rPr>
          <w:rFonts w:cstheme="minorBidi"/>
          <w:noProof/>
          <w:szCs w:val="20"/>
          <w:highlight w:val="yellow"/>
        </w:rPr>
        <w:t>(5)</w:t>
      </w:r>
      <w:r w:rsidRPr="00516213">
        <w:rPr>
          <w:rFonts w:cstheme="minorBidi"/>
          <w:szCs w:val="20"/>
          <w:highlight w:val="yellow"/>
        </w:rPr>
        <w:fldChar w:fldCharType="end"/>
      </w:r>
    </w:p>
    <w:p w14:paraId="1C51509F" w14:textId="77777777" w:rsidR="00D32034" w:rsidRPr="00516213" w:rsidRDefault="00D32034" w:rsidP="00516213">
      <w:pPr>
        <w:pStyle w:val="ListParagraph"/>
        <w:numPr>
          <w:ilvl w:val="0"/>
          <w:numId w:val="22"/>
        </w:numPr>
        <w:rPr>
          <w:rFonts w:cstheme="minorBidi"/>
          <w:szCs w:val="20"/>
          <w:highlight w:val="yellow"/>
        </w:rPr>
      </w:pPr>
      <w:r w:rsidRPr="00516213">
        <w:rPr>
          <w:rFonts w:cstheme="minorBidi"/>
          <w:szCs w:val="20"/>
          <w:highlight w:val="yellow"/>
        </w:rPr>
        <w:t>Prop of women with chancre in the labia or cervix</w:t>
      </w:r>
    </w:p>
    <w:p w14:paraId="5952398D" w14:textId="7E5391CB" w:rsidR="00D32034" w:rsidRPr="00516213" w:rsidRDefault="00D32034" w:rsidP="00516213">
      <w:pPr>
        <w:pStyle w:val="ListParagraph"/>
        <w:numPr>
          <w:ilvl w:val="0"/>
          <w:numId w:val="22"/>
        </w:numPr>
        <w:rPr>
          <w:rFonts w:cstheme="minorBidi"/>
          <w:i/>
          <w:iCs/>
          <w:szCs w:val="20"/>
        </w:rPr>
      </w:pPr>
      <w:r w:rsidRPr="00516213">
        <w:rPr>
          <w:rFonts w:cstheme="minorBidi"/>
          <w:b/>
          <w:bCs/>
          <w:i/>
          <w:iCs/>
          <w:szCs w:val="20"/>
        </w:rPr>
        <w:t xml:space="preserve">Secondary </w:t>
      </w:r>
      <w:proofErr w:type="spellStart"/>
      <w:proofErr w:type="gramStart"/>
      <w:r w:rsidRPr="00516213">
        <w:rPr>
          <w:rFonts w:cstheme="minorBidi"/>
          <w:b/>
          <w:bCs/>
          <w:i/>
          <w:iCs/>
          <w:szCs w:val="20"/>
        </w:rPr>
        <w:t>incubation:</w:t>
      </w:r>
      <w:r w:rsidRPr="00516213">
        <w:rPr>
          <w:rFonts w:cstheme="minorBidi"/>
          <w:i/>
          <w:iCs/>
          <w:szCs w:val="20"/>
        </w:rPr>
        <w:t>The</w:t>
      </w:r>
      <w:proofErr w:type="spellEnd"/>
      <w:proofErr w:type="gramEnd"/>
      <w:r w:rsidRPr="00516213">
        <w:rPr>
          <w:rFonts w:cstheme="minorBidi"/>
          <w:i/>
          <w:iCs/>
          <w:szCs w:val="20"/>
        </w:rPr>
        <w:t xml:space="preserv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w:t>
      </w:r>
      <w:r w:rsidRPr="00516213">
        <w:rPr>
          <w:rFonts w:cstheme="minorBidi"/>
          <w:b/>
          <w:bCs/>
          <w:i/>
          <w:iCs/>
          <w:szCs w:val="20"/>
        </w:rPr>
        <w:t xml:space="preserve"> </w:t>
      </w:r>
      <w:r w:rsidRPr="00516213">
        <w:rPr>
          <w:rFonts w:cstheme="minorBidi"/>
          <w:i/>
          <w:iCs/>
          <w:szCs w:val="20"/>
        </w:rPr>
        <w:t>Secondary syphilis appears around 3 to 12 weeks from the disappearance of the chancre</w:t>
      </w:r>
      <w:r w:rsidRPr="00516213">
        <w:rPr>
          <w:rFonts w:cstheme="minorBidi"/>
          <w:i/>
          <w:iCs/>
          <w:szCs w:val="20"/>
        </w:rPr>
        <w:fldChar w:fldCharType="begin"/>
      </w:r>
      <w:r w:rsidRPr="00516213">
        <w:rPr>
          <w:rFonts w:cstheme="minorBidi"/>
          <w:i/>
          <w:iCs/>
          <w:szCs w:val="20"/>
        </w:rPr>
        <w:instrText xml:space="preserve"> ADDIN EN.CITE &lt;EndNote&gt;&lt;Cite&gt;&lt;Author&gt;Mercuri&lt;/Author&gt;&lt;Year&gt;2022&lt;/Year&gt;&lt;RecNum&gt;12&lt;/RecNum&gt;&lt;DisplayText&gt;(1)&lt;/DisplayText&gt;&lt;record&gt;&lt;rec-number&gt;12&lt;/rec-number&gt;&lt;foreign-keys&gt;&lt;key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516213">
        <w:rPr>
          <w:rFonts w:cstheme="minorBidi"/>
          <w:i/>
          <w:iCs/>
          <w:szCs w:val="20"/>
        </w:rPr>
        <w:fldChar w:fldCharType="separate"/>
      </w:r>
      <w:r w:rsidRPr="00516213">
        <w:rPr>
          <w:rFonts w:cstheme="minorBidi"/>
          <w:i/>
          <w:iCs/>
          <w:noProof/>
          <w:szCs w:val="20"/>
        </w:rPr>
        <w:t>(1)</w:t>
      </w:r>
      <w:r w:rsidRPr="00516213">
        <w:rPr>
          <w:rFonts w:cstheme="minorBidi"/>
          <w:i/>
          <w:iCs/>
          <w:szCs w:val="20"/>
        </w:rPr>
        <w:fldChar w:fldCharType="end"/>
      </w:r>
    </w:p>
    <w:p w14:paraId="5D2FE608" w14:textId="689E141D" w:rsidR="00D32034" w:rsidRPr="00516213" w:rsidRDefault="00D32034" w:rsidP="00516213">
      <w:pPr>
        <w:rPr>
          <w:rFonts w:cstheme="minorBidi"/>
          <w:szCs w:val="20"/>
        </w:rPr>
      </w:pPr>
      <w:r w:rsidRPr="00516213">
        <w:rPr>
          <w:rFonts w:cstheme="minorBidi"/>
          <w:szCs w:val="20"/>
        </w:rPr>
        <w:t xml:space="preserve"> </w:t>
      </w:r>
    </w:p>
    <w:p w14:paraId="1198B99E" w14:textId="77777777" w:rsidR="00D32034" w:rsidRPr="00516213" w:rsidRDefault="00D32034" w:rsidP="00801282">
      <w:pPr>
        <w:pStyle w:val="Heading2"/>
      </w:pPr>
      <w:r w:rsidRPr="00516213">
        <w:t>Secondary syphilis</w:t>
      </w:r>
    </w:p>
    <w:p w14:paraId="4B2D8C3F" w14:textId="77777777" w:rsidR="00D32034" w:rsidRPr="00516213" w:rsidRDefault="00D32034" w:rsidP="00516213">
      <w:pPr>
        <w:rPr>
          <w:rFonts w:cstheme="minorBidi"/>
          <w:szCs w:val="20"/>
        </w:rPr>
      </w:pPr>
      <w:r w:rsidRPr="00516213">
        <w:rPr>
          <w:rFonts w:cstheme="minorBidi"/>
          <w:szCs w:val="20"/>
        </w:rPr>
        <w:t xml:space="preserve">We assume that </w:t>
      </w:r>
      <w:r w:rsidRPr="00516213">
        <w:rPr>
          <w:rFonts w:cstheme="minorBidi"/>
          <w:b/>
          <w:bCs/>
          <w:szCs w:val="20"/>
        </w:rPr>
        <w:t>secondary syphilis</w:t>
      </w:r>
      <w:r w:rsidRPr="00516213">
        <w:rPr>
          <w:rFonts w:cstheme="minorBidi"/>
          <w:szCs w:val="20"/>
        </w:rPr>
        <w:t xml:space="preserve"> is characterized by systemic symptoms, with the most prominent clinical sign being a rash that can present in various forms. </w:t>
      </w:r>
      <w:proofErr w:type="gramStart"/>
      <w:r w:rsidRPr="00516213">
        <w:rPr>
          <w:rFonts w:cstheme="minorBidi"/>
          <w:szCs w:val="20"/>
        </w:rPr>
        <w:t>Similar to</w:t>
      </w:r>
      <w:proofErr w:type="gramEnd"/>
      <w:r w:rsidRPr="00516213">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p>
    <w:p w14:paraId="2D6A2335" w14:textId="77777777" w:rsidR="00D32034" w:rsidRPr="00516213" w:rsidRDefault="00D32034" w:rsidP="00516213">
      <w:pPr>
        <w:pStyle w:val="ListParagraph"/>
        <w:numPr>
          <w:ilvl w:val="0"/>
          <w:numId w:val="23"/>
        </w:numPr>
        <w:rPr>
          <w:rFonts w:cstheme="minorBidi"/>
          <w:szCs w:val="20"/>
        </w:rPr>
      </w:pPr>
      <w:r w:rsidRPr="00516213">
        <w:rPr>
          <w:rFonts w:cstheme="minorBidi"/>
          <w:szCs w:val="20"/>
        </w:rPr>
        <w:t xml:space="preserve">Delay to heal in absence of treatment: 1-2months </w:t>
      </w:r>
      <w:r w:rsidRPr="00516213">
        <w:rPr>
          <w:rFonts w:cstheme="minorBidi"/>
          <w:szCs w:val="20"/>
        </w:rPr>
        <w:fldChar w:fldCharType="begin"/>
      </w:r>
      <w:r w:rsidRPr="00516213">
        <w:rPr>
          <w:rFonts w:cstheme="minorBidi"/>
          <w:szCs w:val="20"/>
        </w:rPr>
        <w:instrText xml:space="preserve"> ADDIN EN.CITE &lt;EndNote&gt;&lt;Cite&gt;&lt;Author&gt;Hicks&lt;/Author&gt;&lt;Year&gt;2021&lt;/Year&gt;&lt;RecNum&gt;3&lt;/RecNum&gt;&lt;DisplayText&gt;(3)&lt;/DisplayText&gt;&lt;record&gt;&lt;rec-number&gt;3&lt;/rec-number&gt;&lt;foreign-keys&gt;&lt;key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16213">
        <w:rPr>
          <w:rFonts w:cstheme="minorBidi"/>
          <w:szCs w:val="20"/>
        </w:rPr>
        <w:fldChar w:fldCharType="separate"/>
      </w:r>
      <w:r w:rsidRPr="00516213">
        <w:rPr>
          <w:rFonts w:cstheme="minorBidi"/>
          <w:noProof/>
          <w:szCs w:val="20"/>
        </w:rPr>
        <w:t>(3)</w:t>
      </w:r>
      <w:r w:rsidRPr="00516213">
        <w:rPr>
          <w:rFonts w:cstheme="minorBidi"/>
          <w:szCs w:val="20"/>
        </w:rPr>
        <w:fldChar w:fldCharType="end"/>
      </w:r>
      <w:r w:rsidRPr="00516213">
        <w:rPr>
          <w:rFonts w:cstheme="minorBidi"/>
          <w:szCs w:val="20"/>
        </w:rPr>
        <w:t xml:space="preserve">, within 3 months </w:t>
      </w:r>
      <w:r w:rsidRPr="00516213">
        <w:rPr>
          <w:rFonts w:cstheme="minorBidi"/>
          <w:szCs w:val="20"/>
        </w:rPr>
        <w:fldChar w:fldCharType="begin"/>
      </w:r>
      <w:r w:rsidRPr="00516213">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rPr>
        <w:fldChar w:fldCharType="separate"/>
      </w:r>
      <w:r w:rsidRPr="00516213">
        <w:rPr>
          <w:rFonts w:cstheme="minorBidi"/>
          <w:noProof/>
          <w:szCs w:val="20"/>
        </w:rPr>
        <w:t>(5)</w:t>
      </w:r>
      <w:r w:rsidRPr="00516213">
        <w:rPr>
          <w:rFonts w:cstheme="minorBidi"/>
          <w:szCs w:val="20"/>
        </w:rPr>
        <w:fldChar w:fldCharType="end"/>
      </w:r>
      <w:r w:rsidRPr="00516213">
        <w:rPr>
          <w:rFonts w:cstheme="minorBidi"/>
          <w:szCs w:val="20"/>
        </w:rPr>
        <w:t xml:space="preserve">, </w:t>
      </w:r>
      <w:r w:rsidRPr="00516213">
        <w:rPr>
          <w:rFonts w:cstheme="minorBidi"/>
          <w:i/>
          <w:iCs/>
          <w:szCs w:val="20"/>
        </w:rPr>
        <w:t xml:space="preserve">2–12 </w:t>
      </w:r>
      <w:proofErr w:type="spellStart"/>
      <w:r w:rsidRPr="00516213">
        <w:rPr>
          <w:rFonts w:cstheme="minorBidi"/>
          <w:i/>
          <w:iCs/>
          <w:szCs w:val="20"/>
        </w:rPr>
        <w:t>wk</w:t>
      </w:r>
      <w:proofErr w:type="spellEnd"/>
      <w:r w:rsidRPr="00516213">
        <w:rPr>
          <w:rFonts w:cstheme="minorBidi"/>
          <w:i/>
          <w:iCs/>
          <w:szCs w:val="20"/>
        </w:rPr>
        <w:t xml:space="preserve"> (2 </w:t>
      </w:r>
      <w:proofErr w:type="spellStart"/>
      <w:r w:rsidRPr="00516213">
        <w:rPr>
          <w:rFonts w:cstheme="minorBidi"/>
          <w:i/>
          <w:iCs/>
          <w:szCs w:val="20"/>
        </w:rPr>
        <w:t>wk</w:t>
      </w:r>
      <w:proofErr w:type="spellEnd"/>
      <w:r w:rsidRPr="00516213">
        <w:rPr>
          <w:rFonts w:cstheme="minorBidi"/>
          <w:i/>
          <w:iCs/>
          <w:szCs w:val="20"/>
        </w:rPr>
        <w:t xml:space="preserve">–6 </w:t>
      </w:r>
      <w:proofErr w:type="spellStart"/>
      <w:r w:rsidRPr="00516213">
        <w:rPr>
          <w:rFonts w:cstheme="minorBidi"/>
          <w:i/>
          <w:iCs/>
          <w:szCs w:val="20"/>
        </w:rPr>
        <w:t>mos</w:t>
      </w:r>
      <w:proofErr w:type="spellEnd"/>
      <w:r w:rsidRPr="00516213">
        <w:rPr>
          <w:rFonts w:cstheme="minorBidi"/>
          <w:i/>
          <w:iCs/>
          <w:szCs w:val="20"/>
        </w:rPr>
        <w:t xml:space="preserve">) </w:t>
      </w:r>
      <w:r w:rsidRPr="00516213">
        <w:rPr>
          <w:rFonts w:cstheme="minorBidi"/>
          <w:i/>
          <w:iCs/>
          <w:szCs w:val="20"/>
        </w:rPr>
        <w:fldChar w:fldCharType="begin"/>
      </w:r>
      <w:r w:rsidRPr="00516213">
        <w:rPr>
          <w:rFonts w:cstheme="minorBidi"/>
          <w:i/>
          <w:iCs/>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16213">
        <w:rPr>
          <w:rFonts w:cstheme="minorBidi"/>
          <w:i/>
          <w:iCs/>
          <w:szCs w:val="20"/>
        </w:rPr>
        <w:fldChar w:fldCharType="separate"/>
      </w:r>
      <w:r w:rsidRPr="00516213">
        <w:rPr>
          <w:rFonts w:cstheme="minorBidi"/>
          <w:i/>
          <w:iCs/>
          <w:noProof/>
          <w:szCs w:val="20"/>
        </w:rPr>
        <w:t>(6)</w:t>
      </w:r>
      <w:r w:rsidRPr="00516213">
        <w:rPr>
          <w:rFonts w:cstheme="minorBidi"/>
          <w:i/>
          <w:iCs/>
          <w:szCs w:val="20"/>
        </w:rPr>
        <w:fldChar w:fldCharType="end"/>
      </w:r>
    </w:p>
    <w:p w14:paraId="5BD56552" w14:textId="77777777" w:rsidR="00D32034" w:rsidRPr="00516213" w:rsidRDefault="00D32034" w:rsidP="00516213">
      <w:pPr>
        <w:pStyle w:val="ListParagraph"/>
        <w:numPr>
          <w:ilvl w:val="0"/>
          <w:numId w:val="23"/>
        </w:numPr>
        <w:rPr>
          <w:rFonts w:cstheme="minorBidi"/>
          <w:szCs w:val="20"/>
        </w:rPr>
      </w:pPr>
      <w:r w:rsidRPr="00516213">
        <w:rPr>
          <w:rFonts w:cstheme="minorBidi"/>
          <w:szCs w:val="20"/>
        </w:rPr>
        <w:t xml:space="preserve">Percent noticing the rash or other symptoms to seek </w:t>
      </w:r>
      <w:proofErr w:type="gramStart"/>
      <w:r w:rsidRPr="00516213">
        <w:rPr>
          <w:rFonts w:cstheme="minorBidi"/>
          <w:szCs w:val="20"/>
        </w:rPr>
        <w:t>care  ???</w:t>
      </w:r>
      <w:proofErr w:type="gramEnd"/>
    </w:p>
    <w:p w14:paraId="45AA27FD" w14:textId="77777777" w:rsidR="00131835" w:rsidRPr="00516213" w:rsidRDefault="00131835" w:rsidP="00516213">
      <w:pPr>
        <w:rPr>
          <w:rFonts w:cstheme="minorBidi"/>
          <w:szCs w:val="20"/>
        </w:rPr>
      </w:pPr>
    </w:p>
    <w:p w14:paraId="6692F315" w14:textId="77777777" w:rsidR="00131835" w:rsidRPr="00516213" w:rsidRDefault="00131835" w:rsidP="00516213">
      <w:pPr>
        <w:rPr>
          <w:rFonts w:cstheme="minorBidi"/>
          <w:szCs w:val="20"/>
        </w:rPr>
      </w:pPr>
    </w:p>
    <w:p w14:paraId="4F0ADD46" w14:textId="77777777" w:rsidR="00DA3A8F" w:rsidRPr="00516213" w:rsidRDefault="00DA3A8F" w:rsidP="00801282">
      <w:pPr>
        <w:pStyle w:val="Heading2"/>
      </w:pPr>
      <w:r w:rsidRPr="00516213">
        <w:lastRenderedPageBreak/>
        <w:t>Early Latent</w:t>
      </w:r>
    </w:p>
    <w:p w14:paraId="2E844C17" w14:textId="5DE25605" w:rsidR="00131835" w:rsidRPr="00516213" w:rsidRDefault="00131835" w:rsidP="00516213">
      <w:pPr>
        <w:rPr>
          <w:rFonts w:cstheme="minorBidi"/>
          <w:szCs w:val="20"/>
        </w:rPr>
      </w:pPr>
      <w:r w:rsidRPr="00516213">
        <w:rPr>
          <w:rFonts w:cstheme="minorBidi"/>
          <w:szCs w:val="20"/>
        </w:rPr>
        <w:t xml:space="preserve">The latent phase begins when symptoms resolve but the individual remains infected, as confirmed by serologic testing. We assume that </w:t>
      </w:r>
      <w:r w:rsidRPr="00516213">
        <w:rPr>
          <w:rFonts w:cstheme="minorBidi"/>
          <w:b/>
          <w:bCs/>
          <w:szCs w:val="20"/>
        </w:rPr>
        <w:t>early latent</w:t>
      </w:r>
      <w:r w:rsidRPr="00516213">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516213">
        <w:rPr>
          <w:rFonts w:cstheme="minorBidi"/>
          <w:b/>
          <w:bCs/>
          <w:szCs w:val="20"/>
        </w:rPr>
        <w:t>relapse</w:t>
      </w:r>
      <w:r w:rsidRPr="00516213">
        <w:rPr>
          <w:rFonts w:cstheme="minorBidi"/>
          <w:szCs w:val="20"/>
        </w:rPr>
        <w:t xml:space="preserve"> to secondary syphilis, temporarily increasing their infectiousness and likelihood of seeking care. </w:t>
      </w:r>
    </w:p>
    <w:p w14:paraId="2467D191" w14:textId="77777777" w:rsidR="00131835" w:rsidRPr="00516213" w:rsidRDefault="00131835" w:rsidP="00516213">
      <w:pPr>
        <w:pStyle w:val="ListParagraph"/>
        <w:numPr>
          <w:ilvl w:val="0"/>
          <w:numId w:val="24"/>
        </w:numPr>
        <w:rPr>
          <w:rFonts w:cstheme="minorBidi"/>
          <w:szCs w:val="20"/>
        </w:rPr>
      </w:pPr>
      <w:r w:rsidRPr="00516213">
        <w:rPr>
          <w:rFonts w:cstheme="minorBidi"/>
          <w:szCs w:val="20"/>
        </w:rPr>
        <w:t>Proportion relapse: 25%</w:t>
      </w:r>
    </w:p>
    <w:p w14:paraId="3DDF7EE5" w14:textId="6FF10FAE" w:rsidR="00131835" w:rsidRPr="00516213" w:rsidRDefault="00131835" w:rsidP="00516213">
      <w:pPr>
        <w:pStyle w:val="ListParagraph"/>
        <w:numPr>
          <w:ilvl w:val="0"/>
          <w:numId w:val="24"/>
        </w:numPr>
        <w:rPr>
          <w:rFonts w:cstheme="minorBidi"/>
          <w:szCs w:val="20"/>
        </w:rPr>
      </w:pPr>
      <w:r w:rsidRPr="00516213">
        <w:rPr>
          <w:rFonts w:cstheme="minorBidi"/>
          <w:szCs w:val="20"/>
        </w:rPr>
        <w:t xml:space="preserve">About 90% of first relapses occur within 1 year, 94% occur within 2 years, and the rest occur over 4 years. </w:t>
      </w:r>
      <w:r w:rsidRPr="00516213">
        <w:rPr>
          <w:rFonts w:cstheme="minorBidi"/>
          <w:szCs w:val="20"/>
        </w:rPr>
        <w:fldChar w:fldCharType="begin"/>
      </w:r>
      <w:r w:rsidR="00D32034" w:rsidRPr="00516213">
        <w:rPr>
          <w:rFonts w:cstheme="minorBidi"/>
          <w:szCs w:val="20"/>
        </w:rPr>
        <w:instrText xml:space="preserve"> ADDIN EN.CITE &lt;EndNote&gt;&lt;Cite&gt;&lt;Author&gt;Singh&lt;/Author&gt;&lt;Year&gt;1999&lt;/Year&gt;&lt;RecNum&gt;6&lt;/RecNum&gt;&lt;DisplayText&gt;(6)&lt;/DisplayText&gt;&lt;record&gt;&lt;rec-number&gt;6&lt;/rec-number&gt;&lt;foreign-keys&gt;&lt;key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16213">
        <w:rPr>
          <w:rFonts w:cstheme="minorBidi"/>
          <w:szCs w:val="20"/>
        </w:rPr>
        <w:fldChar w:fldCharType="separate"/>
      </w:r>
      <w:r w:rsidR="00D32034" w:rsidRPr="00516213">
        <w:rPr>
          <w:rFonts w:cstheme="minorBidi"/>
          <w:noProof/>
          <w:szCs w:val="20"/>
        </w:rPr>
        <w:t>(6)</w:t>
      </w:r>
      <w:r w:rsidRPr="00516213">
        <w:rPr>
          <w:rFonts w:cstheme="minorBidi"/>
          <w:szCs w:val="20"/>
        </w:rPr>
        <w:fldChar w:fldCharType="end"/>
      </w:r>
    </w:p>
    <w:p w14:paraId="4213DB27" w14:textId="77777777" w:rsidR="00131835" w:rsidRPr="00516213" w:rsidRDefault="00131835" w:rsidP="00516213">
      <w:pPr>
        <w:rPr>
          <w:rFonts w:cstheme="minorBidi"/>
          <w:szCs w:val="20"/>
        </w:rPr>
      </w:pPr>
    </w:p>
    <w:p w14:paraId="24D6437F" w14:textId="7194BCFE" w:rsidR="00516213" w:rsidRPr="00516213" w:rsidRDefault="00516213" w:rsidP="00801282">
      <w:pPr>
        <w:pStyle w:val="Heading2"/>
      </w:pPr>
      <w:r w:rsidRPr="00516213">
        <w:t xml:space="preserve">Late </w:t>
      </w:r>
      <w:r w:rsidRPr="00E67334">
        <w:t>latent</w:t>
      </w:r>
    </w:p>
    <w:p w14:paraId="0ECB3758" w14:textId="5F39EC58" w:rsidR="00131835" w:rsidRPr="00943E72" w:rsidRDefault="00131835" w:rsidP="00943E72">
      <w:pPr>
        <w:rPr>
          <w:rFonts w:cstheme="minorBidi"/>
          <w:szCs w:val="20"/>
        </w:rPr>
      </w:pPr>
      <w:r w:rsidRPr="00516213">
        <w:rPr>
          <w:rFonts w:cstheme="minorBidi"/>
          <w:b/>
          <w:bCs/>
          <w:szCs w:val="20"/>
        </w:rPr>
        <w:t>Late latent</w:t>
      </w:r>
      <w:r w:rsidRPr="00516213">
        <w:rPr>
          <w:rFonts w:cstheme="minorBidi"/>
          <w:szCs w:val="20"/>
        </w:rPr>
        <w:t xml:space="preserve"> syphilis is assumed to occur when the infection has persisted for more than 12 months. We assume that individuals with late latent syphilis are </w:t>
      </w:r>
      <w:r w:rsidRPr="00943E72">
        <w:rPr>
          <w:rFonts w:cstheme="minorBidi"/>
          <w:szCs w:val="20"/>
          <w:u w:val="single"/>
        </w:rPr>
        <w:t>not sexually infectious</w:t>
      </w:r>
      <w:r w:rsidRPr="00516213">
        <w:rPr>
          <w:rFonts w:cstheme="minorBidi"/>
          <w:szCs w:val="20"/>
        </w:rPr>
        <w:t xml:space="preserve">, as they lack the lesions necessary to transmit the disease to sexual partners. </w:t>
      </w:r>
      <w:r w:rsidRPr="00943E72">
        <w:rPr>
          <w:rFonts w:cstheme="minorBidi"/>
          <w:szCs w:val="20"/>
        </w:rPr>
        <w:t>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Pr>
          <w:rFonts w:cstheme="minorBidi"/>
          <w:szCs w:val="20"/>
        </w:rPr>
        <w:t xml:space="preserve"> </w:t>
      </w:r>
      <w:proofErr w:type="gramStart"/>
      <w:r w:rsidRPr="00943E72">
        <w:rPr>
          <w:rFonts w:cstheme="minorBidi"/>
          <w:szCs w:val="20"/>
        </w:rPr>
        <w:t>At</w:t>
      </w:r>
      <w:proofErr w:type="gramEnd"/>
      <w:r w:rsidRPr="00943E72">
        <w:rPr>
          <w:rFonts w:cstheme="minorBidi"/>
          <w:szCs w:val="20"/>
        </w:rPr>
        <w:t xml:space="preserve"> this stage, the infection is no longer communicable by sexual intercourse</w:t>
      </w:r>
    </w:p>
    <w:p w14:paraId="33C2484C" w14:textId="77777777" w:rsidR="00943E72" w:rsidRDefault="00943E72" w:rsidP="00516213">
      <w:pPr>
        <w:rPr>
          <w:rFonts w:cstheme="minorBidi"/>
          <w:i/>
          <w:iCs/>
          <w:szCs w:val="20"/>
        </w:rPr>
      </w:pPr>
    </w:p>
    <w:p w14:paraId="24899BF2" w14:textId="2D94D944" w:rsidR="00E651D7" w:rsidRPr="00E67334" w:rsidRDefault="00943E72" w:rsidP="00801282">
      <w:pPr>
        <w:pStyle w:val="Heading2"/>
        <w:rPr>
          <w:rFonts w:cstheme="minorBidi"/>
          <w:szCs w:val="20"/>
        </w:rPr>
      </w:pPr>
      <w:r w:rsidRPr="00516213">
        <w:t xml:space="preserve">Neurosyphilis </w:t>
      </w:r>
    </w:p>
    <w:p w14:paraId="53F185EE" w14:textId="77777777" w:rsidR="002155C4" w:rsidRPr="002155C4" w:rsidRDefault="002155C4" w:rsidP="002155C4">
      <w:pPr>
        <w:rPr>
          <w:rFonts w:cstheme="minorBidi"/>
          <w:szCs w:val="20"/>
        </w:rPr>
      </w:pPr>
      <w:r w:rsidRPr="002155C4">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Pr="002155C4">
        <w:rPr>
          <w:rFonts w:cstheme="minorBidi"/>
          <w:szCs w:val="20"/>
          <w:u w:val="single"/>
        </w:rPr>
        <w:t>symptomatic CNS involvement</w:t>
      </w:r>
      <w:r w:rsidRPr="002155C4">
        <w:rPr>
          <w:rFonts w:cstheme="minorBidi"/>
          <w:szCs w:val="20"/>
        </w:rPr>
        <w:t xml:space="preserve"> due to its significant impact on care-seeking behavior.</w:t>
      </w:r>
    </w:p>
    <w:p w14:paraId="21BB414D" w14:textId="25F22D90" w:rsidR="002155C4" w:rsidRPr="002155C4" w:rsidRDefault="002155C4" w:rsidP="002155C4">
      <w:pPr>
        <w:rPr>
          <w:rFonts w:cstheme="minorBidi"/>
          <w:szCs w:val="20"/>
        </w:rPr>
      </w:pPr>
      <w:r w:rsidRPr="002155C4">
        <w:rPr>
          <w:rFonts w:cstheme="minorBidi"/>
          <w:szCs w:val="20"/>
        </w:rPr>
        <w:t>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post-infection and is associated with ischemic strokes caused by inflammation of cerebral blood vessels.</w:t>
      </w:r>
      <w:r>
        <w:rPr>
          <w:rFonts w:cstheme="minorBidi"/>
          <w:szCs w:val="20"/>
        </w:rPr>
        <w:t xml:space="preserve"> </w:t>
      </w:r>
      <w:r w:rsidRPr="002155C4">
        <w:rPr>
          <w:rFonts w:cstheme="minorBidi"/>
          <w:szCs w:val="20"/>
        </w:rPr>
        <w:t>Additional late-stage forms include </w:t>
      </w:r>
      <w:proofErr w:type="spellStart"/>
      <w:r w:rsidRPr="002155C4">
        <w:rPr>
          <w:rFonts w:cstheme="minorBidi"/>
          <w:i/>
          <w:iCs/>
          <w:szCs w:val="20"/>
        </w:rPr>
        <w:t>tabes</w:t>
      </w:r>
      <w:proofErr w:type="spellEnd"/>
      <w:r w:rsidRPr="002155C4">
        <w:rPr>
          <w:rFonts w:cstheme="minorBidi"/>
          <w:i/>
          <w:iCs/>
          <w:szCs w:val="20"/>
        </w:rPr>
        <w:t xml:space="preserve"> dorsalis</w:t>
      </w:r>
      <w:r w:rsidRPr="002155C4">
        <w:rPr>
          <w:rFonts w:cstheme="minorBidi"/>
          <w:szCs w:val="20"/>
        </w:rPr>
        <w:t>, characterized by severe pain, sensory ataxia, loss of proprioception, and Argyll Robertson pupils, as well as </w:t>
      </w:r>
      <w:r w:rsidRPr="002155C4">
        <w:rPr>
          <w:rFonts w:cstheme="minorBidi"/>
          <w:i/>
          <w:iCs/>
          <w:szCs w:val="20"/>
        </w:rPr>
        <w:t>general paresis</w:t>
      </w:r>
      <w:r w:rsidRPr="002155C4">
        <w:rPr>
          <w:rFonts w:cstheme="minorBidi"/>
          <w:szCs w:val="20"/>
        </w:rPr>
        <w:t xml:space="preserve">, which involves progressive cognitive decline, personality changes, psychosis, and motor deficits. Furthermore, ocular and </w:t>
      </w:r>
      <w:proofErr w:type="spellStart"/>
      <w:r w:rsidRPr="002155C4">
        <w:rPr>
          <w:rFonts w:cstheme="minorBidi"/>
          <w:szCs w:val="20"/>
        </w:rPr>
        <w:t>otic</w:t>
      </w:r>
      <w:proofErr w:type="spellEnd"/>
      <w:r w:rsidRPr="002155C4">
        <w:rPr>
          <w:rFonts w:cstheme="minorBidi"/>
          <w:szCs w:val="20"/>
        </w:rPr>
        <w:t xml:space="preserve"> neurosyphilis may lead to uveitis, optic neuropathy, hearing loss, tinnitus, or vertigo, potentially resulting in permanent disability if untreated.</w:t>
      </w:r>
    </w:p>
    <w:p w14:paraId="327D35F0" w14:textId="77777777" w:rsidR="00516213" w:rsidRDefault="00131835" w:rsidP="00801282">
      <w:pPr>
        <w:pStyle w:val="Heading2"/>
      </w:pPr>
      <w:r w:rsidRPr="00516213">
        <w:t xml:space="preserve">Tertiary: </w:t>
      </w:r>
    </w:p>
    <w:p w14:paraId="53DC1820" w14:textId="77777777" w:rsidR="004653FF" w:rsidRPr="00516213" w:rsidRDefault="004653FF" w:rsidP="004653FF">
      <w:pPr>
        <w:rPr>
          <w:rFonts w:cstheme="minorBidi"/>
          <w:szCs w:val="20"/>
        </w:rPr>
      </w:pPr>
      <w:r w:rsidRPr="00516213">
        <w:rPr>
          <w:rFonts w:cstheme="minorBidi"/>
          <w:szCs w:val="20"/>
        </w:rPr>
        <w:t xml:space="preserve">Tertiary syphilis describes patients with late syphilis who have </w:t>
      </w:r>
      <w:r w:rsidRPr="004653FF">
        <w:rPr>
          <w:rFonts w:cstheme="minorBidi"/>
          <w:b/>
          <w:bCs/>
          <w:szCs w:val="20"/>
        </w:rPr>
        <w:t>symptomatic</w:t>
      </w:r>
      <w:r w:rsidRPr="00516213">
        <w:rPr>
          <w:rFonts w:cstheme="minorBidi"/>
          <w:szCs w:val="20"/>
        </w:rPr>
        <w:t xml:space="preserve"> manifestations involving the cardiovascular system or </w:t>
      </w:r>
      <w:proofErr w:type="spellStart"/>
      <w:r w:rsidRPr="00516213">
        <w:rPr>
          <w:rFonts w:cstheme="minorBidi"/>
          <w:szCs w:val="20"/>
        </w:rPr>
        <w:t>gummatous</w:t>
      </w:r>
      <w:proofErr w:type="spellEnd"/>
      <w:r w:rsidRPr="00516213">
        <w:rPr>
          <w:rFonts w:cstheme="minorBidi"/>
          <w:szCs w:val="20"/>
        </w:rPr>
        <w:t xml:space="preserve"> disease (granulomatous disease of the skin and subcutaneous tissues, bones, or viscera) or neurologic involvement. Appearance of these presentations is dependent on where </w:t>
      </w:r>
      <w:proofErr w:type="spellStart"/>
      <w:proofErr w:type="gramStart"/>
      <w:r w:rsidRPr="00516213">
        <w:rPr>
          <w:rFonts w:cstheme="minorBidi"/>
          <w:szCs w:val="20"/>
        </w:rPr>
        <w:t>T.Palldium</w:t>
      </w:r>
      <w:proofErr w:type="spellEnd"/>
      <w:proofErr w:type="gramEnd"/>
      <w:r w:rsidRPr="00516213">
        <w:rPr>
          <w:rFonts w:cstheme="minorBidi"/>
          <w:szCs w:val="20"/>
        </w:rPr>
        <w:t xml:space="preserve"> dissemination occurs within the body </w:t>
      </w:r>
    </w:p>
    <w:p w14:paraId="759FA8CD" w14:textId="65263B11" w:rsidR="00131835" w:rsidRPr="00516213" w:rsidRDefault="00131835" w:rsidP="003E0722">
      <w:pPr>
        <w:rPr>
          <w:rFonts w:cstheme="minorBidi"/>
          <w:szCs w:val="20"/>
        </w:rPr>
      </w:pPr>
      <w:r w:rsidRPr="00516213">
        <w:rPr>
          <w:rFonts w:cstheme="minorBidi"/>
          <w:szCs w:val="20"/>
        </w:rPr>
        <w:t xml:space="preserve">Cardiovascular syphilis typically presents with complications such as aortic aneurysms, aortic regurgitation, and coronary artery ostial stenosis. </w:t>
      </w:r>
      <w:r w:rsidR="002A1E57">
        <w:rPr>
          <w:rFonts w:cstheme="minorBidi"/>
          <w:szCs w:val="20"/>
        </w:rPr>
        <w:t xml:space="preserve"> </w:t>
      </w:r>
      <w:proofErr w:type="spellStart"/>
      <w:r w:rsidRPr="00516213">
        <w:rPr>
          <w:rFonts w:cstheme="minorBidi"/>
          <w:szCs w:val="20"/>
        </w:rPr>
        <w:t>Gummatous</w:t>
      </w:r>
      <w:proofErr w:type="spellEnd"/>
      <w:r w:rsidRPr="00516213">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516213">
        <w:rPr>
          <w:rFonts w:cstheme="minorBidi"/>
          <w:szCs w:val="20"/>
        </w:rPr>
        <w:fldChar w:fldCharType="begin"/>
      </w:r>
      <w:r w:rsidR="00D32034" w:rsidRPr="00516213">
        <w:rPr>
          <w:rFonts w:cstheme="minorBidi"/>
          <w:szCs w:val="20"/>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16213">
        <w:rPr>
          <w:rFonts w:cstheme="minorBidi"/>
          <w:szCs w:val="20"/>
        </w:rPr>
        <w:fldChar w:fldCharType="separate"/>
      </w:r>
      <w:r w:rsidR="00D32034" w:rsidRPr="00516213">
        <w:rPr>
          <w:rFonts w:cstheme="minorBidi"/>
          <w:noProof/>
          <w:szCs w:val="20"/>
        </w:rPr>
        <w:t>(5)</w:t>
      </w:r>
      <w:r w:rsidRPr="00516213">
        <w:rPr>
          <w:rFonts w:cstheme="minorBidi"/>
          <w:szCs w:val="20"/>
        </w:rPr>
        <w:fldChar w:fldCharType="end"/>
      </w:r>
      <w:r w:rsidR="003E0722">
        <w:rPr>
          <w:rFonts w:cstheme="minorBidi"/>
          <w:szCs w:val="20"/>
        </w:rPr>
        <w:t xml:space="preserve"> </w:t>
      </w:r>
      <w:r w:rsidRPr="00516213">
        <w:rPr>
          <w:rFonts w:cstheme="minorBidi"/>
          <w:szCs w:val="20"/>
        </w:rPr>
        <w:t xml:space="preserve">Late neurological manifestations of syphilis can also arise, including forms like </w:t>
      </w:r>
      <w:proofErr w:type="spellStart"/>
      <w:r w:rsidRPr="00516213">
        <w:rPr>
          <w:rFonts w:cstheme="minorBidi"/>
          <w:szCs w:val="20"/>
        </w:rPr>
        <w:t>tabes</w:t>
      </w:r>
      <w:proofErr w:type="spellEnd"/>
      <w:r w:rsidRPr="00516213">
        <w:rPr>
          <w:rFonts w:cstheme="minorBidi"/>
          <w:szCs w:val="20"/>
        </w:rPr>
        <w:t xml:space="preserve"> dorsalis and general paresis. </w:t>
      </w:r>
    </w:p>
    <w:p w14:paraId="5AD213FB" w14:textId="11187A6B" w:rsidR="002155C4" w:rsidRDefault="002155C4" w:rsidP="00712BB7">
      <w:pPr>
        <w:pStyle w:val="Heading2"/>
      </w:pPr>
      <w:r>
        <w:t xml:space="preserve">Parametrizing CNS and Tertiary syphilis rates: </w:t>
      </w:r>
    </w:p>
    <w:p w14:paraId="097BED43" w14:textId="77777777" w:rsidR="00712BB7" w:rsidRPr="00712BB7" w:rsidRDefault="00712BB7" w:rsidP="00712BB7">
      <w:r w:rsidRPr="00712BB7">
        <w:t>To estimate the rate of progression from each stage of syphilis, we calculate the proportion of patients experiencing specific outcomes over a given timeline. This is achieved using the following formula:</w:t>
      </w:r>
    </w:p>
    <w:p w14:paraId="03D0B452" w14:textId="15836EBF" w:rsidR="00712BB7" w:rsidRDefault="00712BB7" w:rsidP="00712BB7">
      <w:pPr>
        <w:jc w:val="center"/>
      </w:pPr>
      <w:r w:rsidRPr="00712BB7">
        <w:lastRenderedPageBreak/>
        <w:t>Exponential rate (λ)=−ln(1−probability)/time span</w:t>
      </w:r>
    </w:p>
    <w:p w14:paraId="169A77E7" w14:textId="619748CC" w:rsidR="00712BB7" w:rsidRPr="00712BB7" w:rsidRDefault="00712BB7" w:rsidP="00712BB7">
      <w:r w:rsidRPr="00712BB7">
        <w:t>Here:</w:t>
      </w:r>
    </w:p>
    <w:p w14:paraId="3EF689D9" w14:textId="77777777" w:rsidR="00712BB7" w:rsidRPr="00712BB7" w:rsidRDefault="00712BB7" w:rsidP="00712BB7">
      <w:pPr>
        <w:numPr>
          <w:ilvl w:val="0"/>
          <w:numId w:val="33"/>
        </w:numPr>
      </w:pPr>
      <w:r w:rsidRPr="00712BB7">
        <w:rPr>
          <w:b/>
          <w:bCs/>
        </w:rPr>
        <w:t>Probability</w:t>
      </w:r>
      <w:r w:rsidRPr="00712BB7">
        <w:t> refers to the likelihood of progression to a specific stage or clinical manifestation of syphilis (e.g., CNS involvement or tertiary syphilis).</w:t>
      </w:r>
    </w:p>
    <w:p w14:paraId="131314C3" w14:textId="77777777" w:rsidR="00712BB7" w:rsidRPr="00712BB7" w:rsidRDefault="00712BB7" w:rsidP="00712BB7">
      <w:pPr>
        <w:numPr>
          <w:ilvl w:val="0"/>
          <w:numId w:val="33"/>
        </w:numPr>
      </w:pPr>
      <w:r w:rsidRPr="00712BB7">
        <w:rPr>
          <w:b/>
          <w:bCs/>
        </w:rPr>
        <w:t>Time span</w:t>
      </w:r>
      <w:r w:rsidRPr="00712BB7">
        <w:t> represents the period over which the progression occurs (e.g., from early to late stages of syphilis).</w:t>
      </w:r>
    </w:p>
    <w:p w14:paraId="383C506E" w14:textId="77777777" w:rsidR="002155C4" w:rsidRPr="002155C4" w:rsidRDefault="002155C4" w:rsidP="002155C4"/>
    <w:p w14:paraId="091BC4E0" w14:textId="2C552DFD" w:rsidR="00131835" w:rsidRPr="00516213" w:rsidRDefault="00131835" w:rsidP="00516213">
      <w:pPr>
        <w:rPr>
          <w:rFonts w:cstheme="minorBidi"/>
          <w:szCs w:val="20"/>
        </w:rPr>
      </w:pPr>
      <w:r w:rsidRPr="00516213">
        <w:rPr>
          <w:rFonts w:cstheme="minorBidi"/>
          <w:szCs w:val="20"/>
        </w:rPr>
        <w:t xml:space="preserve">Historical data provides insights into the progression of late syphilis. </w:t>
      </w:r>
    </w:p>
    <w:p w14:paraId="095C775B" w14:textId="77777777" w:rsidR="00131835" w:rsidRPr="003E0722" w:rsidRDefault="00131835" w:rsidP="002155C4">
      <w:pPr>
        <w:pStyle w:val="NoSpacing"/>
        <w:numPr>
          <w:ilvl w:val="0"/>
          <w:numId w:val="32"/>
        </w:numPr>
      </w:pPr>
      <w:r w:rsidRPr="00516213">
        <w:t xml:space="preserve">The Oslo Study, a prospective natural history study conducted </w:t>
      </w:r>
      <w:r w:rsidRPr="003E0722">
        <w:t xml:space="preserve">from 1891 to 1951, followed 1,978 patients with primary or secondary syphilis. It reported a mortality rate of 17% for males and 8% for females, with </w:t>
      </w:r>
      <w:r w:rsidRPr="003E0722">
        <w:rPr>
          <w:b/>
          <w:bCs/>
        </w:rPr>
        <w:t>28%</w:t>
      </w:r>
      <w:r w:rsidRPr="003E0722">
        <w:t xml:space="preserve"> of patients eventually developing clinically evident complications of late disease. These complications included </w:t>
      </w:r>
      <w:r w:rsidRPr="003E0722">
        <w:rPr>
          <w:b/>
          <w:bCs/>
        </w:rPr>
        <w:t>cardiovascular syphilis (10%),</w:t>
      </w:r>
      <w:r w:rsidRPr="003E0722">
        <w:t xml:space="preserve"> </w:t>
      </w:r>
      <w:r w:rsidRPr="003E0722">
        <w:rPr>
          <w:b/>
          <w:bCs/>
        </w:rPr>
        <w:t>symptomatic neurosyphilis (65%),</w:t>
      </w:r>
      <w:r w:rsidRPr="003E0722">
        <w:t xml:space="preserve"> and </w:t>
      </w:r>
      <w:r w:rsidRPr="003E0722">
        <w:rPr>
          <w:b/>
          <w:bCs/>
        </w:rPr>
        <w:t>late benign syphilis (16%).</w:t>
      </w:r>
      <w:r w:rsidRPr="003E0722">
        <w:t xml:space="preserve"> Cardiovascular syphilis and neurosyphilis were observed more frequently in males, and autopsy findings often revealed evidence of cardiovascular involvement.</w:t>
      </w:r>
    </w:p>
    <w:p w14:paraId="3B5B9774" w14:textId="5031D517" w:rsidR="00131835" w:rsidRPr="00516213" w:rsidRDefault="00131835" w:rsidP="002155C4">
      <w:pPr>
        <w:pStyle w:val="NoSpacing"/>
        <w:numPr>
          <w:ilvl w:val="0"/>
          <w:numId w:val="32"/>
        </w:numPr>
      </w:pPr>
      <w:r w:rsidRPr="003E0722">
        <w:t xml:space="preserve">Paul </w:t>
      </w:r>
      <w:proofErr w:type="spellStart"/>
      <w:r w:rsidRPr="003E0722">
        <w:t>Rosahn's</w:t>
      </w:r>
      <w:proofErr w:type="spellEnd"/>
      <w:r w:rsidRPr="003E0722">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3E0722">
        <w:rPr>
          <w:b/>
          <w:bCs/>
        </w:rPr>
        <w:t>30%</w:t>
      </w:r>
      <w:r w:rsidRPr="003E0722">
        <w:t xml:space="preserve"> of clinically diagnosed cases showing such lesions. Among 77 untreated cases with late syphilitic lesions, </w:t>
      </w:r>
      <w:r w:rsidRPr="003E0722">
        <w:rPr>
          <w:b/>
          <w:bCs/>
        </w:rPr>
        <w:t>83% were cardiovascular</w:t>
      </w:r>
      <w:r w:rsidRPr="003E0722">
        <w:t xml:space="preserve">, </w:t>
      </w:r>
      <w:r w:rsidRPr="003E0722">
        <w:rPr>
          <w:b/>
          <w:bCs/>
        </w:rPr>
        <w:t>7.6% neurological</w:t>
      </w:r>
      <w:r w:rsidRPr="003E0722">
        <w:t xml:space="preserve">, and </w:t>
      </w:r>
      <w:r w:rsidRPr="003E0722">
        <w:rPr>
          <w:b/>
          <w:bCs/>
        </w:rPr>
        <w:t xml:space="preserve">8.5% </w:t>
      </w:r>
      <w:proofErr w:type="spellStart"/>
      <w:r w:rsidRPr="003E0722">
        <w:rPr>
          <w:b/>
          <w:bCs/>
        </w:rPr>
        <w:t>gummatous</w:t>
      </w:r>
      <w:proofErr w:type="spellEnd"/>
      <w:r w:rsidRPr="003E0722">
        <w:t>. These manifestations generally appeared 15–30 years after the initial infection, often involving multiple overlapping symptoms.</w:t>
      </w:r>
    </w:p>
    <w:p w14:paraId="225F325F" w14:textId="77777777" w:rsidR="00A84157" w:rsidRDefault="00A84157" w:rsidP="00516213">
      <w:pPr>
        <w:rPr>
          <w:rFonts w:cstheme="minorBidi"/>
          <w:szCs w:val="20"/>
        </w:rPr>
      </w:pPr>
    </w:p>
    <w:p w14:paraId="77C2DFEC" w14:textId="5780D35E" w:rsidR="00712BB7" w:rsidRDefault="00712BB7" w:rsidP="00712BB7">
      <w:pPr>
        <w:pStyle w:val="Heading3"/>
      </w:pPr>
      <w:r w:rsidRPr="00E651D7">
        <w:t xml:space="preserve">Probability of Developing </w:t>
      </w:r>
      <w:r w:rsidR="002155C4">
        <w:t>Early CNS</w:t>
      </w:r>
      <w:r>
        <w:t xml:space="preserve"> (P1-P</w:t>
      </w:r>
      <w:proofErr w:type="gramStart"/>
      <w:r>
        <w:t>2,P</w:t>
      </w:r>
      <w:proofErr w:type="gramEnd"/>
      <w:r>
        <w:t>3)</w:t>
      </w:r>
    </w:p>
    <w:p w14:paraId="6F87756C" w14:textId="62BC9592" w:rsidR="002155C4" w:rsidRPr="00E651D7" w:rsidRDefault="002155C4" w:rsidP="002155C4">
      <w:pPr>
        <w:rPr>
          <w:rFonts w:cstheme="minorBidi"/>
          <w:szCs w:val="20"/>
        </w:rPr>
      </w:pPr>
      <w:r w:rsidRPr="00E651D7">
        <w:rPr>
          <w:rFonts w:cstheme="minorBidi"/>
          <w:b/>
          <w:bCs/>
          <w:szCs w:val="20"/>
        </w:rPr>
        <w:t>Golden (2003) &amp; Kent (2008)</w:t>
      </w:r>
      <w:r w:rsidRPr="00E651D7">
        <w:rPr>
          <w:rFonts w:cstheme="minorBidi"/>
          <w:szCs w:val="20"/>
        </w:rPr>
        <w:t xml:space="preserve"> estimate that 25–60% of patients experience CNS invasion during the primary and secondary stages, with 5% of these cases being symptomatic. This results in an estimated [1.25–3%] of all patients developing symptomatic CNS disease.</w:t>
      </w:r>
      <w:r>
        <w:rPr>
          <w:rFonts w:cstheme="minorBidi"/>
          <w:szCs w:val="20"/>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Pr>
          <w:rFonts w:cstheme="minorBidi"/>
          <w:szCs w:val="20"/>
        </w:rPr>
        <w:instrText xml:space="preserve"> ADDIN EN.CITE </w:instrText>
      </w:r>
      <w:r>
        <w:rPr>
          <w:rFonts w:cstheme="minorBidi"/>
          <w:szCs w:val="20"/>
        </w:rPr>
        <w:fldChar w:fldCharType="begin">
          <w:fldData xml:space="preserve">PEVuZE5vdGU+PENpdGU+PEF1dGhvcj5Hb2xkZW48L0F1dGhvcj48WWVhcj4yMDAzPC9ZZWFyPjxS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=
</w:fldData>
        </w:fldChar>
      </w:r>
      <w:r>
        <w:rPr>
          <w:rFonts w:cstheme="minorBidi"/>
          <w:szCs w:val="20"/>
        </w:rPr>
        <w:instrText xml:space="preserve"> ADDIN EN.CITE.DATA </w:instrText>
      </w:r>
      <w:r>
        <w:rPr>
          <w:rFonts w:cstheme="minorBidi"/>
          <w:szCs w:val="20"/>
        </w:rPr>
      </w:r>
      <w:r>
        <w:rPr>
          <w:rFonts w:cstheme="minorBidi"/>
          <w:szCs w:val="20"/>
        </w:rPr>
        <w:fldChar w:fldCharType="end"/>
      </w:r>
      <w:r>
        <w:rPr>
          <w:rFonts w:cstheme="minorBidi"/>
          <w:szCs w:val="20"/>
        </w:rPr>
        <w:fldChar w:fldCharType="separate"/>
      </w:r>
      <w:r>
        <w:rPr>
          <w:rFonts w:cstheme="minorBidi"/>
          <w:noProof/>
          <w:szCs w:val="20"/>
        </w:rPr>
        <w:t>(2, 7)</w:t>
      </w:r>
      <w:r>
        <w:rPr>
          <w:rFonts w:cstheme="minorBidi"/>
          <w:szCs w:val="20"/>
        </w:rPr>
        <w:fldChar w:fldCharType="end"/>
      </w:r>
    </w:p>
    <w:p w14:paraId="4CAEE9A5" w14:textId="4D7D81E2" w:rsidR="00E651D7" w:rsidRPr="00E651D7" w:rsidRDefault="00E651D7" w:rsidP="00712BB7">
      <w:pPr>
        <w:pStyle w:val="Heading3"/>
      </w:pPr>
      <w:r w:rsidRPr="00E651D7">
        <w:t xml:space="preserve"> Probability of Developing Late Neurosyphilis &amp; Tertiary Disease (P</w:t>
      </w:r>
      <w:proofErr w:type="gramStart"/>
      <w:r w:rsidRPr="00E651D7">
        <w:t>4,P</w:t>
      </w:r>
      <w:proofErr w:type="gramEnd"/>
      <w:r w:rsidRPr="00E651D7">
        <w:t>5)</w:t>
      </w:r>
    </w:p>
    <w:p w14:paraId="578BA8C8" w14:textId="77777777" w:rsidR="00E651D7" w:rsidRPr="00E651D7" w:rsidRDefault="00E651D7" w:rsidP="00712BB7">
      <w:pPr>
        <w:rPr>
          <w:rFonts w:cstheme="minorBidi"/>
          <w:szCs w:val="20"/>
        </w:rPr>
      </w:pPr>
      <w:r w:rsidRPr="00E651D7">
        <w:rPr>
          <w:rFonts w:cstheme="minorBidi"/>
          <w:szCs w:val="20"/>
        </w:rPr>
        <w:t>In the </w:t>
      </w:r>
      <w:r w:rsidRPr="00E651D7">
        <w:rPr>
          <w:rFonts w:cstheme="minorBidi"/>
          <w:b/>
          <w:bCs/>
          <w:szCs w:val="20"/>
        </w:rPr>
        <w:t>Oslo Study (cited in Kent2008):</w:t>
      </w:r>
      <w:r w:rsidRPr="00E651D7">
        <w:rPr>
          <w:rFonts w:cstheme="minorBidi"/>
          <w:szCs w:val="20"/>
        </w:rPr>
        <w:t xml:space="preserve"> Eventually, 28% of patients developed clinically evident complications of late disease including cardiovascular syphilis (10%), symptomatic </w:t>
      </w:r>
      <w:proofErr w:type="gramStart"/>
      <w:r w:rsidRPr="00E651D7">
        <w:rPr>
          <w:rFonts w:cstheme="minorBidi"/>
          <w:szCs w:val="20"/>
        </w:rPr>
        <w:t>neurosyphilis(</w:t>
      </w:r>
      <w:proofErr w:type="gramEnd"/>
      <w:r w:rsidRPr="00E651D7">
        <w:rPr>
          <w:rFonts w:cstheme="minorBidi"/>
          <w:szCs w:val="20"/>
        </w:rPr>
        <w:t>65%), or late benign syphilis (16%), with both cardiovascular and neurosyphilis occurring more commonly in males</w:t>
      </w:r>
    </w:p>
    <w:p w14:paraId="23D6E73A" w14:textId="77777777" w:rsidR="00E651D7" w:rsidRPr="00E651D7" w:rsidRDefault="00E651D7" w:rsidP="00712BB7">
      <w:pPr>
        <w:numPr>
          <w:ilvl w:val="1"/>
          <w:numId w:val="27"/>
        </w:numPr>
        <w:tabs>
          <w:tab w:val="clear" w:pos="1440"/>
          <w:tab w:val="num" w:pos="720"/>
        </w:tabs>
        <w:ind w:left="720"/>
        <w:rPr>
          <w:rFonts w:cstheme="minorBidi"/>
          <w:szCs w:val="20"/>
        </w:rPr>
      </w:pPr>
      <w:r w:rsidRPr="00E651D7">
        <w:rPr>
          <w:rFonts w:cstheme="minorBidi"/>
          <w:szCs w:val="20"/>
        </w:rPr>
        <w:t>If I multiple these proportions into 28% to approximate total proportions:  2.8% of patients developing cardiovascular syphilis, 4.5% developing late benign syphilis, and 18.2% developing symptomatic neurosyphilis</w:t>
      </w:r>
    </w:p>
    <w:p w14:paraId="067159D1" w14:textId="77777777" w:rsidR="00E651D7" w:rsidRPr="00E651D7" w:rsidRDefault="00E651D7" w:rsidP="00712BB7">
      <w:pPr>
        <w:rPr>
          <w:rFonts w:cstheme="minorBidi"/>
          <w:szCs w:val="20"/>
        </w:rPr>
      </w:pPr>
      <w:r w:rsidRPr="00E651D7">
        <w:rPr>
          <w:rFonts w:cstheme="minorBidi"/>
          <w:szCs w:val="20"/>
        </w:rPr>
        <w:t> </w:t>
      </w:r>
    </w:p>
    <w:p w14:paraId="458F4DD0" w14:textId="77777777" w:rsidR="00E651D7" w:rsidRPr="00E651D7" w:rsidRDefault="00E651D7" w:rsidP="00712BB7">
      <w:pPr>
        <w:numPr>
          <w:ilvl w:val="0"/>
          <w:numId w:val="28"/>
        </w:numPr>
        <w:tabs>
          <w:tab w:val="clear" w:pos="720"/>
          <w:tab w:val="num" w:pos="0"/>
        </w:tabs>
        <w:ind w:left="0"/>
        <w:rPr>
          <w:rFonts w:cstheme="minorBidi"/>
          <w:szCs w:val="20"/>
        </w:rPr>
      </w:pPr>
      <w:r w:rsidRPr="00E651D7">
        <w:rPr>
          <w:rFonts w:cstheme="minorBidi"/>
          <w:b/>
          <w:bCs/>
          <w:szCs w:val="20"/>
        </w:rPr>
        <w:t>Boeck study (cited in Singh1999)</w:t>
      </w:r>
      <w:r w:rsidRPr="00E651D7">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25A908D2" w14:textId="77777777" w:rsidR="00E651D7" w:rsidRPr="00E651D7" w:rsidRDefault="00E651D7" w:rsidP="00712BB7">
      <w:pPr>
        <w:numPr>
          <w:ilvl w:val="1"/>
          <w:numId w:val="28"/>
        </w:numPr>
        <w:tabs>
          <w:tab w:val="clear" w:pos="1440"/>
          <w:tab w:val="num" w:pos="720"/>
        </w:tabs>
        <w:ind w:left="720"/>
        <w:rPr>
          <w:rFonts w:cstheme="minorBidi"/>
          <w:szCs w:val="20"/>
        </w:rPr>
      </w:pPr>
      <w:r w:rsidRPr="00E651D7">
        <w:rPr>
          <w:rFonts w:cstheme="minorBidi"/>
          <w:szCs w:val="20"/>
        </w:rPr>
        <w:t xml:space="preserve">It’s unclear to me if the final proportions are after factoring in the 30% or not. I assume that they are.  However, these proportions </w:t>
      </w:r>
      <w:proofErr w:type="gramStart"/>
      <w:r w:rsidRPr="00E651D7">
        <w:rPr>
          <w:rFonts w:cstheme="minorBidi"/>
          <w:szCs w:val="20"/>
        </w:rPr>
        <w:t>are in contrast to</w:t>
      </w:r>
      <w:proofErr w:type="gramEnd"/>
      <w:r w:rsidRPr="00E651D7">
        <w:rPr>
          <w:rFonts w:cstheme="minorBidi"/>
          <w:szCs w:val="20"/>
        </w:rPr>
        <w:t xml:space="preserve"> Oslo’s study finding the majority of Tertiary cases as symptomatic neurosyphilis</w:t>
      </w:r>
    </w:p>
    <w:p w14:paraId="60C4151D" w14:textId="77777777" w:rsidR="00E651D7" w:rsidRPr="00E651D7" w:rsidRDefault="00E651D7" w:rsidP="00712BB7">
      <w:pPr>
        <w:rPr>
          <w:rFonts w:cstheme="minorBidi"/>
          <w:szCs w:val="20"/>
        </w:rPr>
      </w:pPr>
      <w:r w:rsidRPr="00E651D7">
        <w:rPr>
          <w:rFonts w:cstheme="minorBidi"/>
          <w:szCs w:val="20"/>
        </w:rPr>
        <w:t> </w:t>
      </w:r>
    </w:p>
    <w:p w14:paraId="5D6AD58C" w14:textId="77777777" w:rsidR="00E651D7" w:rsidRPr="00E651D7" w:rsidRDefault="00E651D7" w:rsidP="00712BB7">
      <w:pPr>
        <w:numPr>
          <w:ilvl w:val="0"/>
          <w:numId w:val="29"/>
        </w:numPr>
        <w:tabs>
          <w:tab w:val="clear" w:pos="720"/>
          <w:tab w:val="num" w:pos="0"/>
        </w:tabs>
        <w:ind w:left="0"/>
        <w:rPr>
          <w:rFonts w:cstheme="minorBidi"/>
          <w:szCs w:val="20"/>
        </w:rPr>
      </w:pPr>
      <w:r w:rsidRPr="00E651D7">
        <w:rPr>
          <w:rFonts w:cstheme="minorBidi"/>
          <w:b/>
          <w:bCs/>
          <w:szCs w:val="20"/>
        </w:rPr>
        <w:t>Lanford (2006)</w:t>
      </w:r>
      <w:r w:rsidRPr="00E651D7">
        <w:rPr>
          <w:rFonts w:cstheme="minorBidi"/>
          <w:szCs w:val="20"/>
        </w:rPr>
        <w:t xml:space="preserve"> estimates the following proportions from the literature: Progressive inflammation caused </w:t>
      </w:r>
      <w:proofErr w:type="spellStart"/>
      <w:r w:rsidRPr="00E651D7">
        <w:rPr>
          <w:rFonts w:cstheme="minorBidi"/>
          <w:szCs w:val="20"/>
        </w:rPr>
        <w:t>gumma</w:t>
      </w:r>
      <w:proofErr w:type="spellEnd"/>
      <w:r w:rsidRPr="00E651D7">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668F37CB" w14:textId="77777777" w:rsidR="00E651D7" w:rsidRPr="00E651D7" w:rsidRDefault="00E651D7" w:rsidP="00712BB7">
      <w:pPr>
        <w:numPr>
          <w:ilvl w:val="1"/>
          <w:numId w:val="29"/>
        </w:numPr>
        <w:tabs>
          <w:tab w:val="clear" w:pos="1440"/>
          <w:tab w:val="num" w:pos="720"/>
        </w:tabs>
        <w:ind w:left="720"/>
        <w:rPr>
          <w:rFonts w:cstheme="minorBidi"/>
          <w:szCs w:val="20"/>
        </w:rPr>
      </w:pPr>
      <w:r w:rsidRPr="00E651D7">
        <w:rPr>
          <w:rFonts w:cstheme="minorBidi"/>
          <w:szCs w:val="20"/>
        </w:rPr>
        <w:lastRenderedPageBreak/>
        <w:t xml:space="preserve">These results are </w:t>
      </w:r>
      <w:proofErr w:type="spellStart"/>
      <w:r w:rsidRPr="00E651D7">
        <w:rPr>
          <w:rFonts w:cstheme="minorBidi"/>
          <w:szCs w:val="20"/>
        </w:rPr>
        <w:t>inline</w:t>
      </w:r>
      <w:proofErr w:type="spellEnd"/>
      <w:r w:rsidRPr="00E651D7">
        <w:rPr>
          <w:rFonts w:cstheme="minorBidi"/>
          <w:szCs w:val="20"/>
        </w:rPr>
        <w:t xml:space="preserve"> with Boeck study</w:t>
      </w:r>
    </w:p>
    <w:p w14:paraId="1F5C6215" w14:textId="77777777" w:rsidR="00E651D7" w:rsidRPr="00E651D7" w:rsidRDefault="00E651D7" w:rsidP="00712BB7">
      <w:pPr>
        <w:rPr>
          <w:rFonts w:cstheme="minorBidi"/>
          <w:szCs w:val="20"/>
        </w:rPr>
      </w:pPr>
      <w:r w:rsidRPr="00E651D7">
        <w:rPr>
          <w:rFonts w:cstheme="minorBidi"/>
          <w:szCs w:val="20"/>
        </w:rPr>
        <w:t> </w:t>
      </w:r>
    </w:p>
    <w:p w14:paraId="362B725B" w14:textId="77777777" w:rsidR="00E651D7" w:rsidRPr="00E651D7" w:rsidRDefault="00E651D7" w:rsidP="00712BB7">
      <w:pPr>
        <w:numPr>
          <w:ilvl w:val="0"/>
          <w:numId w:val="30"/>
        </w:numPr>
        <w:tabs>
          <w:tab w:val="clear" w:pos="720"/>
          <w:tab w:val="num" w:pos="0"/>
        </w:tabs>
        <w:ind w:left="0"/>
        <w:rPr>
          <w:rFonts w:cstheme="minorBidi"/>
          <w:szCs w:val="20"/>
        </w:rPr>
      </w:pPr>
      <w:r w:rsidRPr="00E651D7">
        <w:rPr>
          <w:rFonts w:cstheme="minorBidi"/>
          <w:b/>
          <w:bCs/>
          <w:szCs w:val="20"/>
        </w:rPr>
        <w:t>Golden (2003)</w:t>
      </w:r>
      <w:r w:rsidRPr="00E651D7">
        <w:rPr>
          <w:rFonts w:cstheme="minorBidi"/>
          <w:szCs w:val="20"/>
        </w:rPr>
        <w:t xml:space="preserve"> provides an estimate for the two forms of tertiary syphilis, at 2-5% over 20-30 years developing General Paresis, and 2-9% over 3-50 years developing </w:t>
      </w:r>
      <w:proofErr w:type="spellStart"/>
      <w:r w:rsidRPr="00E651D7">
        <w:rPr>
          <w:rFonts w:cstheme="minorBidi"/>
          <w:szCs w:val="20"/>
        </w:rPr>
        <w:t>Tabes</w:t>
      </w:r>
      <w:proofErr w:type="spellEnd"/>
      <w:r w:rsidRPr="00E651D7">
        <w:rPr>
          <w:rFonts w:cstheme="minorBidi"/>
          <w:szCs w:val="20"/>
        </w:rPr>
        <w:t xml:space="preserve"> Dorsalis, but it’s progressed among those with early CNS (25-60%) </w:t>
      </w:r>
    </w:p>
    <w:p w14:paraId="3BCEE5C6" w14:textId="77777777" w:rsidR="00E651D7" w:rsidRPr="00E651D7" w:rsidRDefault="00E651D7" w:rsidP="00E651D7">
      <w:pPr>
        <w:numPr>
          <w:ilvl w:val="1"/>
          <w:numId w:val="30"/>
        </w:numPr>
        <w:rPr>
          <w:rFonts w:cstheme="minorBidi"/>
          <w:szCs w:val="20"/>
        </w:rPr>
      </w:pPr>
      <w:r w:rsidRPr="00E651D7">
        <w:rPr>
          <w:rFonts w:cstheme="minorBidi"/>
          <w:szCs w:val="20"/>
        </w:rPr>
        <w:t>This is approximately, 4-14% of those patients with early CNS&gt;&gt; 2-5% of all patients? </w:t>
      </w:r>
    </w:p>
    <w:p w14:paraId="59397119" w14:textId="7DE5B026" w:rsidR="00E651D7" w:rsidRPr="00E651D7" w:rsidRDefault="00E651D7" w:rsidP="00712BB7">
      <w:pPr>
        <w:rPr>
          <w:rFonts w:cstheme="minorBidi"/>
          <w:szCs w:val="20"/>
        </w:rPr>
      </w:pPr>
      <w:r w:rsidRPr="00E651D7">
        <w:rPr>
          <w:rFonts w:cstheme="minorBidi"/>
          <w:szCs w:val="20"/>
        </w:rPr>
        <w:t>  </w:t>
      </w:r>
    </w:p>
    <w:p w14:paraId="0BB4BB0E" w14:textId="77777777" w:rsidR="00E651D7" w:rsidRPr="00E651D7" w:rsidRDefault="00E651D7" w:rsidP="00712BB7">
      <w:r w:rsidRPr="00E651D7">
        <w:t>Final thoughts:</w:t>
      </w:r>
    </w:p>
    <w:p w14:paraId="25E93264" w14:textId="77777777" w:rsidR="00E651D7" w:rsidRPr="00E651D7" w:rsidRDefault="00E651D7" w:rsidP="00712BB7">
      <w:pPr>
        <w:pStyle w:val="ListParagraph"/>
        <w:numPr>
          <w:ilvl w:val="0"/>
          <w:numId w:val="34"/>
        </w:numPr>
      </w:pPr>
      <w:r w:rsidRPr="00E651D7">
        <w:t>Late benign syphilis: 14% of males and 17% of females, 1 to 46 years post infection (Kent-2008, Golden-2003)</w:t>
      </w:r>
    </w:p>
    <w:p w14:paraId="7E3EF66C" w14:textId="77777777" w:rsidR="00E651D7" w:rsidRPr="00E651D7" w:rsidRDefault="00E651D7" w:rsidP="00712BB7">
      <w:pPr>
        <w:pStyle w:val="ListParagraph"/>
        <w:numPr>
          <w:ilvl w:val="0"/>
          <w:numId w:val="34"/>
        </w:numPr>
      </w:pPr>
      <w:r w:rsidRPr="00E651D7">
        <w:t xml:space="preserve">cardiovascular syphilis: 13.6% in males and 7.6% in </w:t>
      </w:r>
      <w:proofErr w:type="gramStart"/>
      <w:r w:rsidRPr="00E651D7">
        <w:t>females  10</w:t>
      </w:r>
      <w:proofErr w:type="gramEnd"/>
      <w:r w:rsidRPr="00E651D7">
        <w:t>-30 years post infection (Kent-2008)</w:t>
      </w:r>
    </w:p>
    <w:p w14:paraId="5080941B" w14:textId="77777777" w:rsidR="00E651D7" w:rsidRPr="00E651D7" w:rsidRDefault="00E651D7" w:rsidP="00712BB7">
      <w:pPr>
        <w:pStyle w:val="ListParagraph"/>
        <w:numPr>
          <w:ilvl w:val="0"/>
          <w:numId w:val="34"/>
        </w:numPr>
      </w:pPr>
      <w:r w:rsidRPr="00E651D7">
        <w:t>Symptomatic neurosyphilis:  9.4% of males and 5.0% of females over 4-25 years post infection (Kent-2008)</w:t>
      </w:r>
    </w:p>
    <w:p w14:paraId="6FBEA7D9" w14:textId="77777777" w:rsidR="00E651D7" w:rsidRPr="00E651D7" w:rsidRDefault="00E651D7" w:rsidP="00E651D7">
      <w:pPr>
        <w:rPr>
          <w:rFonts w:cstheme="minorBidi"/>
          <w:szCs w:val="20"/>
        </w:rPr>
      </w:pPr>
      <w:r w:rsidRPr="00E651D7">
        <w:rPr>
          <w:rFonts w:cstheme="minorBidi"/>
          <w:szCs w:val="20"/>
        </w:rPr>
        <w:t> </w:t>
      </w:r>
    </w:p>
    <w:p w14:paraId="04EC8ED3" w14:textId="665FF694" w:rsidR="00E651D7" w:rsidRDefault="00712BB7" w:rsidP="00712BB7">
      <w:pPr>
        <w:pStyle w:val="Heading1"/>
      </w:pPr>
      <w:r>
        <w:t>Infectiousness</w:t>
      </w:r>
    </w:p>
    <w:p w14:paraId="736039BE" w14:textId="77777777" w:rsidR="005840FB" w:rsidRDefault="005840FB" w:rsidP="005840FB">
      <w:pPr>
        <w:rPr>
          <w:rFonts w:cstheme="minorBidi"/>
          <w:szCs w:val="20"/>
        </w:rPr>
      </w:pPr>
      <w:r w:rsidRPr="005840FB">
        <w:rPr>
          <w:rFonts w:cstheme="minorBidi"/>
          <w:szCs w:val="20"/>
        </w:rPr>
        <w:t>The infectiousness levels of syphilis vary across its stages, driven by clinical manifestations and the presence of lesions that facilitate transmission. During primary syphilis, infectiousness is high due to chancres, which are teeming with </w:t>
      </w:r>
      <w:r w:rsidRPr="005840FB">
        <w:rPr>
          <w:rFonts w:cstheme="minorBidi"/>
          <w:i/>
          <w:iCs/>
          <w:szCs w:val="20"/>
        </w:rPr>
        <w:t>Treponema pallidum</w:t>
      </w:r>
      <w:r w:rsidRPr="005840FB">
        <w:rPr>
          <w:rFonts w:cstheme="minorBidi"/>
          <w:szCs w:val="20"/>
        </w:rPr>
        <w:t xml:space="preserve">. This risk peaks in secondary syphilis, characterized by mucocutaneous rashes and </w:t>
      </w:r>
      <w:proofErr w:type="spellStart"/>
      <w:r w:rsidRPr="005840FB">
        <w:rPr>
          <w:rFonts w:cstheme="minorBidi"/>
          <w:szCs w:val="20"/>
        </w:rPr>
        <w:t>condylomata</w:t>
      </w:r>
      <w:proofErr w:type="spellEnd"/>
      <w:r w:rsidRPr="005840FB">
        <w:rPr>
          <w:rFonts w:cstheme="minorBidi"/>
          <w:szCs w:val="20"/>
        </w:rPr>
        <w:t xml:space="preserve"> </w:t>
      </w:r>
      <w:proofErr w:type="spellStart"/>
      <w:r w:rsidRPr="005840FB">
        <w:rPr>
          <w:rFonts w:cstheme="minorBidi"/>
          <w:szCs w:val="20"/>
        </w:rPr>
        <w:t>lata</w:t>
      </w:r>
      <w:proofErr w:type="spellEnd"/>
      <w:r w:rsidRPr="005840FB">
        <w:rPr>
          <w:rFonts w:cstheme="minorBidi"/>
          <w:szCs w:val="20"/>
        </w:rPr>
        <w:t>, both rich in bacteria and highly transmissible. Early latent syphilis retains moderate infectious potential, with occasional relapses of secondary symptoms. In contrast, late latent syphilis and tertiary syphilis are considered non-infectious due to the absence of active lesions. Congenital syphilis transmission, however, depends heavily on the maternal stage of infection, with the highest risk during early syphilis (within 12 months of infection) when bacterial loads are at their peak.</w:t>
      </w:r>
    </w:p>
    <w:p w14:paraId="48343F06" w14:textId="77777777" w:rsidR="005840FB" w:rsidRDefault="005840FB" w:rsidP="005840FB">
      <w:pPr>
        <w:rPr>
          <w:rFonts w:cstheme="minorBidi"/>
          <w:szCs w:val="20"/>
        </w:rPr>
      </w:pPr>
    </w:p>
    <w:p w14:paraId="0AA7317B" w14:textId="77777777" w:rsidR="00032DD4" w:rsidRDefault="00032DD4" w:rsidP="005840FB">
      <w:pPr>
        <w:rPr>
          <w:rFonts w:cstheme="minorBidi"/>
          <w:szCs w:val="20"/>
        </w:rPr>
      </w:pPr>
    </w:p>
    <w:p w14:paraId="6EDB3555" w14:textId="173170D5" w:rsidR="00032DD4" w:rsidRDefault="00032DD4" w:rsidP="00032DD4">
      <w:pPr>
        <w:rPr>
          <w:rFonts w:cstheme="minorBidi"/>
          <w:szCs w:val="20"/>
        </w:rPr>
      </w:pPr>
      <w:r>
        <w:rPr>
          <w:rFonts w:cstheme="minorBidi"/>
          <w:szCs w:val="20"/>
        </w:rPr>
        <w:t>S</w:t>
      </w:r>
      <w:r w:rsidRPr="00032DD4">
        <w:rPr>
          <w:rFonts w:cstheme="minorBidi"/>
          <w:szCs w:val="20"/>
        </w:rPr>
        <w:t>econdary syphilis case patients also have infectious lesions (mucous patches and </w:t>
      </w:r>
      <w:r w:rsidRPr="00032DD4">
        <w:rPr>
          <w:rFonts w:cstheme="minorBidi"/>
          <w:i/>
          <w:iCs/>
          <w:szCs w:val="20"/>
        </w:rPr>
        <w:t xml:space="preserve">condyloma </w:t>
      </w:r>
      <w:proofErr w:type="spellStart"/>
      <w:r w:rsidRPr="00032DD4">
        <w:rPr>
          <w:rFonts w:cstheme="minorBidi"/>
          <w:i/>
          <w:iCs/>
          <w:szCs w:val="20"/>
        </w:rPr>
        <w:t>lata</w:t>
      </w:r>
      <w:proofErr w:type="spellEnd"/>
      <w:r w:rsidRPr="00032DD4">
        <w:rPr>
          <w:rFonts w:cstheme="minorBidi"/>
          <w:szCs w:val="20"/>
        </w:rPr>
        <w:t>) which are present in approximately 30% of secondary case</w:t>
      </w:r>
      <w:r w:rsidR="00CE0BC9">
        <w:rPr>
          <w:rFonts w:cstheme="minorBidi"/>
          <w:szCs w:val="20"/>
        </w:rPr>
        <w:fldChar w:fldCharType="begin"/>
      </w:r>
      <w:r w:rsidR="00BD1B04">
        <w:rPr>
          <w:rFonts w:cstheme="minorBidi"/>
          <w:szCs w:val="20"/>
        </w:rPr>
        <w:instrText xml:space="preserve"> ADDIN EN.CITE &lt;EndNote&gt;&lt;Cite&gt;&lt;Author&gt;Oxman&lt;/Author&gt;&lt;Year&gt;1996&lt;/Year&gt;&lt;RecNum&gt;17&lt;/RecNum&gt;&lt;DisplayText&gt;(8, 9)&lt;/DisplayText&gt;&lt;record&gt;&lt;rec-number&gt;17&lt;/rec-number&gt;&lt;foreign-keys&gt;&lt;key app="EN" db-id="2azv52r5g9zffjevde4v22w32zs5sw0ea5zd" timestamp="1734028560"&gt;17&lt;/key&gt;&lt;/foreign-keys&gt;&lt;ref-type name="Journal Article"&gt;17&lt;/ref-type&gt;&lt;contributors&gt;&lt;authors&gt;&lt;author&gt;Oxman, Gary L&lt;/author&gt;&lt;author&gt;Smolkowski, Keith&lt;/author&gt;&lt;author&gt;Noell, John&lt;/author&gt;&lt;/authors&gt;&lt;/contributors&gt;&lt;titles&gt;&lt;title&gt;Mathematical modeling of epidemic syphilis transmission: implications for syphilis control programs&lt;/title&gt;&lt;secondary-title&gt;Sexually transmitted diseases&lt;/secondary-title&gt;&lt;/titles&gt;&lt;periodical&gt;&lt;full-title&gt;Sexually transmitted diseases&lt;/full-title&gt;&lt;/periodical&gt;&lt;pages&gt;30-39&lt;/pages&gt;&lt;volume&gt;23&lt;/volume&gt;&lt;number&gt;1&lt;/number&gt;&lt;dates&gt;&lt;year&gt;1996&lt;/year&gt;&lt;/dates&gt;&lt;isbn&gt;0148-5717&lt;/isbn&gt;&lt;urls&gt;&lt;/urls&gt;&lt;/record&gt;&lt;/Cite&gt;&lt;Cite&gt;&lt;Author&gt;Gunn&lt;/Author&gt;&lt;Year&gt;2019&lt;/Year&gt;&lt;RecNum&gt;18&lt;/RecNum&gt;&lt;record&gt;&lt;rec-number&gt;18&lt;/rec-number&gt;&lt;foreign-keys&gt;&lt;key app="EN" db-id="2azv52r5g9zffjevde4v22w32zs5sw0ea5zd" timestamp="1734028589"&gt;18&lt;/key&gt;&lt;/foreign-keys&gt;&lt;ref-type name="Journal Article"&gt;17&lt;/ref-type&gt;&lt;contributors&gt;&lt;authors&gt;&lt;author&gt;Gunn, Robert A&lt;/author&gt;&lt;author&gt;Klausner, Jeffrey D&lt;/author&gt;&lt;/authors&gt;&lt;/contributors&gt;&lt;titles&gt;&lt;title&gt;Enhancing the control of syphilis among men who have sex with men by focusing on acute infectious primary syphilis and core transmission groups&lt;/title&gt;&lt;secondary-title&gt;Sexually Transmitted Diseases&lt;/secondary-title&gt;&lt;/titles&gt;&lt;periodical&gt;&lt;full-title&gt;Sexually transmitted diseases&lt;/full-title&gt;&lt;/periodical&gt;&lt;pages&gt;629-636&lt;/pages&gt;&lt;volume&gt;46&lt;/volume&gt;&lt;number&gt;10&lt;/number&gt;&lt;dates&gt;&lt;year&gt;2019&lt;/year&gt;&lt;/dates&gt;&lt;isbn&gt;0148-5717&lt;/isbn&gt;&lt;urls&gt;&lt;/urls&gt;&lt;/record&gt;&lt;/Cite&gt;&lt;/EndNote&gt;</w:instrText>
      </w:r>
      <w:r w:rsidR="00CE0BC9">
        <w:rPr>
          <w:rFonts w:cstheme="minorBidi"/>
          <w:szCs w:val="20"/>
        </w:rPr>
        <w:fldChar w:fldCharType="separate"/>
      </w:r>
      <w:r w:rsidR="00BD1B04">
        <w:rPr>
          <w:rFonts w:cstheme="minorBidi"/>
          <w:noProof/>
          <w:szCs w:val="20"/>
        </w:rPr>
        <w:t>(8, 9)</w:t>
      </w:r>
      <w:r w:rsidR="00CE0BC9">
        <w:rPr>
          <w:rFonts w:cstheme="minorBidi"/>
          <w:szCs w:val="20"/>
        </w:rPr>
        <w:fldChar w:fldCharType="end"/>
      </w:r>
    </w:p>
    <w:p w14:paraId="0D06FD28" w14:textId="7258CAE3" w:rsidR="00032DD4" w:rsidRDefault="00963116" w:rsidP="00032DD4">
      <w:pPr>
        <w:rPr>
          <w:rFonts w:cstheme="minorBidi"/>
          <w:szCs w:val="20"/>
        </w:rPr>
      </w:pPr>
      <w:r>
        <w:rPr>
          <w:rFonts w:cstheme="minorBidi"/>
          <w:szCs w:val="20"/>
        </w:rPr>
        <w:t>Oxman Modeling: Primary 30%, secondary 75%</w:t>
      </w:r>
    </w:p>
    <w:p w14:paraId="2A3E6D20" w14:textId="77777777" w:rsidR="000A1771" w:rsidRDefault="000A1771" w:rsidP="005840FB">
      <w:pPr>
        <w:rPr>
          <w:rFonts w:cstheme="minorBidi"/>
          <w:szCs w:val="20"/>
        </w:rPr>
      </w:pPr>
    </w:p>
    <w:p w14:paraId="1ECAE339" w14:textId="77777777" w:rsidR="000A1771" w:rsidRDefault="000A1771" w:rsidP="005840FB">
      <w:pPr>
        <w:rPr>
          <w:rFonts w:cstheme="minorBidi"/>
          <w:szCs w:val="20"/>
        </w:rPr>
      </w:pPr>
    </w:p>
    <w:p w14:paraId="6D7DD6C3" w14:textId="77777777" w:rsidR="000A1771" w:rsidRDefault="000A1771" w:rsidP="005840FB">
      <w:pPr>
        <w:rPr>
          <w:rFonts w:cstheme="minorBidi"/>
          <w:szCs w:val="20"/>
        </w:rPr>
      </w:pPr>
    </w:p>
    <w:p w14:paraId="41FA688B" w14:textId="77777777" w:rsidR="000A1771" w:rsidRDefault="000A1771" w:rsidP="005840FB">
      <w:pPr>
        <w:rPr>
          <w:rFonts w:cstheme="minorBidi"/>
          <w:szCs w:val="20"/>
        </w:rPr>
      </w:pPr>
    </w:p>
    <w:p w14:paraId="3418D662" w14:textId="77777777" w:rsidR="00075685" w:rsidRDefault="00075685">
      <w:pPr>
        <w:spacing w:before="0" w:after="0"/>
        <w:rPr>
          <w:rFonts w:cstheme="minorBidi"/>
          <w:szCs w:val="20"/>
        </w:rPr>
      </w:pPr>
      <w:r>
        <w:rPr>
          <w:rFonts w:cstheme="minorBidi"/>
          <w:szCs w:val="20"/>
        </w:rPr>
        <w:br w:type="page"/>
      </w:r>
    </w:p>
    <w:p w14:paraId="39BBBC5B" w14:textId="0DFCBE2F" w:rsidR="000A1771" w:rsidRDefault="000A1771" w:rsidP="00075685">
      <w:pPr>
        <w:pStyle w:val="Heading1"/>
      </w:pPr>
      <w:r>
        <w:lastRenderedPageBreak/>
        <w:t>Target</w:t>
      </w:r>
    </w:p>
    <w:p w14:paraId="329C918B" w14:textId="0F8FD7BF" w:rsidR="000A1771" w:rsidRDefault="005A49D7" w:rsidP="005840FB">
      <w:pPr>
        <w:rPr>
          <w:rFonts w:cstheme="minorBidi"/>
          <w:szCs w:val="20"/>
        </w:rPr>
      </w:pPr>
      <w:r>
        <w:rPr>
          <w:rFonts w:cstheme="minorBidi"/>
          <w:szCs w:val="20"/>
        </w:rPr>
        <w:t>D</w:t>
      </w:r>
      <w:r w:rsidR="000A1771">
        <w:rPr>
          <w:rFonts w:cstheme="minorBidi"/>
          <w:szCs w:val="20"/>
        </w:rPr>
        <w:t>iagnosis</w:t>
      </w:r>
      <w:r>
        <w:rPr>
          <w:rFonts w:cstheme="minorBidi"/>
          <w:szCs w:val="20"/>
        </w:rPr>
        <w:t xml:space="preserve"> of PS, EL, Late or </w:t>
      </w:r>
      <w:proofErr w:type="spellStart"/>
      <w:r>
        <w:rPr>
          <w:rFonts w:cstheme="minorBidi"/>
          <w:szCs w:val="20"/>
        </w:rPr>
        <w:t>unkown</w:t>
      </w:r>
      <w:proofErr w:type="spellEnd"/>
      <w:r>
        <w:rPr>
          <w:rFonts w:cstheme="minorBidi"/>
          <w:szCs w:val="20"/>
        </w:rPr>
        <w:t>: available through Atlas Plus</w:t>
      </w:r>
    </w:p>
    <w:p w14:paraId="6CA318FE" w14:textId="17661D9E" w:rsidR="005A49D7" w:rsidRDefault="005A49D7" w:rsidP="005840FB">
      <w:pPr>
        <w:rPr>
          <w:rFonts w:cstheme="minorBidi"/>
          <w:szCs w:val="20"/>
        </w:rPr>
      </w:pPr>
      <w:r w:rsidRPr="00075685">
        <w:rPr>
          <w:rFonts w:cstheme="minorBidi"/>
          <w:color w:val="FF0000"/>
          <w:szCs w:val="20"/>
        </w:rPr>
        <w:t xml:space="preserve">Individual reports include information on </w:t>
      </w:r>
      <w:r w:rsidRPr="00075685">
        <w:rPr>
          <w:rFonts w:cstheme="minorBidi"/>
          <w:b/>
          <w:bCs/>
          <w:color w:val="FF0000"/>
          <w:szCs w:val="20"/>
        </w:rPr>
        <w:t>Primary vs Secondary</w:t>
      </w:r>
      <w:r w:rsidRPr="00075685">
        <w:rPr>
          <w:rFonts w:cstheme="minorBidi"/>
          <w:color w:val="FF0000"/>
          <w:szCs w:val="20"/>
        </w:rPr>
        <w:t xml:space="preserve"> diagnosis</w:t>
      </w:r>
      <w:r w:rsidR="000067A6" w:rsidRPr="00075685">
        <w:rPr>
          <w:rFonts w:cstheme="minorBidi"/>
          <w:color w:val="FF0000"/>
          <w:szCs w:val="20"/>
        </w:rPr>
        <w:t xml:space="preserve"> </w:t>
      </w:r>
      <w:r w:rsidR="009E401A">
        <w:rPr>
          <w:rFonts w:cstheme="minorBidi"/>
          <w:color w:val="FF0000"/>
          <w:szCs w:val="20"/>
        </w:rPr>
        <w:t xml:space="preserve">before 2017 </w:t>
      </w:r>
      <w:proofErr w:type="gramStart"/>
      <w:r w:rsidR="000067A6" w:rsidRPr="00075685">
        <w:rPr>
          <w:rFonts w:cstheme="minorBidi"/>
          <w:color w:val="FF0000"/>
          <w:szCs w:val="20"/>
        </w:rPr>
        <w:t>and also</w:t>
      </w:r>
      <w:proofErr w:type="gramEnd"/>
      <w:r w:rsidR="000067A6" w:rsidRPr="00075685">
        <w:rPr>
          <w:rFonts w:cstheme="minorBidi"/>
          <w:color w:val="FF0000"/>
          <w:szCs w:val="20"/>
        </w:rPr>
        <w:t xml:space="preserve"> diagnosis in STD clinic or non-STD clinic</w:t>
      </w:r>
      <w:r>
        <w:rPr>
          <w:rFonts w:cstheme="minorBidi"/>
          <w:szCs w:val="20"/>
        </w:rPr>
        <w:t xml:space="preserve"> </w:t>
      </w:r>
    </w:p>
    <w:p w14:paraId="136EDC7B" w14:textId="5204F584" w:rsidR="000A1771" w:rsidRDefault="00075685" w:rsidP="005840FB">
      <w:pPr>
        <w:rPr>
          <w:rFonts w:cstheme="minorBidi"/>
          <w:szCs w:val="20"/>
        </w:rPr>
      </w:pPr>
      <w:r>
        <w:rPr>
          <w:rFonts w:cstheme="minorBidi"/>
          <w:noProof/>
          <w:szCs w:val="20"/>
          <w14:ligatures w14:val="standardContextual"/>
        </w:rPr>
        <w:drawing>
          <wp:inline distT="0" distB="0" distL="0" distR="0" wp14:anchorId="234BB394" wp14:editId="6F699B98">
            <wp:extent cx="5943600" cy="1826260"/>
            <wp:effectExtent l="0" t="0" r="0" b="2540"/>
            <wp:docPr id="838183301" name="Picture 2"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3301" name="Picture 2" descr="A table with numbers and a number of peop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p>
    <w:p w14:paraId="54D37652" w14:textId="77777777" w:rsidR="000A1771" w:rsidRDefault="000A1771" w:rsidP="005840FB">
      <w:pPr>
        <w:rPr>
          <w:rFonts w:cstheme="minorBidi"/>
          <w:szCs w:val="20"/>
        </w:rPr>
      </w:pPr>
    </w:p>
    <w:p w14:paraId="738F6D46" w14:textId="77777777" w:rsidR="000A1771" w:rsidRDefault="000A1771" w:rsidP="005840FB">
      <w:pPr>
        <w:rPr>
          <w:rFonts w:cstheme="minorBidi"/>
          <w:szCs w:val="20"/>
        </w:rPr>
      </w:pPr>
    </w:p>
    <w:p w14:paraId="606B20F1" w14:textId="77777777" w:rsidR="000A1771" w:rsidRDefault="000A1771" w:rsidP="005840FB">
      <w:pPr>
        <w:rPr>
          <w:rFonts w:cstheme="minorBidi"/>
          <w:szCs w:val="20"/>
        </w:rPr>
      </w:pPr>
    </w:p>
    <w:p w14:paraId="0EF684DE" w14:textId="606010A3" w:rsidR="00131835" w:rsidRPr="00516213" w:rsidRDefault="00131835" w:rsidP="005840FB">
      <w:pPr>
        <w:rPr>
          <w:rFonts w:cstheme="minorBidi"/>
          <w:szCs w:val="20"/>
        </w:rPr>
      </w:pPr>
      <w:r w:rsidRPr="00516213">
        <w:rPr>
          <w:rFonts w:cstheme="minorBidi"/>
          <w:szCs w:val="20"/>
        </w:rPr>
        <w:t>Secondary: max =1</w:t>
      </w:r>
    </w:p>
    <w:p w14:paraId="22540454" w14:textId="77777777" w:rsidR="00131835" w:rsidRPr="00516213" w:rsidRDefault="00131835" w:rsidP="00516213">
      <w:pPr>
        <w:rPr>
          <w:rFonts w:cstheme="minorBidi"/>
          <w:szCs w:val="20"/>
          <w:highlight w:val="yellow"/>
        </w:rPr>
      </w:pPr>
      <w:r w:rsidRPr="00516213">
        <w:rPr>
          <w:rFonts w:cstheme="minorBidi"/>
          <w:szCs w:val="20"/>
          <w:highlight w:val="yellow"/>
        </w:rPr>
        <w:t xml:space="preserve">Primary Relative to secondary: </w:t>
      </w:r>
    </w:p>
    <w:p w14:paraId="0C36CF87" w14:textId="77777777" w:rsidR="00131835" w:rsidRPr="00516213" w:rsidRDefault="00131835" w:rsidP="00516213">
      <w:pPr>
        <w:rPr>
          <w:rFonts w:cstheme="minorBidi"/>
          <w:szCs w:val="20"/>
          <w:highlight w:val="yellow"/>
        </w:rPr>
      </w:pPr>
      <w:r w:rsidRPr="00516213">
        <w:rPr>
          <w:rFonts w:cstheme="minorBidi"/>
          <w:szCs w:val="20"/>
          <w:highlight w:val="yellow"/>
        </w:rPr>
        <w:t xml:space="preserve">EL relative to secondary: </w:t>
      </w:r>
    </w:p>
    <w:p w14:paraId="2DC42CAF" w14:textId="77777777" w:rsidR="00131835" w:rsidRPr="00516213" w:rsidRDefault="00131835" w:rsidP="00516213">
      <w:pPr>
        <w:rPr>
          <w:rFonts w:cstheme="minorBidi"/>
          <w:szCs w:val="20"/>
        </w:rPr>
      </w:pPr>
    </w:p>
    <w:p w14:paraId="59F309B8" w14:textId="77777777" w:rsidR="00131835" w:rsidRPr="00516213" w:rsidRDefault="00131835" w:rsidP="00516213">
      <w:pPr>
        <w:rPr>
          <w:rFonts w:cstheme="minorBidi"/>
          <w:szCs w:val="20"/>
        </w:rPr>
      </w:pPr>
      <w:r w:rsidRPr="00516213">
        <w:rPr>
          <w:rFonts w:cstheme="minorBidi"/>
          <w:szCs w:val="20"/>
        </w:rPr>
        <w:t xml:space="preserve">Diagnosis </w:t>
      </w:r>
    </w:p>
    <w:p w14:paraId="5BC8B102" w14:textId="77777777" w:rsidR="00131835" w:rsidRPr="00516213" w:rsidRDefault="00131835" w:rsidP="00516213">
      <w:pPr>
        <w:rPr>
          <w:rFonts w:cstheme="minorBidi"/>
          <w:szCs w:val="20"/>
        </w:rPr>
      </w:pPr>
      <w:r w:rsidRPr="00516213">
        <w:rPr>
          <w:rFonts w:cstheme="minorBidi"/>
          <w:szCs w:val="20"/>
        </w:rPr>
        <w:t>We assume that there are two separate mechanisms for diagnosis:</w:t>
      </w:r>
    </w:p>
    <w:p w14:paraId="3D3B7969" w14:textId="77777777" w:rsidR="00131835" w:rsidRPr="00516213" w:rsidRDefault="00131835" w:rsidP="00516213">
      <w:pPr>
        <w:rPr>
          <w:rFonts w:cstheme="minorBidi"/>
          <w:szCs w:val="20"/>
        </w:rPr>
      </w:pPr>
      <w:r w:rsidRPr="00516213">
        <w:rPr>
          <w:rFonts w:cstheme="minorBidi"/>
          <w:b/>
          <w:bCs/>
          <w:szCs w:val="20"/>
        </w:rPr>
        <w:t>Screening</w:t>
      </w:r>
      <w:r w:rsidRPr="00516213">
        <w:rPr>
          <w:rFonts w:cstheme="minorBidi"/>
          <w:szCs w:val="20"/>
        </w:rPr>
        <w:t>: This is based on underlying rates of STI screening among populations.</w:t>
      </w:r>
    </w:p>
    <w:p w14:paraId="2DAD8943" w14:textId="77777777" w:rsidR="00131835" w:rsidRPr="00516213" w:rsidRDefault="00131835" w:rsidP="00516213">
      <w:pPr>
        <w:rPr>
          <w:rFonts w:cstheme="minorBidi"/>
          <w:szCs w:val="20"/>
        </w:rPr>
      </w:pPr>
    </w:p>
    <w:p w14:paraId="75779A31" w14:textId="77777777" w:rsidR="00131835" w:rsidRPr="00516213" w:rsidRDefault="00131835" w:rsidP="00516213">
      <w:pPr>
        <w:rPr>
          <w:rFonts w:cstheme="minorBidi"/>
          <w:szCs w:val="20"/>
        </w:rPr>
      </w:pPr>
      <w:r w:rsidRPr="00516213">
        <w:rPr>
          <w:rFonts w:cstheme="minorBidi"/>
          <w:b/>
          <w:bCs/>
          <w:szCs w:val="20"/>
        </w:rPr>
        <w:t>Symptomatic Screening Rates</w:t>
      </w:r>
      <w:r w:rsidRPr="00516213">
        <w:rPr>
          <w:rFonts w:cstheme="minorBidi"/>
          <w:szCs w:val="20"/>
        </w:rPr>
        <w:t>: These rates vary by syphilis stage—primary, secondary, tertiary, and CNS involvement.</w:t>
      </w:r>
    </w:p>
    <w:p w14:paraId="08633540" w14:textId="77777777" w:rsidR="00131835" w:rsidRPr="00516213" w:rsidRDefault="00131835" w:rsidP="00516213">
      <w:pPr>
        <w:rPr>
          <w:rFonts w:cstheme="minorBidi"/>
          <w:szCs w:val="20"/>
        </w:rPr>
      </w:pPr>
      <w:r w:rsidRPr="00516213">
        <w:rPr>
          <w:rFonts w:cstheme="minorBidi"/>
          <w:szCs w:val="20"/>
        </w:rPr>
        <w:t>For </w:t>
      </w:r>
      <w:r w:rsidRPr="00516213">
        <w:rPr>
          <w:rFonts w:cstheme="minorBidi"/>
          <w:b/>
          <w:bCs/>
          <w:szCs w:val="20"/>
        </w:rPr>
        <w:t>primary syphilis</w:t>
      </w:r>
      <w:r w:rsidRPr="00516213">
        <w:rPr>
          <w:rFonts w:cstheme="minorBidi"/>
          <w:szCs w:val="20"/>
        </w:rPr>
        <w:t>, the differential is higher among heterosexual men compared to MSM (men who have sex with men) and women.</w:t>
      </w:r>
    </w:p>
    <w:p w14:paraId="60FE9E02" w14:textId="77777777" w:rsidR="00131835" w:rsidRPr="00516213" w:rsidRDefault="00131835" w:rsidP="00516213">
      <w:pPr>
        <w:rPr>
          <w:rFonts w:cstheme="minorBidi"/>
          <w:szCs w:val="20"/>
        </w:rPr>
      </w:pPr>
      <w:r w:rsidRPr="00516213">
        <w:rPr>
          <w:rFonts w:cstheme="minorBidi"/>
          <w:b/>
          <w:bCs/>
          <w:szCs w:val="20"/>
        </w:rPr>
        <w:t>Secondary syphilis</w:t>
      </w:r>
      <w:r w:rsidRPr="00516213">
        <w:rPr>
          <w:rFonts w:cstheme="minorBidi"/>
          <w:szCs w:val="20"/>
        </w:rPr>
        <w:t> has a higher symptomatic screening rate compared to primary syphilis.</w:t>
      </w:r>
    </w:p>
    <w:p w14:paraId="230090B0" w14:textId="77777777" w:rsidR="00131835" w:rsidRPr="00516213" w:rsidRDefault="00131835" w:rsidP="00516213">
      <w:pPr>
        <w:rPr>
          <w:rFonts w:cstheme="minorBidi"/>
          <w:szCs w:val="20"/>
        </w:rPr>
      </w:pPr>
      <w:r w:rsidRPr="00516213">
        <w:rPr>
          <w:rFonts w:cstheme="minorBidi"/>
          <w:szCs w:val="20"/>
        </w:rPr>
        <w:t>The rates for </w:t>
      </w:r>
      <w:r w:rsidRPr="00516213">
        <w:rPr>
          <w:rFonts w:cstheme="minorBidi"/>
          <w:b/>
          <w:bCs/>
          <w:szCs w:val="20"/>
        </w:rPr>
        <w:t>tertiary syphilis</w:t>
      </w:r>
      <w:r w:rsidRPr="00516213">
        <w:rPr>
          <w:rFonts w:cstheme="minorBidi"/>
          <w:szCs w:val="20"/>
        </w:rPr>
        <w:t> and </w:t>
      </w:r>
      <w:r w:rsidRPr="00516213">
        <w:rPr>
          <w:rFonts w:cstheme="minorBidi"/>
          <w:b/>
          <w:bCs/>
          <w:szCs w:val="20"/>
        </w:rPr>
        <w:t>CNS involvement</w:t>
      </w:r>
      <w:r w:rsidRPr="00516213">
        <w:rPr>
          <w:rFonts w:cstheme="minorBidi"/>
          <w:szCs w:val="20"/>
        </w:rPr>
        <w:t> are the highest among all stages.</w:t>
      </w:r>
    </w:p>
    <w:p w14:paraId="67BB813C" w14:textId="027C40F5" w:rsidR="00131835" w:rsidRPr="00516213" w:rsidRDefault="00131835" w:rsidP="00516213">
      <w:pPr>
        <w:rPr>
          <w:rFonts w:cstheme="minorBidi"/>
          <w:szCs w:val="20"/>
        </w:rPr>
      </w:pPr>
      <w:r w:rsidRPr="00516213">
        <w:rPr>
          <w:rFonts w:cstheme="minorBidi"/>
          <w:szCs w:val="20"/>
        </w:rPr>
        <w:br w:type="page"/>
      </w:r>
    </w:p>
    <w:p w14:paraId="2AD9DCAA" w14:textId="77777777" w:rsidR="00A41859" w:rsidRPr="00516213" w:rsidRDefault="00A41859" w:rsidP="00516213">
      <w:pPr>
        <w:rPr>
          <w:rFonts w:cstheme="minorBidi"/>
          <w:szCs w:val="20"/>
        </w:rPr>
      </w:pPr>
    </w:p>
    <w:p w14:paraId="2EC72FCB" w14:textId="77777777" w:rsidR="00BD1B04" w:rsidRPr="00BD1B04" w:rsidRDefault="009E5F82" w:rsidP="00BD1B04">
      <w:pPr>
        <w:pStyle w:val="EndNoteBibliography"/>
        <w:spacing w:after="0"/>
        <w:ind w:left="0" w:firstLine="0"/>
        <w:rPr>
          <w:noProof/>
        </w:rPr>
      </w:pPr>
      <w:r w:rsidRPr="00516213">
        <w:rPr>
          <w:rFonts w:asciiTheme="minorBidi" w:hAnsiTheme="minorBidi" w:cstheme="minorBidi"/>
          <w:sz w:val="20"/>
          <w:szCs w:val="20"/>
        </w:rPr>
        <w:fldChar w:fldCharType="begin"/>
      </w:r>
      <w:r w:rsidRPr="00516213">
        <w:rPr>
          <w:rFonts w:asciiTheme="minorBidi" w:hAnsiTheme="minorBidi" w:cstheme="minorBidi"/>
          <w:sz w:val="20"/>
          <w:szCs w:val="20"/>
        </w:rPr>
        <w:instrText xml:space="preserve"> ADDIN EN.REFLIST </w:instrText>
      </w:r>
      <w:r w:rsidRPr="00516213">
        <w:rPr>
          <w:rFonts w:asciiTheme="minorBidi" w:hAnsiTheme="minorBidi" w:cstheme="minorBidi"/>
          <w:sz w:val="20"/>
          <w:szCs w:val="20"/>
        </w:rPr>
        <w:fldChar w:fldCharType="separate"/>
      </w:r>
      <w:r w:rsidR="00BD1B04" w:rsidRPr="00BD1B04">
        <w:rPr>
          <w:noProof/>
        </w:rPr>
        <w:t>1.</w:t>
      </w:r>
      <w:r w:rsidR="00BD1B04" w:rsidRPr="00BD1B04">
        <w:rPr>
          <w:noProof/>
        </w:rPr>
        <w:tab/>
        <w:t>Mercuri SR, Moliterni E, Cerullo A, Di Nicola MR, Rizzo N, Bianchi VG, et al. Syphilis: a mini review of the history, epidemiology and focus on microbiota. New Microbiol. 2022;45(1):28-34. Epub 2022/04/12. PubMed PMID: 35403844.</w:t>
      </w:r>
    </w:p>
    <w:p w14:paraId="49676D96" w14:textId="77777777" w:rsidR="00BD1B04" w:rsidRPr="00BD1B04" w:rsidRDefault="00BD1B04" w:rsidP="00BD1B04">
      <w:pPr>
        <w:pStyle w:val="EndNoteBibliography"/>
        <w:spacing w:after="0"/>
        <w:ind w:left="0" w:firstLine="0"/>
        <w:rPr>
          <w:noProof/>
        </w:rPr>
      </w:pPr>
      <w:r w:rsidRPr="00BD1B04">
        <w:rPr>
          <w:noProof/>
        </w:rPr>
        <w:t>2.</w:t>
      </w:r>
      <w:r w:rsidRPr="00BD1B04">
        <w:rPr>
          <w:noProof/>
        </w:rPr>
        <w:tab/>
        <w:t>Kent ME, Romanelli F. Reexamining syphilis: an update on epidemiology, clinical manifestations, and management. Ann Pharmacother. 2008;42(2):226-36. Epub 2008/01/24. doi: 10.1345/aph.1K086. PubMed PMID: 18212261.</w:t>
      </w:r>
    </w:p>
    <w:p w14:paraId="6EA19337" w14:textId="206FD663" w:rsidR="00BD1B04" w:rsidRPr="00BD1B04" w:rsidRDefault="00BD1B04" w:rsidP="00BD1B04">
      <w:pPr>
        <w:pStyle w:val="EndNoteBibliography"/>
        <w:spacing w:after="0"/>
        <w:ind w:left="0" w:firstLine="0"/>
        <w:rPr>
          <w:noProof/>
        </w:rPr>
      </w:pPr>
      <w:r w:rsidRPr="00BD1B04">
        <w:rPr>
          <w:noProof/>
        </w:rPr>
        <w:t>3.</w:t>
      </w:r>
      <w:r w:rsidRPr="00BD1B04">
        <w:rPr>
          <w:noProof/>
        </w:rPr>
        <w:tab/>
        <w:t xml:space="preserve">Hicks CB, Clement M. Syphilis: epidemiology, pathophysiology, and clinical manifestations in patients without HIV. UpToDate, Alphen aan den Rijn, Netherlands: Wolters Kluwer </w:t>
      </w:r>
      <w:hyperlink r:id="rId6" w:history="1">
        <w:r w:rsidRPr="00BD1B04">
          <w:rPr>
            <w:rStyle w:val="Hyperlink"/>
            <w:noProof/>
          </w:rPr>
          <w:t>https://www</w:t>
        </w:r>
      </w:hyperlink>
      <w:r w:rsidRPr="00BD1B04">
        <w:rPr>
          <w:noProof/>
        </w:rPr>
        <w:t xml:space="preserve"> uptodate com/contents/syphilis-epidemiology-pathophysiology-and-clinical-manifestations-in-patients-without-hiv (Accessed 23 November 2023). 2021.</w:t>
      </w:r>
    </w:p>
    <w:p w14:paraId="6C740D0B" w14:textId="77777777" w:rsidR="00BD1B04" w:rsidRPr="00BD1B04" w:rsidRDefault="00BD1B04" w:rsidP="00BD1B04">
      <w:pPr>
        <w:pStyle w:val="EndNoteBibliography"/>
        <w:spacing w:after="0"/>
        <w:ind w:left="0" w:firstLine="0"/>
        <w:rPr>
          <w:noProof/>
        </w:rPr>
      </w:pPr>
      <w:r w:rsidRPr="00BD1B04">
        <w:rPr>
          <w:noProof/>
        </w:rPr>
        <w:t>4.</w:t>
      </w:r>
      <w:r w:rsidRPr="00BD1B04">
        <w:rPr>
          <w:noProof/>
        </w:rPr>
        <w:tab/>
        <w:t>Lafond RE, Lukehart SA. Biological basis for syphilis. Clin Microbiol Rev. 2006;19(1):29-49. Epub 2006/01/19. doi: 10.1128/CMR.19.1.29-49.2006. PubMed PMID: 16418521; PubMed Central PMCID: PMCPMC1360276.</w:t>
      </w:r>
    </w:p>
    <w:p w14:paraId="36AB6F7D" w14:textId="77777777" w:rsidR="00BD1B04" w:rsidRPr="00BD1B04" w:rsidRDefault="00BD1B04" w:rsidP="00BD1B04">
      <w:pPr>
        <w:pStyle w:val="EndNoteBibliography"/>
        <w:spacing w:after="0"/>
        <w:ind w:left="0" w:firstLine="0"/>
        <w:rPr>
          <w:noProof/>
        </w:rPr>
      </w:pPr>
      <w:r w:rsidRPr="00BD1B04">
        <w:rPr>
          <w:noProof/>
        </w:rPr>
        <w:t>5.</w:t>
      </w:r>
      <w:r w:rsidRPr="00BD1B04">
        <w:rPr>
          <w:noProof/>
        </w:rPr>
        <w:tab/>
        <w:t>Gross G, Tyring SK. Sexually transmitted infections and sexually transmitted diseases: Springer Science &amp; Business Media; 2011.</w:t>
      </w:r>
    </w:p>
    <w:p w14:paraId="7F7708F3" w14:textId="77777777" w:rsidR="00BD1B04" w:rsidRPr="00BD1B04" w:rsidRDefault="00BD1B04" w:rsidP="00BD1B04">
      <w:pPr>
        <w:pStyle w:val="EndNoteBibliography"/>
        <w:spacing w:after="0"/>
        <w:ind w:left="0" w:firstLine="0"/>
        <w:rPr>
          <w:noProof/>
        </w:rPr>
      </w:pPr>
      <w:r w:rsidRPr="00BD1B04">
        <w:rPr>
          <w:noProof/>
        </w:rPr>
        <w:t>6.</w:t>
      </w:r>
      <w:r w:rsidRPr="00BD1B04">
        <w:rPr>
          <w:noProof/>
        </w:rPr>
        <w:tab/>
        <w:t>Singh AE, Romanowski B. Syphilis: review with emphasis on clinical, epidemiologic, and some biologic features. Clin Microbiol Rev. 1999;12(2):187-209. Epub 1999/04/09. doi: 10.1128/CMR.12.2.187. PubMed PMID: 10194456; PubMed Central PMCID: PMCPMC88914.</w:t>
      </w:r>
    </w:p>
    <w:p w14:paraId="41037539" w14:textId="77777777" w:rsidR="00BD1B04" w:rsidRPr="00BD1B04" w:rsidRDefault="00BD1B04" w:rsidP="00BD1B04">
      <w:pPr>
        <w:pStyle w:val="EndNoteBibliography"/>
        <w:spacing w:after="0"/>
        <w:ind w:left="0" w:firstLine="0"/>
        <w:rPr>
          <w:noProof/>
        </w:rPr>
      </w:pPr>
      <w:r w:rsidRPr="00BD1B04">
        <w:rPr>
          <w:noProof/>
        </w:rPr>
        <w:t>7.</w:t>
      </w:r>
      <w:r w:rsidRPr="00BD1B04">
        <w:rPr>
          <w:noProof/>
        </w:rPr>
        <w:tab/>
        <w:t>Golden MR, Marra CM, Holmes KK. Update on syphilis: resurgence of an old problem. Jama. 2003;290(11):1510-4.</w:t>
      </w:r>
    </w:p>
    <w:p w14:paraId="67CC6AD5" w14:textId="77777777" w:rsidR="00BD1B04" w:rsidRPr="00BD1B04" w:rsidRDefault="00BD1B04" w:rsidP="00BD1B04">
      <w:pPr>
        <w:pStyle w:val="EndNoteBibliography"/>
        <w:spacing w:after="0"/>
        <w:ind w:left="0" w:firstLine="0"/>
        <w:rPr>
          <w:noProof/>
        </w:rPr>
      </w:pPr>
      <w:r w:rsidRPr="00BD1B04">
        <w:rPr>
          <w:noProof/>
        </w:rPr>
        <w:t>8.</w:t>
      </w:r>
      <w:r w:rsidRPr="00BD1B04">
        <w:rPr>
          <w:noProof/>
        </w:rPr>
        <w:tab/>
        <w:t>Oxman GL, Smolkowski K, Noell J. Mathematical modeling of epidemic syphilis transmission: implications for syphilis control programs. Sexually transmitted diseases. 1996;23(1):30-9.</w:t>
      </w:r>
    </w:p>
    <w:p w14:paraId="393D5536" w14:textId="77777777" w:rsidR="00BD1B04" w:rsidRPr="00BD1B04" w:rsidRDefault="00BD1B04" w:rsidP="00BD1B04">
      <w:pPr>
        <w:pStyle w:val="EndNoteBibliography"/>
        <w:ind w:left="0" w:firstLine="0"/>
        <w:rPr>
          <w:noProof/>
        </w:rPr>
      </w:pPr>
      <w:r w:rsidRPr="00BD1B04">
        <w:rPr>
          <w:noProof/>
        </w:rPr>
        <w:t>9.</w:t>
      </w:r>
      <w:r w:rsidRPr="00BD1B04">
        <w:rPr>
          <w:noProof/>
        </w:rPr>
        <w:tab/>
        <w:t>Gunn RA, Klausner JD. Enhancing the control of syphilis among men who have sex with men by focusing on acute infectious primary syphilis and core transmission groups. Sexually Transmitted Diseases. 2019;46(10):629-36.</w:t>
      </w:r>
    </w:p>
    <w:p w14:paraId="51654522" w14:textId="21FE70E2" w:rsidR="00CB2855" w:rsidRPr="00516213" w:rsidRDefault="009E5F82" w:rsidP="00BD1B04">
      <w:pPr>
        <w:rPr>
          <w:rFonts w:cstheme="minorBidi"/>
          <w:szCs w:val="20"/>
        </w:rPr>
      </w:pPr>
      <w:r w:rsidRPr="00516213">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0D4118"/>
    <w:multiLevelType w:val="hybridMultilevel"/>
    <w:tmpl w:val="207E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0414A"/>
    <w:multiLevelType w:val="hybridMultilevel"/>
    <w:tmpl w:val="064E2D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910"/>
    <w:multiLevelType w:val="multilevel"/>
    <w:tmpl w:val="353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1561D1"/>
    <w:multiLevelType w:val="hybridMultilevel"/>
    <w:tmpl w:val="D2BC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973E2"/>
    <w:multiLevelType w:val="multilevel"/>
    <w:tmpl w:val="D0248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D17490"/>
    <w:multiLevelType w:val="hybridMultilevel"/>
    <w:tmpl w:val="FDD472F6"/>
    <w:lvl w:ilvl="0" w:tplc="04090003">
      <w:start w:val="1"/>
      <w:numFmt w:val="bullet"/>
      <w:lvlText w:val="o"/>
      <w:lvlJc w:val="left"/>
      <w:pPr>
        <w:ind w:left="360" w:hanging="360"/>
      </w:pPr>
      <w:rPr>
        <w:rFonts w:ascii="Courier New" w:hAnsi="Courier New"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AB54FF3"/>
    <w:multiLevelType w:val="hybridMultilevel"/>
    <w:tmpl w:val="59BA89FC"/>
    <w:lvl w:ilvl="0" w:tplc="AE2AFB02">
      <w:start w:val="12"/>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23726"/>
    <w:multiLevelType w:val="multilevel"/>
    <w:tmpl w:val="C9A2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41E85"/>
    <w:multiLevelType w:val="hybridMultilevel"/>
    <w:tmpl w:val="0CA2FA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57501"/>
    <w:multiLevelType w:val="multilevel"/>
    <w:tmpl w:val="01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2A0F9F"/>
    <w:multiLevelType w:val="multilevel"/>
    <w:tmpl w:val="518E13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C03F2"/>
    <w:multiLevelType w:val="multilevel"/>
    <w:tmpl w:val="0CD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24" w15:restartNumberingAfterBreak="0">
    <w:nsid w:val="70FF371B"/>
    <w:multiLevelType w:val="multilevel"/>
    <w:tmpl w:val="8F403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C5868"/>
    <w:multiLevelType w:val="hybridMultilevel"/>
    <w:tmpl w:val="947E4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13C03"/>
    <w:multiLevelType w:val="multilevel"/>
    <w:tmpl w:val="07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6A52FF"/>
    <w:multiLevelType w:val="multilevel"/>
    <w:tmpl w:val="741E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56592">
    <w:abstractNumId w:val="21"/>
  </w:num>
  <w:num w:numId="2" w16cid:durableId="2001957101">
    <w:abstractNumId w:val="4"/>
  </w:num>
  <w:num w:numId="3" w16cid:durableId="756487531">
    <w:abstractNumId w:val="4"/>
  </w:num>
  <w:num w:numId="4" w16cid:durableId="1135559157">
    <w:abstractNumId w:val="4"/>
  </w:num>
  <w:num w:numId="5" w16cid:durableId="230774828">
    <w:abstractNumId w:val="4"/>
  </w:num>
  <w:num w:numId="6" w16cid:durableId="400568982">
    <w:abstractNumId w:val="4"/>
  </w:num>
  <w:num w:numId="7" w16cid:durableId="1014537">
    <w:abstractNumId w:val="4"/>
  </w:num>
  <w:num w:numId="8" w16cid:durableId="445197601">
    <w:abstractNumId w:val="18"/>
  </w:num>
  <w:num w:numId="9" w16cid:durableId="1676420802">
    <w:abstractNumId w:val="5"/>
  </w:num>
  <w:num w:numId="10" w16cid:durableId="2102557157">
    <w:abstractNumId w:val="0"/>
  </w:num>
  <w:num w:numId="11" w16cid:durableId="147213799">
    <w:abstractNumId w:val="19"/>
  </w:num>
  <w:num w:numId="12" w16cid:durableId="1741949462">
    <w:abstractNumId w:val="8"/>
  </w:num>
  <w:num w:numId="13" w16cid:durableId="275067992">
    <w:abstractNumId w:val="13"/>
  </w:num>
  <w:num w:numId="14" w16cid:durableId="1276329262">
    <w:abstractNumId w:val="23"/>
  </w:num>
  <w:num w:numId="15" w16cid:durableId="508568778">
    <w:abstractNumId w:val="25"/>
  </w:num>
  <w:num w:numId="16" w16cid:durableId="286738382">
    <w:abstractNumId w:val="22"/>
  </w:num>
  <w:num w:numId="17" w16cid:durableId="1724711485">
    <w:abstractNumId w:val="10"/>
  </w:num>
  <w:num w:numId="18" w16cid:durableId="1130629174">
    <w:abstractNumId w:val="6"/>
  </w:num>
  <w:num w:numId="19" w16cid:durableId="1709841615">
    <w:abstractNumId w:val="12"/>
  </w:num>
  <w:num w:numId="20" w16cid:durableId="196893277">
    <w:abstractNumId w:val="11"/>
  </w:num>
  <w:num w:numId="21" w16cid:durableId="167453958">
    <w:abstractNumId w:val="1"/>
  </w:num>
  <w:num w:numId="22" w16cid:durableId="1921255642">
    <w:abstractNumId w:val="15"/>
  </w:num>
  <w:num w:numId="23" w16cid:durableId="786042562">
    <w:abstractNumId w:val="16"/>
  </w:num>
  <w:num w:numId="24" w16cid:durableId="289670874">
    <w:abstractNumId w:val="2"/>
  </w:num>
  <w:num w:numId="25" w16cid:durableId="999387499">
    <w:abstractNumId w:val="27"/>
  </w:num>
  <w:num w:numId="26" w16cid:durableId="229467261">
    <w:abstractNumId w:val="20"/>
  </w:num>
  <w:num w:numId="27" w16cid:durableId="1857040790">
    <w:abstractNumId w:val="14"/>
  </w:num>
  <w:num w:numId="28" w16cid:durableId="1632706981">
    <w:abstractNumId w:val="28"/>
  </w:num>
  <w:num w:numId="29" w16cid:durableId="269625153">
    <w:abstractNumId w:val="24"/>
  </w:num>
  <w:num w:numId="30" w16cid:durableId="943221388">
    <w:abstractNumId w:val="9"/>
  </w:num>
  <w:num w:numId="31" w16cid:durableId="475881167">
    <w:abstractNumId w:val="17"/>
  </w:num>
  <w:num w:numId="32" w16cid:durableId="284822826">
    <w:abstractNumId w:val="7"/>
  </w:num>
  <w:num w:numId="33" w16cid:durableId="1268153944">
    <w:abstractNumId w:val="3"/>
  </w:num>
  <w:num w:numId="34" w16cid:durableId="14084598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zv52r5g9zffjevde4v22w32zs5sw0ea5zd&quot;&gt;shield_endNote&lt;record-ids&gt;&lt;item&gt;3&lt;/item&gt;&lt;item&gt;5&lt;/item&gt;&lt;item&gt;6&lt;/item&gt;&lt;item&gt;7&lt;/item&gt;&lt;item&gt;8&lt;/item&gt;&lt;item&gt;12&lt;/item&gt;&lt;item&gt;14&lt;/item&gt;&lt;item&gt;17&lt;/item&gt;&lt;item&gt;18&lt;/item&gt;&lt;/record-ids&gt;&lt;/item&gt;&lt;/Libraries&gt;"/>
  </w:docVars>
  <w:rsids>
    <w:rsidRoot w:val="009E5F82"/>
    <w:rsid w:val="000067A6"/>
    <w:rsid w:val="00032DD4"/>
    <w:rsid w:val="00035AA8"/>
    <w:rsid w:val="00052732"/>
    <w:rsid w:val="00075685"/>
    <w:rsid w:val="00095FB6"/>
    <w:rsid w:val="000A1117"/>
    <w:rsid w:val="000A1771"/>
    <w:rsid w:val="000A3760"/>
    <w:rsid w:val="000A71C9"/>
    <w:rsid w:val="000E3942"/>
    <w:rsid w:val="000F78D6"/>
    <w:rsid w:val="001031DC"/>
    <w:rsid w:val="00131835"/>
    <w:rsid w:val="001655C5"/>
    <w:rsid w:val="001B592A"/>
    <w:rsid w:val="001E3F66"/>
    <w:rsid w:val="002155C4"/>
    <w:rsid w:val="00216989"/>
    <w:rsid w:val="0026236C"/>
    <w:rsid w:val="002854D3"/>
    <w:rsid w:val="00294C9A"/>
    <w:rsid w:val="002A1E57"/>
    <w:rsid w:val="002A4DC3"/>
    <w:rsid w:val="002C15FC"/>
    <w:rsid w:val="002D77B3"/>
    <w:rsid w:val="002E3795"/>
    <w:rsid w:val="002E75B3"/>
    <w:rsid w:val="00332EC6"/>
    <w:rsid w:val="00356E6F"/>
    <w:rsid w:val="00356F5C"/>
    <w:rsid w:val="00375AD9"/>
    <w:rsid w:val="003A05D4"/>
    <w:rsid w:val="003A5EE9"/>
    <w:rsid w:val="003B61C7"/>
    <w:rsid w:val="003B6A07"/>
    <w:rsid w:val="003D3AB0"/>
    <w:rsid w:val="003E0722"/>
    <w:rsid w:val="0044689F"/>
    <w:rsid w:val="004653FF"/>
    <w:rsid w:val="0047730A"/>
    <w:rsid w:val="0048796A"/>
    <w:rsid w:val="004A1D63"/>
    <w:rsid w:val="004B23CE"/>
    <w:rsid w:val="004B33B8"/>
    <w:rsid w:val="004B3B29"/>
    <w:rsid w:val="004B4B0F"/>
    <w:rsid w:val="004D7267"/>
    <w:rsid w:val="004E552D"/>
    <w:rsid w:val="00516213"/>
    <w:rsid w:val="00530E29"/>
    <w:rsid w:val="00534CE3"/>
    <w:rsid w:val="005840FB"/>
    <w:rsid w:val="005A429C"/>
    <w:rsid w:val="005A49D7"/>
    <w:rsid w:val="005D6E80"/>
    <w:rsid w:val="005E2400"/>
    <w:rsid w:val="00637651"/>
    <w:rsid w:val="00652524"/>
    <w:rsid w:val="00680F7F"/>
    <w:rsid w:val="006922EE"/>
    <w:rsid w:val="006D43BB"/>
    <w:rsid w:val="006D56A3"/>
    <w:rsid w:val="006E431F"/>
    <w:rsid w:val="006F0066"/>
    <w:rsid w:val="00712BB7"/>
    <w:rsid w:val="007250BC"/>
    <w:rsid w:val="00736061"/>
    <w:rsid w:val="00751A02"/>
    <w:rsid w:val="007700EB"/>
    <w:rsid w:val="00785448"/>
    <w:rsid w:val="00790981"/>
    <w:rsid w:val="007B2E1D"/>
    <w:rsid w:val="007E7BFD"/>
    <w:rsid w:val="00801282"/>
    <w:rsid w:val="00820355"/>
    <w:rsid w:val="00881040"/>
    <w:rsid w:val="0088299F"/>
    <w:rsid w:val="00890D34"/>
    <w:rsid w:val="008D4547"/>
    <w:rsid w:val="008D67FA"/>
    <w:rsid w:val="008E5126"/>
    <w:rsid w:val="00902BCB"/>
    <w:rsid w:val="00916431"/>
    <w:rsid w:val="00943E72"/>
    <w:rsid w:val="00963116"/>
    <w:rsid w:val="009E00E7"/>
    <w:rsid w:val="009E1A87"/>
    <w:rsid w:val="009E401A"/>
    <w:rsid w:val="009E5F82"/>
    <w:rsid w:val="009E74E3"/>
    <w:rsid w:val="00A143E6"/>
    <w:rsid w:val="00A41859"/>
    <w:rsid w:val="00A53A89"/>
    <w:rsid w:val="00A6375A"/>
    <w:rsid w:val="00A744BE"/>
    <w:rsid w:val="00A84157"/>
    <w:rsid w:val="00A92CF2"/>
    <w:rsid w:val="00AA09DA"/>
    <w:rsid w:val="00AD7AAA"/>
    <w:rsid w:val="00AD7CBE"/>
    <w:rsid w:val="00AE2923"/>
    <w:rsid w:val="00AF325C"/>
    <w:rsid w:val="00B568B2"/>
    <w:rsid w:val="00BA071C"/>
    <w:rsid w:val="00BC7533"/>
    <w:rsid w:val="00BD1B04"/>
    <w:rsid w:val="00BD3169"/>
    <w:rsid w:val="00C41DC2"/>
    <w:rsid w:val="00C442E7"/>
    <w:rsid w:val="00C52665"/>
    <w:rsid w:val="00C5584D"/>
    <w:rsid w:val="00C578EF"/>
    <w:rsid w:val="00C80FDF"/>
    <w:rsid w:val="00C91146"/>
    <w:rsid w:val="00C94B78"/>
    <w:rsid w:val="00CA419E"/>
    <w:rsid w:val="00CA683A"/>
    <w:rsid w:val="00CB2855"/>
    <w:rsid w:val="00CD00F7"/>
    <w:rsid w:val="00CE0BC9"/>
    <w:rsid w:val="00CE164B"/>
    <w:rsid w:val="00CE7C83"/>
    <w:rsid w:val="00D07F8B"/>
    <w:rsid w:val="00D233AA"/>
    <w:rsid w:val="00D23B42"/>
    <w:rsid w:val="00D32034"/>
    <w:rsid w:val="00D974CB"/>
    <w:rsid w:val="00DA3A8F"/>
    <w:rsid w:val="00E058EB"/>
    <w:rsid w:val="00E17F9C"/>
    <w:rsid w:val="00E362EE"/>
    <w:rsid w:val="00E651D7"/>
    <w:rsid w:val="00E67334"/>
    <w:rsid w:val="00EA390A"/>
    <w:rsid w:val="00EB761F"/>
    <w:rsid w:val="00EE09B0"/>
    <w:rsid w:val="00F15686"/>
    <w:rsid w:val="00F869C0"/>
    <w:rsid w:val="00F87862"/>
    <w:rsid w:val="00F96C16"/>
    <w:rsid w:val="00FC0F42"/>
    <w:rsid w:val="00FD7CD5"/>
    <w:rsid w:val="00FE7D42"/>
    <w:rsid w:val="00FF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13"/>
    <w:pPr>
      <w:spacing w:before="120" w:after="120"/>
    </w:pPr>
    <w:rPr>
      <w:rFonts w:asciiTheme="minorBidi" w:hAnsiTheme="minorBid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7"/>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C52665"/>
    <w:pPr>
      <w:keepNext/>
      <w:keepLines/>
      <w:numPr>
        <w:ilvl w:val="1"/>
        <w:numId w:val="8"/>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Theme="minorBidi" w:eastAsiaTheme="majorEastAsia" w:hAnsiTheme="minorBid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C52665"/>
    <w:rPr>
      <w:rFonts w:asciiTheme="minorBidi" w:eastAsiaTheme="majorEastAsia" w:hAnsiTheme="minorBidi" w:cstheme="majorBidi"/>
      <w:b/>
      <w:color w:val="000000" w:themeColor="text1"/>
      <w:kern w:val="0"/>
      <w:sz w:val="2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3E0722"/>
    <w:rPr>
      <w:rFonts w:asciiTheme="minorBidi" w:hAnsiTheme="minorBidi" w:cs="Times New Roman"/>
      <w:color w:val="0070C0"/>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144</TotalTime>
  <Pages>6</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47</cp:revision>
  <dcterms:created xsi:type="dcterms:W3CDTF">2024-11-14T20:10:00Z</dcterms:created>
  <dcterms:modified xsi:type="dcterms:W3CDTF">2024-12-12T18:53:00Z</dcterms:modified>
</cp:coreProperties>
</file>