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A078F" w14:textId="77777777" w:rsidR="008769C5" w:rsidRPr="00014B65" w:rsidRDefault="008769C5" w:rsidP="008769C5">
      <w:pPr>
        <w:jc w:val="both"/>
        <w:rPr>
          <w:rFonts w:ascii="Calibri" w:hAnsi="Calibri" w:cs="Calibri"/>
          <w:sz w:val="20"/>
          <w:szCs w:val="20"/>
        </w:rPr>
      </w:pPr>
    </w:p>
    <w:p w14:paraId="4D70AB73" w14:textId="6B5A7BA2" w:rsidR="008769C5" w:rsidRPr="00014B65" w:rsidRDefault="008769C5" w:rsidP="008769C5">
      <w:pPr>
        <w:jc w:val="both"/>
        <w:rPr>
          <w:rFonts w:ascii="Calibri" w:hAnsi="Calibri" w:cs="Calibri"/>
          <w:sz w:val="20"/>
          <w:szCs w:val="20"/>
        </w:rPr>
      </w:pPr>
      <w:r w:rsidRPr="00014B65">
        <w:rPr>
          <w:rFonts w:ascii="Calibri" w:hAnsi="Calibri" w:cs="Calibri"/>
          <w:b/>
          <w:bCs/>
          <w:sz w:val="20"/>
          <w:szCs w:val="20"/>
        </w:rPr>
        <w:t>Parameter:</w:t>
      </w:r>
      <w:r w:rsidRPr="00014B65">
        <w:rPr>
          <w:rFonts w:ascii="Calibri" w:hAnsi="Calibri" w:cs="Calibri"/>
          <w:sz w:val="20"/>
          <w:szCs w:val="20"/>
        </w:rPr>
        <w:t xml:space="preserve"> </w:t>
      </w:r>
      <w:r w:rsidR="00540970" w:rsidRPr="00540970">
        <w:rPr>
          <w:rFonts w:ascii="Calibri" w:hAnsi="Calibri" w:cs="Calibri"/>
          <w:sz w:val="20"/>
          <w:szCs w:val="20"/>
        </w:rPr>
        <w:t>Proportion immediate</w:t>
      </w:r>
      <w:r w:rsidR="004E4DA5">
        <w:rPr>
          <w:rFonts w:ascii="Calibri" w:hAnsi="Calibri" w:cs="Calibri"/>
          <w:sz w:val="20"/>
          <w:szCs w:val="20"/>
        </w:rPr>
        <w:t xml:space="preserve">ly </w:t>
      </w:r>
      <w:r w:rsidR="00540970" w:rsidRPr="00540970">
        <w:rPr>
          <w:rFonts w:ascii="Calibri" w:hAnsi="Calibri" w:cs="Calibri"/>
          <w:sz w:val="20"/>
          <w:szCs w:val="20"/>
        </w:rPr>
        <w:t>treat</w:t>
      </w:r>
      <w:r w:rsidR="004E4DA5">
        <w:rPr>
          <w:rFonts w:ascii="Calibri" w:hAnsi="Calibri" w:cs="Calibri"/>
          <w:sz w:val="20"/>
          <w:szCs w:val="20"/>
        </w:rPr>
        <w:t xml:space="preserve">ed </w:t>
      </w:r>
      <w:r w:rsidR="00540970" w:rsidRPr="00540970">
        <w:rPr>
          <w:rFonts w:ascii="Calibri" w:hAnsi="Calibri" w:cs="Calibri"/>
          <w:sz w:val="20"/>
          <w:szCs w:val="20"/>
        </w:rPr>
        <w:t>following diagnosis</w:t>
      </w:r>
    </w:p>
    <w:p w14:paraId="5F9B4E2D" w14:textId="24F0A985" w:rsidR="00BF0357" w:rsidRPr="00DA575A" w:rsidRDefault="00DA575A" w:rsidP="00BF0357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A575A">
        <w:rPr>
          <w:rFonts w:ascii="Calibri" w:hAnsi="Calibri" w:cs="Calibri"/>
          <w:b/>
          <w:bCs/>
          <w:sz w:val="20"/>
          <w:szCs w:val="20"/>
        </w:rPr>
        <w:t xml:space="preserve">Value: </w:t>
      </w:r>
    </w:p>
    <w:p w14:paraId="483CF0F7" w14:textId="5E531C7C" w:rsidR="00DA575A" w:rsidRDefault="008F5AFE" w:rsidP="00DA575A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If</w:t>
      </w:r>
      <w:r w:rsidR="00DA575A">
        <w:rPr>
          <w:rFonts w:ascii="Calibri" w:hAnsi="Calibri" w:cs="Calibri"/>
          <w:sz w:val="20"/>
          <w:szCs w:val="20"/>
        </w:rPr>
        <w:t xml:space="preserve"> disaggregat</w:t>
      </w:r>
      <w:r>
        <w:rPr>
          <w:rFonts w:ascii="Calibri" w:hAnsi="Calibri" w:cs="Calibri"/>
          <w:sz w:val="20"/>
          <w:szCs w:val="20"/>
        </w:rPr>
        <w:t xml:space="preserve">ing </w:t>
      </w:r>
      <w:r w:rsidR="00DA575A">
        <w:rPr>
          <w:rFonts w:ascii="Calibri" w:hAnsi="Calibri" w:cs="Calibri"/>
          <w:sz w:val="20"/>
          <w:szCs w:val="20"/>
        </w:rPr>
        <w:t xml:space="preserve">by stage, use estimates from Chen et al (Ref 2 below) </w:t>
      </w:r>
    </w:p>
    <w:p w14:paraId="4033FB6D" w14:textId="68AB0F8C" w:rsidR="00D36DDD" w:rsidRDefault="00D36DDD" w:rsidP="00DA575A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If combining all stages (probably not the best idea as the values vary by stage</w:t>
      </w:r>
      <w:r w:rsidR="008520A1">
        <w:rPr>
          <w:rFonts w:ascii="Calibri" w:hAnsi="Calibri" w:cs="Calibri"/>
          <w:sz w:val="20"/>
          <w:szCs w:val="20"/>
        </w:rPr>
        <w:t xml:space="preserve"> in Chen et al</w:t>
      </w:r>
      <w:r>
        <w:rPr>
          <w:rFonts w:ascii="Calibri" w:hAnsi="Calibri" w:cs="Calibri"/>
          <w:sz w:val="20"/>
          <w:szCs w:val="20"/>
        </w:rPr>
        <w:t xml:space="preserve">): </w:t>
      </w:r>
    </w:p>
    <w:p w14:paraId="132105DC" w14:textId="7E8B471C" w:rsidR="00DA575A" w:rsidRDefault="00DA575A" w:rsidP="00D36DDD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Proportion treated within 7 days = 67% (Robinson et al; Ref 1 below) </w:t>
      </w:r>
    </w:p>
    <w:p w14:paraId="40B907A6" w14:textId="69766AF1" w:rsidR="00BF0357" w:rsidRDefault="00DA575A" w:rsidP="00BF0357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Proportion treated within 14 days = 80% (Robinson et al; and </w:t>
      </w:r>
      <w:proofErr w:type="spellStart"/>
      <w:r w:rsidRPr="005D76ED">
        <w:rPr>
          <w:rFonts w:ascii="Calibri" w:hAnsi="Calibri" w:cs="Calibri"/>
          <w:sz w:val="20"/>
          <w:szCs w:val="20"/>
        </w:rPr>
        <w:t>Liroff</w:t>
      </w:r>
      <w:proofErr w:type="spellEnd"/>
      <w:r>
        <w:rPr>
          <w:rFonts w:ascii="Calibri" w:hAnsi="Calibri" w:cs="Calibri"/>
          <w:sz w:val="20"/>
          <w:szCs w:val="20"/>
        </w:rPr>
        <w:t xml:space="preserve"> et al [Ref 3 below] have similar estimates) </w:t>
      </w:r>
    </w:p>
    <w:p w14:paraId="12B64CE3" w14:textId="77777777" w:rsidR="00117B34" w:rsidRDefault="00117B34" w:rsidP="00117B34">
      <w:pPr>
        <w:jc w:val="both"/>
        <w:rPr>
          <w:rFonts w:ascii="Calibri" w:hAnsi="Calibri" w:cs="Calibri"/>
          <w:sz w:val="20"/>
          <w:szCs w:val="20"/>
        </w:rPr>
      </w:pPr>
    </w:p>
    <w:p w14:paraId="2EA01A6B" w14:textId="77777777" w:rsidR="00430716" w:rsidRDefault="00430716" w:rsidP="00117B34">
      <w:pPr>
        <w:jc w:val="both"/>
        <w:rPr>
          <w:rFonts w:ascii="Calibri" w:hAnsi="Calibri" w:cs="Calibri"/>
          <w:sz w:val="20"/>
          <w:szCs w:val="20"/>
        </w:rPr>
      </w:pPr>
    </w:p>
    <w:p w14:paraId="734C5975" w14:textId="77777777" w:rsidR="00430716" w:rsidRPr="00117B34" w:rsidRDefault="00430716" w:rsidP="00117B34">
      <w:pPr>
        <w:jc w:val="both"/>
        <w:rPr>
          <w:rFonts w:ascii="Calibri" w:hAnsi="Calibri" w:cs="Calibri"/>
          <w:sz w:val="20"/>
          <w:szCs w:val="20"/>
        </w:rPr>
      </w:pPr>
    </w:p>
    <w:p w14:paraId="6412F5E7" w14:textId="6FB4575E" w:rsidR="00BF0357" w:rsidRDefault="00BF0357" w:rsidP="00BF0357">
      <w:pPr>
        <w:jc w:val="both"/>
        <w:rPr>
          <w:rFonts w:ascii="Calibri" w:hAnsi="Calibri" w:cs="Calibri"/>
          <w:sz w:val="20"/>
          <w:szCs w:val="20"/>
        </w:rPr>
      </w:pPr>
      <w:r w:rsidRPr="00014B65">
        <w:rPr>
          <w:rFonts w:ascii="Calibri" w:hAnsi="Calibri" w:cs="Calibri"/>
          <w:b/>
          <w:bCs/>
          <w:sz w:val="20"/>
          <w:szCs w:val="20"/>
        </w:rPr>
        <w:t>Reference</w:t>
      </w:r>
      <w:r>
        <w:rPr>
          <w:rFonts w:ascii="Calibri" w:hAnsi="Calibri" w:cs="Calibri"/>
          <w:b/>
          <w:bCs/>
          <w:sz w:val="20"/>
          <w:szCs w:val="20"/>
        </w:rPr>
        <w:t xml:space="preserve"> (</w:t>
      </w:r>
      <w:r>
        <w:rPr>
          <w:rFonts w:ascii="Calibri" w:hAnsi="Calibri" w:cs="Calibri"/>
          <w:b/>
          <w:bCs/>
          <w:sz w:val="20"/>
          <w:szCs w:val="20"/>
        </w:rPr>
        <w:t>1</w:t>
      </w:r>
      <w:r>
        <w:rPr>
          <w:rFonts w:ascii="Calibri" w:hAnsi="Calibri" w:cs="Calibri"/>
          <w:b/>
          <w:bCs/>
          <w:sz w:val="20"/>
          <w:szCs w:val="20"/>
        </w:rPr>
        <w:t>)</w:t>
      </w:r>
      <w:r w:rsidRPr="00014B65">
        <w:rPr>
          <w:rFonts w:ascii="Calibri" w:hAnsi="Calibri" w:cs="Calibri"/>
          <w:b/>
          <w:bCs/>
          <w:sz w:val="20"/>
          <w:szCs w:val="20"/>
        </w:rPr>
        <w:t xml:space="preserve">: </w:t>
      </w:r>
      <w:r w:rsidR="00FB2ECB" w:rsidRPr="00FB2ECB">
        <w:rPr>
          <w:rFonts w:ascii="Calibri" w:hAnsi="Calibri" w:cs="Calibri"/>
          <w:sz w:val="20"/>
          <w:szCs w:val="20"/>
        </w:rPr>
        <w:t xml:space="preserve">Robinson CL, Young L, </w:t>
      </w:r>
      <w:proofErr w:type="spellStart"/>
      <w:r w:rsidR="00FB2ECB" w:rsidRPr="00FB2ECB">
        <w:rPr>
          <w:rFonts w:ascii="Calibri" w:hAnsi="Calibri" w:cs="Calibri"/>
          <w:sz w:val="20"/>
          <w:szCs w:val="20"/>
        </w:rPr>
        <w:t>Bisgard</w:t>
      </w:r>
      <w:proofErr w:type="spellEnd"/>
      <w:r w:rsidR="00FB2ECB" w:rsidRPr="00FB2ECB">
        <w:rPr>
          <w:rFonts w:ascii="Calibri" w:hAnsi="Calibri" w:cs="Calibri"/>
          <w:sz w:val="20"/>
          <w:szCs w:val="20"/>
        </w:rPr>
        <w:t xml:space="preserve"> K, Mickey T, Taylor MM. Syphilis time to treatment at publicly funded sexually transmitted disease clinics versus non–sexually transmitted disease clinics—Maricopa and Pima Counties, Arizona, 2009–2012. Sexually transmitted diseases. 2016 Jan 1;43(1):30-3.</w:t>
      </w:r>
    </w:p>
    <w:p w14:paraId="46708BCA" w14:textId="6B63F306" w:rsidR="00BF0357" w:rsidRPr="00014B65" w:rsidRDefault="00BF0357" w:rsidP="00BF0357">
      <w:pPr>
        <w:jc w:val="both"/>
        <w:rPr>
          <w:rFonts w:ascii="Calibri" w:hAnsi="Calibri" w:cs="Calibri"/>
          <w:sz w:val="20"/>
          <w:szCs w:val="20"/>
        </w:rPr>
      </w:pPr>
      <w:hyperlink r:id="rId5" w:history="1">
        <w:r w:rsidRPr="00397931">
          <w:rPr>
            <w:rStyle w:val="Hyperlink"/>
            <w:rFonts w:ascii="Calibri" w:hAnsi="Calibri" w:cs="Calibri"/>
            <w:sz w:val="20"/>
            <w:szCs w:val="20"/>
          </w:rPr>
          <w:t>https://journals.lww.com/stdjournal/fulltext/2016/01000/syphilis_time_to_treatment_at_publicly_funded.7.aspx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66AF9B4C" w14:textId="77777777" w:rsidR="00BF0357" w:rsidRPr="00014B65" w:rsidRDefault="00BF0357" w:rsidP="00BF0357">
      <w:pPr>
        <w:jc w:val="both"/>
        <w:rPr>
          <w:rFonts w:ascii="Calibri" w:hAnsi="Calibri" w:cs="Calibri"/>
          <w:sz w:val="20"/>
          <w:szCs w:val="20"/>
        </w:rPr>
      </w:pPr>
    </w:p>
    <w:p w14:paraId="79E5A76B" w14:textId="77777777" w:rsidR="00BF0357" w:rsidRPr="00D919C8" w:rsidRDefault="00BF0357" w:rsidP="00BF0357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919C8">
        <w:rPr>
          <w:rFonts w:ascii="Calibri" w:hAnsi="Calibri" w:cs="Calibri"/>
          <w:b/>
          <w:bCs/>
          <w:sz w:val="20"/>
          <w:szCs w:val="20"/>
        </w:rPr>
        <w:t xml:space="preserve">Summary: </w:t>
      </w:r>
    </w:p>
    <w:p w14:paraId="045FCD12" w14:textId="11F1E9D9" w:rsidR="00BF0357" w:rsidRDefault="00BF0357" w:rsidP="008769C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Reports time to treatment among syphilis cases reported in Maricopa </w:t>
      </w:r>
      <w:r w:rsidR="00FB2ECB">
        <w:rPr>
          <w:rFonts w:ascii="Calibri" w:hAnsi="Calibri" w:cs="Calibri"/>
          <w:sz w:val="20"/>
          <w:szCs w:val="20"/>
        </w:rPr>
        <w:t xml:space="preserve">and Pima </w:t>
      </w:r>
      <w:r>
        <w:rPr>
          <w:rFonts w:ascii="Calibri" w:hAnsi="Calibri" w:cs="Calibri"/>
          <w:sz w:val="20"/>
          <w:szCs w:val="20"/>
        </w:rPr>
        <w:t>count</w:t>
      </w:r>
      <w:r w:rsidR="00FB2ECB">
        <w:rPr>
          <w:rFonts w:ascii="Calibri" w:hAnsi="Calibri" w:cs="Calibri"/>
          <w:sz w:val="20"/>
          <w:szCs w:val="20"/>
        </w:rPr>
        <w:t>ies</w:t>
      </w:r>
      <w:r>
        <w:rPr>
          <w:rFonts w:ascii="Calibri" w:hAnsi="Calibri" w:cs="Calibri"/>
          <w:sz w:val="20"/>
          <w:szCs w:val="20"/>
        </w:rPr>
        <w:t xml:space="preserve"> from 200</w:t>
      </w:r>
      <w:r w:rsidR="00FB2ECB">
        <w:rPr>
          <w:rFonts w:ascii="Calibri" w:hAnsi="Calibri" w:cs="Calibri"/>
          <w:sz w:val="20"/>
          <w:szCs w:val="20"/>
        </w:rPr>
        <w:t>9</w:t>
      </w:r>
      <w:r>
        <w:rPr>
          <w:rFonts w:ascii="Calibri" w:hAnsi="Calibri" w:cs="Calibri"/>
          <w:sz w:val="20"/>
          <w:szCs w:val="20"/>
        </w:rPr>
        <w:t>-</w:t>
      </w:r>
      <w:r w:rsidR="00FB2ECB">
        <w:rPr>
          <w:rFonts w:ascii="Calibri" w:hAnsi="Calibri" w:cs="Calibri"/>
          <w:sz w:val="20"/>
          <w:szCs w:val="20"/>
        </w:rPr>
        <w:t>12</w:t>
      </w:r>
    </w:p>
    <w:p w14:paraId="3888A8D6" w14:textId="5D5052A8" w:rsidR="00FB2ECB" w:rsidRDefault="00FB2ECB" w:rsidP="008769C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“</w:t>
      </w:r>
      <w:r w:rsidRPr="00FB2ECB">
        <w:rPr>
          <w:rFonts w:ascii="Calibri" w:hAnsi="Calibri" w:cs="Calibri"/>
          <w:sz w:val="20"/>
          <w:szCs w:val="20"/>
        </w:rPr>
        <w:t>Among all patients, 592 (67%) were treated 7 days or less after evaluation; 711 (80%) were treated 14 days or less after evaluation; 764 (86%) were treated 21 days or less after evaluation; 786 (89%) were treated 30 days or less after evaluation; 809 (92%) patients were treated 90 days or less after evaluation; 3 (&lt;1%) were treated more than 90 days after evaluation; and 72 (8%) had no reported treatment.</w:t>
      </w:r>
      <w:r>
        <w:rPr>
          <w:rFonts w:ascii="Calibri" w:hAnsi="Calibri" w:cs="Calibri"/>
          <w:sz w:val="20"/>
          <w:szCs w:val="20"/>
        </w:rPr>
        <w:t xml:space="preserve">” </w:t>
      </w:r>
    </w:p>
    <w:p w14:paraId="5EE9E41F" w14:textId="77777777" w:rsidR="00063DC3" w:rsidRDefault="00FB2ECB" w:rsidP="00FB2ECB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7E46C4">
        <w:rPr>
          <w:rFonts w:ascii="Calibri" w:hAnsi="Calibri" w:cs="Calibri"/>
          <w:b/>
          <w:bCs/>
          <w:sz w:val="20"/>
          <w:szCs w:val="20"/>
        </w:rPr>
        <w:sym w:font="Wingdings" w:char="F0E0"/>
      </w:r>
      <w:r w:rsidRPr="007E46C4">
        <w:rPr>
          <w:rFonts w:ascii="Calibri" w:hAnsi="Calibri" w:cs="Calibri"/>
          <w:b/>
          <w:bCs/>
          <w:sz w:val="20"/>
          <w:szCs w:val="20"/>
        </w:rPr>
        <w:t xml:space="preserve"> Proportion immediately treated = </w:t>
      </w:r>
    </w:p>
    <w:p w14:paraId="5F879E20" w14:textId="76F638B1" w:rsidR="00FB2ECB" w:rsidRDefault="00FB2ECB" w:rsidP="00063DC3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7E46C4">
        <w:rPr>
          <w:rFonts w:ascii="Calibri" w:hAnsi="Calibri" w:cs="Calibri"/>
          <w:b/>
          <w:bCs/>
          <w:sz w:val="20"/>
          <w:szCs w:val="20"/>
        </w:rPr>
        <w:t xml:space="preserve">67% (if assuming 0-7 days) </w:t>
      </w:r>
    </w:p>
    <w:p w14:paraId="7A58643D" w14:textId="04CCA1D1" w:rsidR="00063DC3" w:rsidRPr="007E46C4" w:rsidRDefault="00063DC3" w:rsidP="00063DC3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80% (if assuming 0-14 days) </w:t>
      </w:r>
    </w:p>
    <w:p w14:paraId="57151A35" w14:textId="77777777" w:rsidR="00BF0357" w:rsidRDefault="00BF0357" w:rsidP="008769C5">
      <w:pPr>
        <w:jc w:val="both"/>
        <w:rPr>
          <w:rFonts w:ascii="Calibri" w:hAnsi="Calibri" w:cs="Calibri"/>
          <w:sz w:val="20"/>
          <w:szCs w:val="20"/>
        </w:rPr>
      </w:pPr>
    </w:p>
    <w:p w14:paraId="4966B6E1" w14:textId="77777777" w:rsidR="00430716" w:rsidRDefault="00430716" w:rsidP="008769C5">
      <w:pPr>
        <w:jc w:val="both"/>
        <w:rPr>
          <w:rFonts w:ascii="Calibri" w:hAnsi="Calibri" w:cs="Calibri"/>
          <w:sz w:val="20"/>
          <w:szCs w:val="20"/>
        </w:rPr>
      </w:pPr>
    </w:p>
    <w:p w14:paraId="258527B5" w14:textId="77777777" w:rsidR="00430716" w:rsidRDefault="00430716" w:rsidP="008769C5">
      <w:pPr>
        <w:jc w:val="both"/>
        <w:rPr>
          <w:rFonts w:ascii="Calibri" w:hAnsi="Calibri" w:cs="Calibri"/>
          <w:sz w:val="20"/>
          <w:szCs w:val="20"/>
        </w:rPr>
      </w:pPr>
    </w:p>
    <w:p w14:paraId="3EA04A52" w14:textId="77777777" w:rsidR="00430716" w:rsidRPr="00014B65" w:rsidRDefault="00430716" w:rsidP="008769C5">
      <w:pPr>
        <w:jc w:val="both"/>
        <w:rPr>
          <w:rFonts w:ascii="Calibri" w:hAnsi="Calibri" w:cs="Calibri"/>
          <w:sz w:val="20"/>
          <w:szCs w:val="20"/>
        </w:rPr>
      </w:pPr>
    </w:p>
    <w:p w14:paraId="7F5806E0" w14:textId="236EB864" w:rsidR="008769C5" w:rsidRDefault="008769C5" w:rsidP="008769C5">
      <w:pPr>
        <w:jc w:val="both"/>
        <w:rPr>
          <w:rFonts w:ascii="Calibri" w:hAnsi="Calibri" w:cs="Calibri"/>
          <w:sz w:val="20"/>
          <w:szCs w:val="20"/>
        </w:rPr>
      </w:pPr>
      <w:r w:rsidRPr="00014B65">
        <w:rPr>
          <w:rFonts w:ascii="Calibri" w:hAnsi="Calibri" w:cs="Calibri"/>
          <w:b/>
          <w:bCs/>
          <w:sz w:val="20"/>
          <w:szCs w:val="20"/>
        </w:rPr>
        <w:t>Reference</w:t>
      </w:r>
      <w:r>
        <w:rPr>
          <w:rFonts w:ascii="Calibri" w:hAnsi="Calibri" w:cs="Calibri"/>
          <w:b/>
          <w:bCs/>
          <w:sz w:val="20"/>
          <w:szCs w:val="20"/>
        </w:rPr>
        <w:t xml:space="preserve"> (</w:t>
      </w:r>
      <w:r w:rsidR="00BF0357">
        <w:rPr>
          <w:rFonts w:ascii="Calibri" w:hAnsi="Calibri" w:cs="Calibri"/>
          <w:b/>
          <w:bCs/>
          <w:sz w:val="20"/>
          <w:szCs w:val="20"/>
        </w:rPr>
        <w:t>2</w:t>
      </w:r>
      <w:r>
        <w:rPr>
          <w:rFonts w:ascii="Calibri" w:hAnsi="Calibri" w:cs="Calibri"/>
          <w:b/>
          <w:bCs/>
          <w:sz w:val="20"/>
          <w:szCs w:val="20"/>
        </w:rPr>
        <w:t>)</w:t>
      </w:r>
      <w:r w:rsidRPr="00014B65">
        <w:rPr>
          <w:rFonts w:ascii="Calibri" w:hAnsi="Calibri" w:cs="Calibri"/>
          <w:b/>
          <w:bCs/>
          <w:sz w:val="20"/>
          <w:szCs w:val="20"/>
        </w:rPr>
        <w:t xml:space="preserve">: </w:t>
      </w:r>
      <w:r w:rsidR="00540970" w:rsidRPr="00540970">
        <w:rPr>
          <w:rFonts w:ascii="Calibri" w:hAnsi="Calibri" w:cs="Calibri"/>
          <w:sz w:val="20"/>
          <w:szCs w:val="20"/>
        </w:rPr>
        <w:t xml:space="preserve">Chen SY, Johnson M, </w:t>
      </w:r>
      <w:proofErr w:type="spellStart"/>
      <w:r w:rsidR="00540970" w:rsidRPr="00540970">
        <w:rPr>
          <w:rFonts w:ascii="Calibri" w:hAnsi="Calibri" w:cs="Calibri"/>
          <w:sz w:val="20"/>
          <w:szCs w:val="20"/>
        </w:rPr>
        <w:t>Sunenshine</w:t>
      </w:r>
      <w:proofErr w:type="spellEnd"/>
      <w:r w:rsidR="00540970" w:rsidRPr="00540970">
        <w:rPr>
          <w:rFonts w:ascii="Calibri" w:hAnsi="Calibri" w:cs="Calibri"/>
          <w:sz w:val="20"/>
          <w:szCs w:val="20"/>
        </w:rPr>
        <w:t xml:space="preserve"> R, England B, Komatsu K, Taylor M. Missed and delayed syphilis treatment and partner elicitation: a comparison between STD clinic and non-STD clinic patients. Sexually transmitted diseases. 2009 Jul 1;36(7):445-51.</w:t>
      </w:r>
    </w:p>
    <w:p w14:paraId="76D8366E" w14:textId="081B0826" w:rsidR="00540970" w:rsidRPr="00014B65" w:rsidRDefault="00540970" w:rsidP="008769C5">
      <w:pPr>
        <w:jc w:val="both"/>
        <w:rPr>
          <w:rFonts w:ascii="Calibri" w:hAnsi="Calibri" w:cs="Calibri"/>
          <w:sz w:val="20"/>
          <w:szCs w:val="20"/>
        </w:rPr>
      </w:pPr>
      <w:hyperlink r:id="rId6" w:history="1">
        <w:r w:rsidRPr="00397931">
          <w:rPr>
            <w:rStyle w:val="Hyperlink"/>
            <w:rFonts w:ascii="Calibri" w:hAnsi="Calibri" w:cs="Calibri"/>
            <w:sz w:val="20"/>
            <w:szCs w:val="20"/>
          </w:rPr>
          <w:t>https://pmc.ncbi.nlm.nih.gov/articles/PMC6785738/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14:paraId="54A5FEF7" w14:textId="77777777" w:rsidR="008769C5" w:rsidRPr="00014B65" w:rsidRDefault="008769C5" w:rsidP="008769C5">
      <w:pPr>
        <w:jc w:val="both"/>
        <w:rPr>
          <w:rFonts w:ascii="Calibri" w:hAnsi="Calibri" w:cs="Calibri"/>
          <w:sz w:val="20"/>
          <w:szCs w:val="20"/>
        </w:rPr>
      </w:pPr>
    </w:p>
    <w:p w14:paraId="7F331C13" w14:textId="77777777" w:rsidR="008769C5" w:rsidRPr="00D919C8" w:rsidRDefault="008769C5" w:rsidP="008769C5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919C8">
        <w:rPr>
          <w:rFonts w:ascii="Calibri" w:hAnsi="Calibri" w:cs="Calibri"/>
          <w:b/>
          <w:bCs/>
          <w:sz w:val="20"/>
          <w:szCs w:val="20"/>
        </w:rPr>
        <w:t xml:space="preserve">Summary: </w:t>
      </w:r>
    </w:p>
    <w:p w14:paraId="59CBBC6F" w14:textId="549E9C1D" w:rsidR="00540970" w:rsidRDefault="00540970" w:rsidP="008769C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Reports time to treatment among syphilis cases reported in Maricopa county from 2006-7; disaggregated by stage and STD clinic vs non-STD clinic </w:t>
      </w:r>
    </w:p>
    <w:p w14:paraId="7FECE8B1" w14:textId="3EA7C6B6" w:rsidR="009D7293" w:rsidRDefault="009D7293" w:rsidP="008769C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(Same data as reference 1; older; but disaggregated by stage/clinic site)</w:t>
      </w:r>
    </w:p>
    <w:p w14:paraId="3F016C28" w14:textId="130074AA" w:rsidR="00540970" w:rsidRDefault="00540970" w:rsidP="008769C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See all data reported in Table 2 </w:t>
      </w:r>
      <w:r w:rsidR="002771B5">
        <w:rPr>
          <w:rFonts w:ascii="Calibri" w:hAnsi="Calibri" w:cs="Calibri"/>
          <w:sz w:val="20"/>
          <w:szCs w:val="20"/>
        </w:rPr>
        <w:t xml:space="preserve">(screenshot below) </w:t>
      </w:r>
    </w:p>
    <w:p w14:paraId="6BB4ED97" w14:textId="77777777" w:rsidR="00540970" w:rsidRPr="00540970" w:rsidRDefault="00540970" w:rsidP="00540970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>Primary</w:t>
      </w:r>
    </w:p>
    <w:p w14:paraId="170BB7F6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STD clinic: 92% had 0 days between screening and treatment; 4% had 1-7 days </w:t>
      </w:r>
    </w:p>
    <w:p w14:paraId="379D26D1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Non-STD clinic: 19% had 0 days; 32% had 1-7 days </w:t>
      </w:r>
    </w:p>
    <w:p w14:paraId="22E70096" w14:textId="77777777" w:rsidR="00540970" w:rsidRPr="00540970" w:rsidRDefault="00540970" w:rsidP="00540970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>Secondary</w:t>
      </w:r>
    </w:p>
    <w:p w14:paraId="130E3A1C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STD: 76% 0 days; 15% 1-7 days </w:t>
      </w:r>
    </w:p>
    <w:p w14:paraId="23D7FFD1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Non-STD: 9% 0 days; 47% 1-7 days </w:t>
      </w:r>
    </w:p>
    <w:p w14:paraId="307DBEE2" w14:textId="77777777" w:rsidR="00540970" w:rsidRPr="00540970" w:rsidRDefault="00540970" w:rsidP="00540970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>EL</w:t>
      </w:r>
    </w:p>
    <w:p w14:paraId="6310A24A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STD: 67% 0 days; 23% 1-7 days </w:t>
      </w:r>
    </w:p>
    <w:p w14:paraId="102EE7F2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Non-STD: 7% 0 days; 29% 1-7 days </w:t>
      </w:r>
    </w:p>
    <w:p w14:paraId="7284FA70" w14:textId="77777777" w:rsidR="00540970" w:rsidRPr="00540970" w:rsidRDefault="00540970" w:rsidP="00540970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LL </w:t>
      </w:r>
    </w:p>
    <w:p w14:paraId="72889E7C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STD: 30% 0 days; 22% 1-7 days </w:t>
      </w:r>
    </w:p>
    <w:p w14:paraId="7E34E85D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Non-STD: 6% 0 days; 24% 107 days </w:t>
      </w:r>
    </w:p>
    <w:p w14:paraId="4EC33896" w14:textId="77777777" w:rsidR="00540970" w:rsidRPr="00540970" w:rsidRDefault="00540970" w:rsidP="00540970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Unknown Latent </w:t>
      </w:r>
    </w:p>
    <w:p w14:paraId="325EB5A0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lastRenderedPageBreak/>
        <w:t xml:space="preserve">STD: 22% 0 days 39%; 1-7 days </w:t>
      </w:r>
    </w:p>
    <w:p w14:paraId="766A7A83" w14:textId="77777777" w:rsidR="00540970" w:rsidRPr="00540970" w:rsidRDefault="00540970" w:rsidP="00540970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540970">
        <w:rPr>
          <w:rFonts w:ascii="Calibri" w:hAnsi="Calibri" w:cs="Calibri"/>
          <w:sz w:val="20"/>
          <w:szCs w:val="20"/>
        </w:rPr>
        <w:t xml:space="preserve">Non-STD: 10% 0 days; 43% 1-7 days  </w:t>
      </w:r>
    </w:p>
    <w:p w14:paraId="712A54D9" w14:textId="0A0F55CA" w:rsidR="00540970" w:rsidRDefault="00856575" w:rsidP="008769C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Also reports % 8-14 days; 15-30 days; &gt;30 days; didn’t include all data here </w:t>
      </w:r>
    </w:p>
    <w:p w14:paraId="49083D00" w14:textId="576E8C4F" w:rsidR="002771B5" w:rsidRPr="002771B5" w:rsidRDefault="002771B5" w:rsidP="002771B5">
      <w:pPr>
        <w:jc w:val="both"/>
        <w:rPr>
          <w:rFonts w:ascii="Calibri" w:hAnsi="Calibri" w:cs="Calibri"/>
          <w:sz w:val="20"/>
          <w:szCs w:val="20"/>
        </w:rPr>
      </w:pPr>
      <w:r w:rsidRPr="002771B5">
        <w:rPr>
          <w:rFonts w:ascii="Calibri" w:hAnsi="Calibri" w:cs="Calibri"/>
          <w:sz w:val="20"/>
          <w:szCs w:val="20"/>
        </w:rPr>
        <w:drawing>
          <wp:inline distT="0" distB="0" distL="0" distR="0" wp14:anchorId="47098665" wp14:editId="71254C11">
            <wp:extent cx="5943600" cy="4431665"/>
            <wp:effectExtent l="0" t="0" r="0" b="635"/>
            <wp:docPr id="603042033" name="Picture 1" descr="A table of diseased sympt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42033" name="Picture 1" descr="A table of diseased sympto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876F" w14:textId="5C3D51D9" w:rsidR="005D76ED" w:rsidRDefault="005D76ED"/>
    <w:p w14:paraId="6708F0A4" w14:textId="77777777" w:rsidR="00430716" w:rsidRDefault="00430716"/>
    <w:p w14:paraId="15BBBC2D" w14:textId="77777777" w:rsidR="00430716" w:rsidRDefault="00430716"/>
    <w:p w14:paraId="416EC23F" w14:textId="77777777" w:rsidR="00430716" w:rsidRDefault="00430716"/>
    <w:p w14:paraId="7679D388" w14:textId="77777777" w:rsidR="005D76ED" w:rsidRDefault="005D76ED"/>
    <w:p w14:paraId="7A773860" w14:textId="7F219348" w:rsidR="005D76ED" w:rsidRDefault="005D76ED" w:rsidP="005D76ED">
      <w:pPr>
        <w:jc w:val="both"/>
        <w:rPr>
          <w:rFonts w:ascii="Calibri" w:hAnsi="Calibri" w:cs="Calibri"/>
          <w:sz w:val="20"/>
          <w:szCs w:val="20"/>
        </w:rPr>
      </w:pPr>
      <w:r w:rsidRPr="00014B65">
        <w:rPr>
          <w:rFonts w:ascii="Calibri" w:hAnsi="Calibri" w:cs="Calibri"/>
          <w:b/>
          <w:bCs/>
          <w:sz w:val="20"/>
          <w:szCs w:val="20"/>
        </w:rPr>
        <w:t>Reference</w:t>
      </w:r>
      <w:r>
        <w:rPr>
          <w:rFonts w:ascii="Calibri" w:hAnsi="Calibri" w:cs="Calibri"/>
          <w:b/>
          <w:bCs/>
          <w:sz w:val="20"/>
          <w:szCs w:val="20"/>
        </w:rPr>
        <w:t xml:space="preserve"> (</w:t>
      </w:r>
      <w:r>
        <w:rPr>
          <w:rFonts w:ascii="Calibri" w:hAnsi="Calibri" w:cs="Calibri"/>
          <w:b/>
          <w:bCs/>
          <w:sz w:val="20"/>
          <w:szCs w:val="20"/>
        </w:rPr>
        <w:t>3</w:t>
      </w:r>
      <w:r>
        <w:rPr>
          <w:rFonts w:ascii="Calibri" w:hAnsi="Calibri" w:cs="Calibri"/>
          <w:b/>
          <w:bCs/>
          <w:sz w:val="20"/>
          <w:szCs w:val="20"/>
        </w:rPr>
        <w:t>)</w:t>
      </w:r>
      <w:r w:rsidRPr="00014B65">
        <w:rPr>
          <w:rFonts w:ascii="Calibri" w:hAnsi="Calibri" w:cs="Calibri"/>
          <w:b/>
          <w:bCs/>
          <w:sz w:val="20"/>
          <w:szCs w:val="20"/>
        </w:rPr>
        <w:t xml:space="preserve">: </w:t>
      </w:r>
      <w:proofErr w:type="spellStart"/>
      <w:r w:rsidRPr="005D76ED">
        <w:rPr>
          <w:rFonts w:ascii="Calibri" w:hAnsi="Calibri" w:cs="Calibri"/>
          <w:sz w:val="20"/>
          <w:szCs w:val="20"/>
        </w:rPr>
        <w:t>Liroff</w:t>
      </w:r>
      <w:proofErr w:type="spellEnd"/>
      <w:r w:rsidRPr="005D76ED">
        <w:rPr>
          <w:rFonts w:ascii="Calibri" w:hAnsi="Calibri" w:cs="Calibri"/>
          <w:sz w:val="20"/>
          <w:szCs w:val="20"/>
        </w:rPr>
        <w:t xml:space="preserve"> K, </w:t>
      </w:r>
      <w:proofErr w:type="spellStart"/>
      <w:r w:rsidRPr="005D76ED">
        <w:rPr>
          <w:rFonts w:ascii="Calibri" w:hAnsi="Calibri" w:cs="Calibri"/>
          <w:sz w:val="20"/>
          <w:szCs w:val="20"/>
        </w:rPr>
        <w:t>Kassaye</w:t>
      </w:r>
      <w:proofErr w:type="spellEnd"/>
      <w:r w:rsidRPr="005D76ED">
        <w:rPr>
          <w:rFonts w:ascii="Calibri" w:hAnsi="Calibri" w:cs="Calibri"/>
          <w:sz w:val="20"/>
          <w:szCs w:val="20"/>
        </w:rPr>
        <w:t xml:space="preserve"> SG, Spence AB, Kumar PN, Natarajan M, Harold R, Dorsey K, Doshi RK, Visconti AJ. The Tenacious Treponema: A Retrospective Examination of Syphilis Treatment Disparities in Washington, DC. Sexually Transmitted Diseases. 2023 Jan 5:10-97.</w:t>
      </w:r>
    </w:p>
    <w:p w14:paraId="74E1EB77" w14:textId="4FABC473" w:rsidR="005D76ED" w:rsidRDefault="005D76ED" w:rsidP="005D76ED">
      <w:pPr>
        <w:jc w:val="both"/>
        <w:rPr>
          <w:rFonts w:ascii="Calibri" w:hAnsi="Calibri" w:cs="Calibri"/>
          <w:sz w:val="20"/>
          <w:szCs w:val="20"/>
        </w:rPr>
      </w:pPr>
      <w:hyperlink r:id="rId8" w:history="1">
        <w:r w:rsidRPr="00397931">
          <w:rPr>
            <w:rStyle w:val="Hyperlink"/>
            <w:rFonts w:ascii="Calibri" w:hAnsi="Calibri" w:cs="Calibri"/>
            <w:sz w:val="20"/>
            <w:szCs w:val="20"/>
          </w:rPr>
          <w:t>https://journals.lww.com/stdjournal/fulltext/2024/01000/the_tenacious_treponema__a_retrospective.1.aspx</w:t>
        </w:r>
      </w:hyperlink>
    </w:p>
    <w:p w14:paraId="613A8A71" w14:textId="77777777" w:rsidR="005D76ED" w:rsidRPr="00014B65" w:rsidRDefault="005D76ED" w:rsidP="005D76ED">
      <w:pPr>
        <w:jc w:val="both"/>
        <w:rPr>
          <w:rFonts w:ascii="Calibri" w:hAnsi="Calibri" w:cs="Calibri"/>
          <w:sz w:val="20"/>
          <w:szCs w:val="20"/>
        </w:rPr>
      </w:pPr>
    </w:p>
    <w:p w14:paraId="1A131830" w14:textId="77777777" w:rsidR="005D76ED" w:rsidRPr="00D919C8" w:rsidRDefault="005D76ED" w:rsidP="005D76ED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919C8">
        <w:rPr>
          <w:rFonts w:ascii="Calibri" w:hAnsi="Calibri" w:cs="Calibri"/>
          <w:b/>
          <w:bCs/>
          <w:sz w:val="20"/>
          <w:szCs w:val="20"/>
        </w:rPr>
        <w:t xml:space="preserve">Summary: </w:t>
      </w:r>
    </w:p>
    <w:p w14:paraId="6993A8E6" w14:textId="585270DA" w:rsidR="005D76ED" w:rsidRDefault="005D76ED" w:rsidP="005D76E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Reports time to treatment among syphilis cases reported in </w:t>
      </w:r>
      <w:r>
        <w:rPr>
          <w:rFonts w:ascii="Calibri" w:hAnsi="Calibri" w:cs="Calibri"/>
          <w:sz w:val="20"/>
          <w:szCs w:val="20"/>
        </w:rPr>
        <w:t>DC</w:t>
      </w:r>
      <w:r>
        <w:rPr>
          <w:rFonts w:ascii="Calibri" w:hAnsi="Calibri" w:cs="Calibri"/>
          <w:sz w:val="20"/>
          <w:szCs w:val="20"/>
        </w:rPr>
        <w:t xml:space="preserve"> from </w:t>
      </w:r>
      <w:r>
        <w:rPr>
          <w:rFonts w:ascii="Calibri" w:hAnsi="Calibri" w:cs="Calibri"/>
          <w:sz w:val="20"/>
          <w:szCs w:val="20"/>
        </w:rPr>
        <w:t>2015-2019</w:t>
      </w:r>
      <w:r>
        <w:rPr>
          <w:rFonts w:ascii="Calibri" w:hAnsi="Calibri" w:cs="Calibri"/>
          <w:sz w:val="20"/>
          <w:szCs w:val="20"/>
        </w:rPr>
        <w:t xml:space="preserve">; </w:t>
      </w:r>
      <w:r>
        <w:rPr>
          <w:rFonts w:ascii="Calibri" w:hAnsi="Calibri" w:cs="Calibri"/>
          <w:sz w:val="20"/>
          <w:szCs w:val="20"/>
        </w:rPr>
        <w:t xml:space="preserve">includes ORs for delayed treatment (&gt;14 days) for early latent (vs. p/s) and by treatment provider (private, clinic, public health department, hospital, etc.) </w:t>
      </w:r>
    </w:p>
    <w:p w14:paraId="01A58D1C" w14:textId="2CEB8E1C" w:rsidR="005D76ED" w:rsidRDefault="00063DC3" w:rsidP="005D76E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19.5% had delayed treatment (&gt;14 days after diagnosis) </w:t>
      </w:r>
    </w:p>
    <w:p w14:paraId="7944C419" w14:textId="77777777" w:rsidR="00DA575A" w:rsidRDefault="00063DC3" w:rsidP="00DA575A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063DC3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</w:t>
      </w:r>
      <w:r w:rsidR="00DA575A" w:rsidRPr="007E46C4">
        <w:rPr>
          <w:rFonts w:ascii="Calibri" w:hAnsi="Calibri" w:cs="Calibri"/>
          <w:b/>
          <w:bCs/>
          <w:sz w:val="20"/>
          <w:szCs w:val="20"/>
        </w:rPr>
        <w:t xml:space="preserve">Proportion immediately treated = </w:t>
      </w:r>
    </w:p>
    <w:p w14:paraId="124E72A0" w14:textId="2E98F8EE" w:rsidR="00063DC3" w:rsidRPr="00DA575A" w:rsidRDefault="00DA575A" w:rsidP="00DA575A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80</w:t>
      </w:r>
      <w:r>
        <w:rPr>
          <w:rFonts w:ascii="Calibri" w:hAnsi="Calibri" w:cs="Calibri"/>
          <w:b/>
          <w:bCs/>
          <w:sz w:val="20"/>
          <w:szCs w:val="20"/>
        </w:rPr>
        <w:t>.5</w:t>
      </w:r>
      <w:r>
        <w:rPr>
          <w:rFonts w:ascii="Calibri" w:hAnsi="Calibri" w:cs="Calibri"/>
          <w:b/>
          <w:bCs/>
          <w:sz w:val="20"/>
          <w:szCs w:val="20"/>
        </w:rPr>
        <w:t xml:space="preserve">% (if assuming 0-14 days) </w:t>
      </w:r>
    </w:p>
    <w:p w14:paraId="4B82F82A" w14:textId="77777777" w:rsidR="005D76ED" w:rsidRDefault="005D76ED"/>
    <w:sectPr w:rsidR="005D76ED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1795"/>
    <w:multiLevelType w:val="hybridMultilevel"/>
    <w:tmpl w:val="E93C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51CB9"/>
    <w:multiLevelType w:val="hybridMultilevel"/>
    <w:tmpl w:val="31C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227946">
    <w:abstractNumId w:val="1"/>
  </w:num>
  <w:num w:numId="2" w16cid:durableId="71952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C5"/>
    <w:rsid w:val="00001D9F"/>
    <w:rsid w:val="00006EFB"/>
    <w:rsid w:val="00015023"/>
    <w:rsid w:val="00015CD7"/>
    <w:rsid w:val="00031E65"/>
    <w:rsid w:val="00040FE7"/>
    <w:rsid w:val="00045CE8"/>
    <w:rsid w:val="000476F1"/>
    <w:rsid w:val="000530EC"/>
    <w:rsid w:val="00055565"/>
    <w:rsid w:val="00055A12"/>
    <w:rsid w:val="00063DC3"/>
    <w:rsid w:val="00065138"/>
    <w:rsid w:val="000763D1"/>
    <w:rsid w:val="00084106"/>
    <w:rsid w:val="00085DA1"/>
    <w:rsid w:val="00086491"/>
    <w:rsid w:val="00086E87"/>
    <w:rsid w:val="000904C1"/>
    <w:rsid w:val="00092A7A"/>
    <w:rsid w:val="00095C36"/>
    <w:rsid w:val="000B6B0D"/>
    <w:rsid w:val="000C08E2"/>
    <w:rsid w:val="000C24DE"/>
    <w:rsid w:val="000D7F43"/>
    <w:rsid w:val="000F1B22"/>
    <w:rsid w:val="000F7028"/>
    <w:rsid w:val="0010632C"/>
    <w:rsid w:val="0011284B"/>
    <w:rsid w:val="001178AB"/>
    <w:rsid w:val="00117B34"/>
    <w:rsid w:val="00126AD0"/>
    <w:rsid w:val="00140D27"/>
    <w:rsid w:val="001423E8"/>
    <w:rsid w:val="00146C83"/>
    <w:rsid w:val="001522A6"/>
    <w:rsid w:val="00172179"/>
    <w:rsid w:val="00172A62"/>
    <w:rsid w:val="0017610D"/>
    <w:rsid w:val="0018770F"/>
    <w:rsid w:val="00191A0E"/>
    <w:rsid w:val="00194FCB"/>
    <w:rsid w:val="001B44C4"/>
    <w:rsid w:val="001B517A"/>
    <w:rsid w:val="001F0A84"/>
    <w:rsid w:val="00206815"/>
    <w:rsid w:val="0021691A"/>
    <w:rsid w:val="00222380"/>
    <w:rsid w:val="00246005"/>
    <w:rsid w:val="002512E8"/>
    <w:rsid w:val="0027217A"/>
    <w:rsid w:val="002771B5"/>
    <w:rsid w:val="002A2094"/>
    <w:rsid w:val="002B193E"/>
    <w:rsid w:val="002B1BFC"/>
    <w:rsid w:val="002B35F7"/>
    <w:rsid w:val="002B3C19"/>
    <w:rsid w:val="002B68D7"/>
    <w:rsid w:val="002C0F02"/>
    <w:rsid w:val="002C29F6"/>
    <w:rsid w:val="002E186E"/>
    <w:rsid w:val="002F1263"/>
    <w:rsid w:val="00301B4F"/>
    <w:rsid w:val="00304173"/>
    <w:rsid w:val="00306E7B"/>
    <w:rsid w:val="00316AFA"/>
    <w:rsid w:val="003218D8"/>
    <w:rsid w:val="00372C6D"/>
    <w:rsid w:val="00387398"/>
    <w:rsid w:val="00396700"/>
    <w:rsid w:val="003A0718"/>
    <w:rsid w:val="003A088C"/>
    <w:rsid w:val="003A3BD5"/>
    <w:rsid w:val="003B1F80"/>
    <w:rsid w:val="003D17A8"/>
    <w:rsid w:val="003E279C"/>
    <w:rsid w:val="003F50F1"/>
    <w:rsid w:val="00421EB0"/>
    <w:rsid w:val="00423304"/>
    <w:rsid w:val="00424ABA"/>
    <w:rsid w:val="00430716"/>
    <w:rsid w:val="00435632"/>
    <w:rsid w:val="00436DBD"/>
    <w:rsid w:val="00451789"/>
    <w:rsid w:val="00466B2D"/>
    <w:rsid w:val="004944FD"/>
    <w:rsid w:val="004A3B80"/>
    <w:rsid w:val="004A6B86"/>
    <w:rsid w:val="004B752C"/>
    <w:rsid w:val="004C5B37"/>
    <w:rsid w:val="004C7C50"/>
    <w:rsid w:val="004D69A1"/>
    <w:rsid w:val="004E4DA5"/>
    <w:rsid w:val="004F15DC"/>
    <w:rsid w:val="004F2BB7"/>
    <w:rsid w:val="00502B0E"/>
    <w:rsid w:val="005060F6"/>
    <w:rsid w:val="00520517"/>
    <w:rsid w:val="00523D76"/>
    <w:rsid w:val="005275ED"/>
    <w:rsid w:val="00537A92"/>
    <w:rsid w:val="00540970"/>
    <w:rsid w:val="0054137C"/>
    <w:rsid w:val="00547861"/>
    <w:rsid w:val="0055096F"/>
    <w:rsid w:val="00550F16"/>
    <w:rsid w:val="00557F46"/>
    <w:rsid w:val="005703BE"/>
    <w:rsid w:val="005876C1"/>
    <w:rsid w:val="005A2983"/>
    <w:rsid w:val="005B5A53"/>
    <w:rsid w:val="005C6F5A"/>
    <w:rsid w:val="005D69D7"/>
    <w:rsid w:val="005D76ED"/>
    <w:rsid w:val="005E4556"/>
    <w:rsid w:val="005E6095"/>
    <w:rsid w:val="005E61F1"/>
    <w:rsid w:val="005F712B"/>
    <w:rsid w:val="006120E6"/>
    <w:rsid w:val="00614138"/>
    <w:rsid w:val="006338F5"/>
    <w:rsid w:val="00641B26"/>
    <w:rsid w:val="00652C97"/>
    <w:rsid w:val="0068306E"/>
    <w:rsid w:val="006941AE"/>
    <w:rsid w:val="006B6ABF"/>
    <w:rsid w:val="006C1181"/>
    <w:rsid w:val="006C6D39"/>
    <w:rsid w:val="006D0AE9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66184"/>
    <w:rsid w:val="00773B58"/>
    <w:rsid w:val="00791E48"/>
    <w:rsid w:val="007A1A79"/>
    <w:rsid w:val="007A2DCC"/>
    <w:rsid w:val="007D7C8F"/>
    <w:rsid w:val="007E190E"/>
    <w:rsid w:val="007E46C4"/>
    <w:rsid w:val="007E4917"/>
    <w:rsid w:val="007E6DF8"/>
    <w:rsid w:val="00800BA9"/>
    <w:rsid w:val="008112D4"/>
    <w:rsid w:val="008147F5"/>
    <w:rsid w:val="008200D0"/>
    <w:rsid w:val="00827644"/>
    <w:rsid w:val="0083058E"/>
    <w:rsid w:val="00832BB1"/>
    <w:rsid w:val="00845B4F"/>
    <w:rsid w:val="008520A1"/>
    <w:rsid w:val="008530F3"/>
    <w:rsid w:val="0085331B"/>
    <w:rsid w:val="00856575"/>
    <w:rsid w:val="008571CD"/>
    <w:rsid w:val="00861011"/>
    <w:rsid w:val="00865A35"/>
    <w:rsid w:val="00866067"/>
    <w:rsid w:val="008769C5"/>
    <w:rsid w:val="0088308B"/>
    <w:rsid w:val="0089253E"/>
    <w:rsid w:val="008B4AEB"/>
    <w:rsid w:val="008C067B"/>
    <w:rsid w:val="008F3AE6"/>
    <w:rsid w:val="008F5AFE"/>
    <w:rsid w:val="00912812"/>
    <w:rsid w:val="009462C4"/>
    <w:rsid w:val="0095334B"/>
    <w:rsid w:val="00961229"/>
    <w:rsid w:val="009707A8"/>
    <w:rsid w:val="00973A7F"/>
    <w:rsid w:val="00987B46"/>
    <w:rsid w:val="009963E5"/>
    <w:rsid w:val="009A24E3"/>
    <w:rsid w:val="009A5097"/>
    <w:rsid w:val="009B0375"/>
    <w:rsid w:val="009B21BD"/>
    <w:rsid w:val="009B59BB"/>
    <w:rsid w:val="009B6348"/>
    <w:rsid w:val="009B79C2"/>
    <w:rsid w:val="009C33C2"/>
    <w:rsid w:val="009C6426"/>
    <w:rsid w:val="009D7293"/>
    <w:rsid w:val="009E4D23"/>
    <w:rsid w:val="009F7FF7"/>
    <w:rsid w:val="00A00685"/>
    <w:rsid w:val="00A04E45"/>
    <w:rsid w:val="00A058DB"/>
    <w:rsid w:val="00A241DC"/>
    <w:rsid w:val="00A3058C"/>
    <w:rsid w:val="00A352E1"/>
    <w:rsid w:val="00A46939"/>
    <w:rsid w:val="00A513F8"/>
    <w:rsid w:val="00A63BCC"/>
    <w:rsid w:val="00A676D8"/>
    <w:rsid w:val="00A714C0"/>
    <w:rsid w:val="00A714F6"/>
    <w:rsid w:val="00A7480A"/>
    <w:rsid w:val="00A93149"/>
    <w:rsid w:val="00AA30AA"/>
    <w:rsid w:val="00AB4B09"/>
    <w:rsid w:val="00AB60B5"/>
    <w:rsid w:val="00AB620C"/>
    <w:rsid w:val="00AB6835"/>
    <w:rsid w:val="00AD176C"/>
    <w:rsid w:val="00AD4D7F"/>
    <w:rsid w:val="00AE1B7D"/>
    <w:rsid w:val="00AF18B9"/>
    <w:rsid w:val="00AF3D0B"/>
    <w:rsid w:val="00AF542E"/>
    <w:rsid w:val="00B27266"/>
    <w:rsid w:val="00B30151"/>
    <w:rsid w:val="00B34BFC"/>
    <w:rsid w:val="00B51765"/>
    <w:rsid w:val="00B61682"/>
    <w:rsid w:val="00B675B8"/>
    <w:rsid w:val="00B83FD0"/>
    <w:rsid w:val="00B84557"/>
    <w:rsid w:val="00B879FE"/>
    <w:rsid w:val="00B954BB"/>
    <w:rsid w:val="00BA27E2"/>
    <w:rsid w:val="00BA2841"/>
    <w:rsid w:val="00BB41BB"/>
    <w:rsid w:val="00BC033C"/>
    <w:rsid w:val="00BC54B2"/>
    <w:rsid w:val="00BD04D6"/>
    <w:rsid w:val="00BD0D9B"/>
    <w:rsid w:val="00BD26A4"/>
    <w:rsid w:val="00BD598C"/>
    <w:rsid w:val="00BD5E22"/>
    <w:rsid w:val="00BF0357"/>
    <w:rsid w:val="00C026E1"/>
    <w:rsid w:val="00C26047"/>
    <w:rsid w:val="00C3180A"/>
    <w:rsid w:val="00C42B79"/>
    <w:rsid w:val="00C4637A"/>
    <w:rsid w:val="00C46A74"/>
    <w:rsid w:val="00C5473E"/>
    <w:rsid w:val="00C6005E"/>
    <w:rsid w:val="00C8058D"/>
    <w:rsid w:val="00C8379A"/>
    <w:rsid w:val="00C9165A"/>
    <w:rsid w:val="00CC46F3"/>
    <w:rsid w:val="00CC5A2D"/>
    <w:rsid w:val="00CD10C5"/>
    <w:rsid w:val="00CD3D64"/>
    <w:rsid w:val="00CD3D9A"/>
    <w:rsid w:val="00CE3D8B"/>
    <w:rsid w:val="00CF0CF8"/>
    <w:rsid w:val="00CF0FD1"/>
    <w:rsid w:val="00CF7BAA"/>
    <w:rsid w:val="00D23DD5"/>
    <w:rsid w:val="00D23F35"/>
    <w:rsid w:val="00D36DDD"/>
    <w:rsid w:val="00D44934"/>
    <w:rsid w:val="00D4630C"/>
    <w:rsid w:val="00D52A7E"/>
    <w:rsid w:val="00D52D2C"/>
    <w:rsid w:val="00D63762"/>
    <w:rsid w:val="00D73452"/>
    <w:rsid w:val="00D7496B"/>
    <w:rsid w:val="00D77972"/>
    <w:rsid w:val="00D81B46"/>
    <w:rsid w:val="00D82A4A"/>
    <w:rsid w:val="00D82A9D"/>
    <w:rsid w:val="00D84850"/>
    <w:rsid w:val="00D84E47"/>
    <w:rsid w:val="00D95AF8"/>
    <w:rsid w:val="00DA575A"/>
    <w:rsid w:val="00DB1EE3"/>
    <w:rsid w:val="00DD26F8"/>
    <w:rsid w:val="00DD3918"/>
    <w:rsid w:val="00DE3F84"/>
    <w:rsid w:val="00DF25B6"/>
    <w:rsid w:val="00DF40EB"/>
    <w:rsid w:val="00DF64EE"/>
    <w:rsid w:val="00DF7ABF"/>
    <w:rsid w:val="00E00C9F"/>
    <w:rsid w:val="00E00E7B"/>
    <w:rsid w:val="00E15969"/>
    <w:rsid w:val="00E175C9"/>
    <w:rsid w:val="00E233CC"/>
    <w:rsid w:val="00E37E6B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48E2"/>
    <w:rsid w:val="00EE2A06"/>
    <w:rsid w:val="00F2180F"/>
    <w:rsid w:val="00F25467"/>
    <w:rsid w:val="00F27352"/>
    <w:rsid w:val="00F34A62"/>
    <w:rsid w:val="00F67E45"/>
    <w:rsid w:val="00F72934"/>
    <w:rsid w:val="00F87748"/>
    <w:rsid w:val="00F93C47"/>
    <w:rsid w:val="00F946AA"/>
    <w:rsid w:val="00FB2ECB"/>
    <w:rsid w:val="00FC3327"/>
    <w:rsid w:val="00FC4061"/>
    <w:rsid w:val="00FC4D7C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42686"/>
  <w15:chartTrackingRefBased/>
  <w15:docId w15:val="{8EF81C9A-0F97-E44C-9765-41DF2902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9C5"/>
  </w:style>
  <w:style w:type="paragraph" w:styleId="Heading1">
    <w:name w:val="heading 1"/>
    <w:basedOn w:val="Normal"/>
    <w:next w:val="Normal"/>
    <w:link w:val="Heading1Char"/>
    <w:uiPriority w:val="9"/>
    <w:qFormat/>
    <w:rsid w:val="0087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9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9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9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9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9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9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9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9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69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lww.com/stdjournal/fulltext/2024/01000/the_tenacious_treponema__a_retrospective.1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6785738/" TargetMode="External"/><Relationship Id="rId5" Type="http://schemas.openxmlformats.org/officeDocument/2006/relationships/hyperlink" Target="https://journals.lww.com/stdjournal/fulltext/2016/01000/syphilis_time_to_treatment_at_publicly_funded.7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20</cp:revision>
  <dcterms:created xsi:type="dcterms:W3CDTF">2025-02-18T18:02:00Z</dcterms:created>
  <dcterms:modified xsi:type="dcterms:W3CDTF">2025-02-18T19:24:00Z</dcterms:modified>
</cp:coreProperties>
</file>