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5CA0" w14:textId="138405F1" w:rsidR="00B971BE" w:rsidRDefault="00B971BE">
      <w:r>
        <w:t>Aging Analysis Results</w:t>
      </w:r>
    </w:p>
    <w:p w14:paraId="4D53507D" w14:textId="4F1EBD8B" w:rsidR="008D68E6" w:rsidRDefault="008D68E6" w:rsidP="004F0700">
      <w:r>
        <w:t>Intro:</w:t>
      </w:r>
    </w:p>
    <w:p w14:paraId="4A85EEC3" w14:textId="145F81DE" w:rsidR="004F0700" w:rsidRDefault="006751A5" w:rsidP="006751A5">
      <w:bookmarkStart w:id="0" w:name="_Hlk204856369"/>
      <w:r>
        <w:t>The widespread availability of effective antiretroviral therapy (ART) has substantially</w:t>
      </w:r>
      <w:r w:rsidR="00322139">
        <w:t xml:space="preserve"> increased</w:t>
      </w:r>
      <w:r>
        <w:t xml:space="preserve"> the life expectancy of people with HIV in the United </w:t>
      </w:r>
      <w:commentRangeStart w:id="1"/>
      <w:r>
        <w:t>States</w:t>
      </w:r>
      <w:commentRangeEnd w:id="1"/>
      <w:r w:rsidR="004F0700">
        <w:rPr>
          <w:rStyle w:val="CommentReference"/>
        </w:rPr>
        <w:commentReference w:id="1"/>
      </w:r>
      <w:r>
        <w:t>.</w:t>
      </w:r>
      <w:r w:rsidR="00322139">
        <w:t xml:space="preserve"> </w:t>
      </w:r>
      <w:bookmarkEnd w:id="0"/>
      <w:r w:rsidR="006A48A6">
        <w:t>The consequent rise in</w:t>
      </w:r>
      <w:r w:rsidR="00322139">
        <w:t xml:space="preserve"> prevalence </w:t>
      </w:r>
      <w:r w:rsidR="006A48A6">
        <w:t>may</w:t>
      </w:r>
      <w:r w:rsidR="00322139">
        <w:t xml:space="preserve"> lead to aging of the population of PWH</w:t>
      </w:r>
      <w:r w:rsidR="006A48A6">
        <w:t xml:space="preserve"> and a shift in age-related comorbidities needing support by healthcare systems and their funding </w:t>
      </w:r>
      <w:commentRangeStart w:id="2"/>
      <w:r w:rsidR="006A48A6">
        <w:t>structures</w:t>
      </w:r>
      <w:commentRangeEnd w:id="2"/>
      <w:r w:rsidR="004F0700">
        <w:rPr>
          <w:rStyle w:val="CommentReference"/>
        </w:rPr>
        <w:commentReference w:id="2"/>
      </w:r>
      <w:r w:rsidR="006A48A6">
        <w:t xml:space="preserve">. </w:t>
      </w:r>
      <w:r w:rsidR="004F0700">
        <w:t xml:space="preserve">In this study, we use a mathematical model of HIV transmission to project changes in the age distribution of </w:t>
      </w:r>
      <w:r w:rsidR="009843DF">
        <w:t>PWH</w:t>
      </w:r>
      <w:r w:rsidR="004F0700">
        <w:t xml:space="preserve"> in 11 U.S. states.</w:t>
      </w:r>
    </w:p>
    <w:p w14:paraId="21878D52" w14:textId="07FB6664" w:rsidR="004F0700" w:rsidRPr="004F0700" w:rsidRDefault="004F0700" w:rsidP="006751A5">
      <w:pPr>
        <w:rPr>
          <w:i/>
          <w:iCs/>
        </w:rPr>
      </w:pPr>
      <w:r>
        <w:rPr>
          <w:i/>
          <w:iCs/>
        </w:rPr>
        <w:t xml:space="preserve">Further ideas for introduction: </w:t>
      </w:r>
    </w:p>
    <w:p w14:paraId="13680327" w14:textId="13F3AEE9" w:rsidR="00EB56F0" w:rsidRDefault="00EB56F0" w:rsidP="0086114C">
      <w:r>
        <w:t>Methods:</w:t>
      </w:r>
    </w:p>
    <w:p w14:paraId="01F53FCB" w14:textId="5B488373" w:rsidR="004F0700" w:rsidRDefault="0086114C" w:rsidP="004F0700">
      <w:pPr>
        <w:rPr>
          <w:rFonts w:ascii="Arial" w:hAnsi="Arial" w:cs="Arial"/>
        </w:rPr>
      </w:pPr>
      <w:r>
        <w:rPr>
          <w:rFonts w:ascii="Arial" w:hAnsi="Arial" w:cs="Arial"/>
        </w:rPr>
        <w:t>The Johns Hopkins Epidemiologic and Economic Model</w:t>
      </w:r>
      <w:r w:rsidR="004F0700">
        <w:rPr>
          <w:rFonts w:ascii="Arial" w:hAnsi="Arial" w:cs="Arial"/>
        </w:rPr>
        <w:t xml:space="preserve"> (JHEEM)</w:t>
      </w:r>
      <w:r>
        <w:rPr>
          <w:rFonts w:ascii="Arial" w:hAnsi="Arial" w:cs="Arial"/>
        </w:rPr>
        <w:t xml:space="preserve"> is a dynamic HIV transmission model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&lt;EndNote&gt;&lt;Cite&gt;&lt;Author&gt;Fojo&lt;/Author&gt;&lt;Year&gt;2021&lt;/Year&gt;&lt;RecNum&gt;275&lt;/RecNum&gt;&lt;DisplayText&gt;&lt;style face="superscript"&gt;3&lt;/style&gt;&lt;/DisplayText&gt;&lt;record&gt;&lt;rec-number&gt;275&lt;/rec-number&gt;&lt;foreign-keys&gt;&lt;key app="EN" db-id="pxapezvxywxsace09ssxwft19d5dwv0z9drx" timestamp="1684326563" guid="995f1469-4e6f-4895-a2e0-35e6088792f1"&gt;275&lt;/key&gt;&lt;/foreign-keys&gt;&lt;ref-type name="Journal Article"&gt;17&lt;/ref-type&gt;&lt;contributors&gt;&lt;authors&gt;&lt;author&gt;Fojo, Anthony Todd&lt;/author&gt;&lt;author&gt;Schnure, Melissa&lt;/author&gt;&lt;author&gt;Kasaie, Parastu&lt;/author&gt;&lt;author&gt;Dowdy, David W&lt;/author&gt;&lt;author&gt;Shah, Maunank&lt;/author&gt;&lt;/authors&gt;&lt;/contributors&gt;&lt;titles&gt;&lt;title&gt;What will it take to end HIV in the United States? A comprehensive, local-level modeling study&lt;/title&gt;&lt;secondary-title&gt;Annals of internal medicine&lt;/secondary-title&gt;&lt;/titles&gt;&lt;periodical&gt;&lt;full-title&gt;Annals of Internal Medicine&lt;/full-title&gt;&lt;/periodical&gt;&lt;pages&gt;1542-1553&lt;/pages&gt;&lt;volume&gt;174&lt;/volume&gt;&lt;number&gt;11&lt;/number&gt;&lt;dates&gt;&lt;year&gt;2021&lt;/year&gt;&lt;/dates&gt;&lt;isbn&gt;0003-4819&lt;/isbn&gt;&lt;urls&gt;&lt;/urls&gt;&lt;/record&gt;&lt;/Cite&gt;&lt;/EndNote&gt;</w:instrText>
      </w:r>
      <w:r>
        <w:rPr>
          <w:rFonts w:ascii="Arial" w:hAnsi="Arial" w:cs="Arial"/>
        </w:rPr>
        <w:fldChar w:fldCharType="separate"/>
      </w:r>
      <w:r w:rsidRPr="006C43BA">
        <w:rPr>
          <w:rFonts w:ascii="Arial" w:hAnsi="Arial" w:cs="Arial"/>
          <w:noProof/>
          <w:vertAlign w:val="superscript"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We used the model to simulate HIV epidemics in Alabama, California, Florida, Georgia, Illinois, Louisiana, Mississippi, Missouri, New York, Texas, and Wisconsin, where 63% of people diagnosed with HIV in the US reside</w:t>
      </w:r>
      <w:r w:rsidR="004F0700">
        <w:rPr>
          <w:rFonts w:ascii="Arial" w:hAnsi="Arial" w:cs="Arial"/>
        </w:rPr>
        <w:t xml:space="preserve">, </w:t>
      </w:r>
      <w:commentRangeStart w:id="3"/>
      <w:r w:rsidR="004F0700">
        <w:rPr>
          <w:rFonts w:ascii="Arial" w:hAnsi="Arial" w:cs="Arial"/>
        </w:rPr>
        <w:t>as described in *</w:t>
      </w:r>
      <w:commentRangeEnd w:id="3"/>
      <w:r w:rsidR="004F0700">
        <w:rPr>
          <w:rStyle w:val="CommentReference"/>
        </w:rPr>
        <w:commentReference w:id="3"/>
      </w:r>
      <w:r w:rsidR="004F0700">
        <w:rPr>
          <w:rFonts w:ascii="Arial" w:hAnsi="Arial" w:cs="Arial"/>
        </w:rPr>
        <w:t>. Calibration</w:t>
      </w:r>
      <w:r w:rsidR="009843DF">
        <w:rPr>
          <w:rFonts w:ascii="Arial" w:hAnsi="Arial" w:cs="Arial"/>
        </w:rPr>
        <w:t xml:space="preserve"> targets for this study include local epidemiologic targets such as new diagnoses and diagnosed prevalence by age.</w:t>
      </w:r>
    </w:p>
    <w:p w14:paraId="07E7AF2B" w14:textId="7BD66F3E" w:rsidR="007F077E" w:rsidRDefault="007F077E" w:rsidP="004F070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For paper:</w:t>
      </w:r>
    </w:p>
    <w:p w14:paraId="6C76A00C" w14:textId="41D50A79" w:rsidR="007F077E" w:rsidRDefault="007F077E" w:rsidP="004F070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Model structure, study setting, calibration, model outcomes, secondary analyses (explaining state variation), sensitivity analyses</w:t>
      </w:r>
    </w:p>
    <w:p w14:paraId="61A3FD8D" w14:textId="0021A6E9" w:rsidR="007F077E" w:rsidRDefault="007F077E" w:rsidP="004F070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For our group:</w:t>
      </w:r>
    </w:p>
    <w:p w14:paraId="1CAE4A02" w14:textId="02337522" w:rsidR="007F077E" w:rsidRDefault="007F077E" w:rsidP="007F077E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Model outcome (delta prop 55+, also median age)</w:t>
      </w:r>
    </w:p>
    <w:p w14:paraId="0B213C92" w14:textId="77777777" w:rsidR="007F077E" w:rsidRPr="007F077E" w:rsidRDefault="007F077E" w:rsidP="007F077E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</w:rPr>
      </w:pPr>
    </w:p>
    <w:p w14:paraId="1525EB4D" w14:textId="1EECF5F5" w:rsidR="00B971BE" w:rsidRDefault="00D66D85">
      <w:commentRangeStart w:id="4"/>
      <w:commentRangeEnd w:id="4"/>
      <w:r>
        <w:rPr>
          <w:rStyle w:val="CommentReference"/>
        </w:rPr>
        <w:commentReference w:id="4"/>
      </w:r>
      <w:bookmarkStart w:id="5" w:name="_Hlk20530103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77"/>
        <w:gridCol w:w="849"/>
        <w:gridCol w:w="847"/>
        <w:gridCol w:w="847"/>
        <w:gridCol w:w="847"/>
        <w:gridCol w:w="849"/>
        <w:gridCol w:w="849"/>
        <w:gridCol w:w="849"/>
        <w:gridCol w:w="847"/>
        <w:gridCol w:w="847"/>
        <w:gridCol w:w="847"/>
      </w:tblGrid>
      <w:tr w:rsidR="00B971BE" w14:paraId="18822C8D" w14:textId="77777777" w:rsidTr="007046FC">
        <w:trPr>
          <w:cantSplit/>
        </w:trPr>
        <w:tc>
          <w:tcPr>
            <w:tcW w:w="877" w:type="dxa"/>
          </w:tcPr>
          <w:p w14:paraId="4C36F901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bookmarkStart w:id="6" w:name="_Hlk202261750"/>
            <w:r w:rsidRPr="00CD1C60">
              <w:rPr>
                <w:rFonts w:cstheme="minorHAnsi"/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849" w:type="dxa"/>
          </w:tcPr>
          <w:p w14:paraId="73FB8828" w14:textId="77777777" w:rsidR="00B971BE" w:rsidRPr="001D5A1C" w:rsidRDefault="00B971BE" w:rsidP="007046FC">
            <w:pPr>
              <w:jc w:val="center"/>
              <w:rPr>
                <w:b/>
                <w:bCs/>
                <w:sz w:val="18"/>
                <w:szCs w:val="18"/>
              </w:rPr>
            </w:pPr>
            <w:r w:rsidRPr="0051038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541" w:type="dxa"/>
            <w:gridSpan w:val="3"/>
          </w:tcPr>
          <w:p w14:paraId="13A35CD9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Proportion Age 55+</w:t>
            </w:r>
          </w:p>
        </w:tc>
        <w:tc>
          <w:tcPr>
            <w:tcW w:w="2547" w:type="dxa"/>
            <w:gridSpan w:val="3"/>
          </w:tcPr>
          <w:p w14:paraId="7D2D9D1C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Number Age 55+</w:t>
            </w:r>
          </w:p>
        </w:tc>
        <w:tc>
          <w:tcPr>
            <w:tcW w:w="2541" w:type="dxa"/>
            <w:gridSpan w:val="3"/>
          </w:tcPr>
          <w:p w14:paraId="59F148C9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Median Age</w:t>
            </w:r>
          </w:p>
        </w:tc>
      </w:tr>
      <w:tr w:rsidR="00B971BE" w14:paraId="338D1C1E" w14:textId="77777777" w:rsidTr="007046FC">
        <w:tc>
          <w:tcPr>
            <w:tcW w:w="877" w:type="dxa"/>
          </w:tcPr>
          <w:p w14:paraId="54F3D56B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49" w:type="dxa"/>
          </w:tcPr>
          <w:p w14:paraId="294F4C8E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62389F87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314CE3DF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7" w:type="dxa"/>
          </w:tcPr>
          <w:p w14:paraId="6DCEB614" w14:textId="77777777" w:rsidR="00B971BE" w:rsidRPr="001D5A1C" w:rsidRDefault="00B971BE" w:rsidP="007046FC">
            <w:pPr>
              <w:jc w:val="center"/>
              <w:rPr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  <w:tc>
          <w:tcPr>
            <w:tcW w:w="849" w:type="dxa"/>
          </w:tcPr>
          <w:p w14:paraId="2E2C15D4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9" w:type="dxa"/>
          </w:tcPr>
          <w:p w14:paraId="6C4E2388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9" w:type="dxa"/>
          </w:tcPr>
          <w:p w14:paraId="0CB5F71E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  <w:tc>
          <w:tcPr>
            <w:tcW w:w="847" w:type="dxa"/>
          </w:tcPr>
          <w:p w14:paraId="3BD60427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1C6A263C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7" w:type="dxa"/>
          </w:tcPr>
          <w:p w14:paraId="2F498C03" w14:textId="77777777" w:rsidR="00B971BE" w:rsidRPr="003231CA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</w:tr>
      <w:tr w:rsidR="00B971BE" w14:paraId="155B8168" w14:textId="77777777" w:rsidTr="007046FC">
        <w:tc>
          <w:tcPr>
            <w:tcW w:w="877" w:type="dxa"/>
            <w:vMerge w:val="restart"/>
          </w:tcPr>
          <w:p w14:paraId="477C7A3F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CA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D6AAA7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140,514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5019659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50%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95A9EE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48EF05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17%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1AA70D2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70,024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15B058F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89,408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29513C9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19,384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C8D5BC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460761C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43EB96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</w:t>
            </w:r>
          </w:p>
        </w:tc>
      </w:tr>
      <w:tr w:rsidR="00B971BE" w14:paraId="774D0728" w14:textId="77777777" w:rsidTr="007046FC">
        <w:tc>
          <w:tcPr>
            <w:tcW w:w="877" w:type="dxa"/>
            <w:vMerge/>
          </w:tcPr>
          <w:p w14:paraId="72803637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BACC81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6E856B7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0F7925F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[59 to 75%]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5B1B43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7D5B931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[65,956 to 74,277]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3D27F0B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[78,383 to 100,109]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404B72D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[11,274 to 27,031]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298105A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[52 to 56]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55C1F0C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[63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0C3F668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 to 16]</w:t>
            </w:r>
          </w:p>
        </w:tc>
      </w:tr>
      <w:tr w:rsidR="00B971BE" w14:paraId="4B6604E4" w14:textId="77777777" w:rsidTr="007046FC">
        <w:tc>
          <w:tcPr>
            <w:tcW w:w="877" w:type="dxa"/>
            <w:vMerge w:val="restart"/>
          </w:tcPr>
          <w:p w14:paraId="6118799F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FL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2FEBEC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126,261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1E98EF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51%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781F70A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9329BD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5591A18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64,700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4EEEC61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91,496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3932E2A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26,796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702D3F1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12DB025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76F5B67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</w:t>
            </w:r>
          </w:p>
        </w:tc>
      </w:tr>
      <w:tr w:rsidR="00B971BE" w14:paraId="229EF4A2" w14:textId="77777777" w:rsidTr="007046FC">
        <w:tc>
          <w:tcPr>
            <w:tcW w:w="877" w:type="dxa"/>
            <w:vMerge/>
          </w:tcPr>
          <w:p w14:paraId="23D67CDD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681028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4E4BB40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[48 to 54%]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4945BA5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[56 to 75%]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130B9BD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 to 22%]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3F664BF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[61,181 to 68,566]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527D19C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[80,767 to 106,063]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2453837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[18,299 to 37,780]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32E8778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[53 to 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1B3F42F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[60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64F83F3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14]</w:t>
            </w:r>
          </w:p>
        </w:tc>
      </w:tr>
      <w:tr w:rsidR="00B971BE" w14:paraId="5D587D78" w14:textId="77777777" w:rsidTr="007046FC">
        <w:tc>
          <w:tcPr>
            <w:tcW w:w="877" w:type="dxa"/>
            <w:vMerge w:val="restart"/>
          </w:tcPr>
          <w:p w14:paraId="471BACCA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NY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BC0953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122,642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7629B5B9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392D6A6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1E56BB9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0066899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68,852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78B9062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74,912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6D2DC4A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6,060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0FDE5BF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607BD59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09BE1C8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</w:t>
            </w:r>
          </w:p>
        </w:tc>
      </w:tr>
      <w:tr w:rsidR="00B971BE" w14:paraId="7D7572F5" w14:textId="77777777" w:rsidTr="007046FC">
        <w:tc>
          <w:tcPr>
            <w:tcW w:w="877" w:type="dxa"/>
            <w:vMerge/>
          </w:tcPr>
          <w:p w14:paraId="26D2410F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B16957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5C70FF3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[54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75FB22D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[58 to 72%]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3E75623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 to 16%]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38466BA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[65,678 to 71,994]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009C563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[66,824 to 84,789]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08A5059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[-676 to 14,310]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3DD4BB9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[57 to 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252C67C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[63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3395309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11]</w:t>
            </w:r>
          </w:p>
        </w:tc>
      </w:tr>
      <w:tr w:rsidR="00B971BE" w14:paraId="34544EEA" w14:textId="77777777" w:rsidTr="007046FC">
        <w:tc>
          <w:tcPr>
            <w:tcW w:w="877" w:type="dxa"/>
            <w:vMerge w:val="restart"/>
          </w:tcPr>
          <w:p w14:paraId="1DC80F00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EF43F5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107,200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1B2F3D0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7E46285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64874F4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35FA1CC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38,685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572FF0E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59,400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65391D7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20,715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5B2B3DE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24F1EC0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6FF8BC1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</w:t>
            </w:r>
          </w:p>
        </w:tc>
      </w:tr>
      <w:tr w:rsidR="00B971BE" w14:paraId="560E0B43" w14:textId="77777777" w:rsidTr="007046FC">
        <w:tc>
          <w:tcPr>
            <w:tcW w:w="877" w:type="dxa"/>
            <w:vMerge/>
          </w:tcPr>
          <w:p w14:paraId="21644665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EED4CF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10AD482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[34 to 38%]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62B636D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[39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0362D02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 to 20%]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00D8B0F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[35,915 to 41,236]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140A38D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[50,022 to 71,931]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6734728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[13,258 to 31,171]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621A1D7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1EE82E0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[42 to 61]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4C39877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14]</w:t>
            </w:r>
          </w:p>
        </w:tc>
      </w:tr>
      <w:tr w:rsidR="00B971BE" w14:paraId="38A2A5D7" w14:textId="77777777" w:rsidTr="007046FC">
        <w:tc>
          <w:tcPr>
            <w:tcW w:w="877" w:type="dxa"/>
            <w:vMerge w:val="restart"/>
          </w:tcPr>
          <w:p w14:paraId="73D2E3ED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GA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C7EEC1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63,841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2C3404E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62ACBD99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17F292D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4FF7158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23,875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5502697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32,831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58959AC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8,957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7E5FB13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381F4F0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242849C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B971BE" w14:paraId="0567AB2E" w14:textId="77777777" w:rsidTr="007046FC">
        <w:tc>
          <w:tcPr>
            <w:tcW w:w="877" w:type="dxa"/>
            <w:vMerge/>
          </w:tcPr>
          <w:p w14:paraId="52C10770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24747D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139B585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[34 to 41%]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4998267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6D098E6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[-1 to 17%]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22A9156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[21,933 to 26,114]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4BA7FB4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[25,816 to 39,222]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0660606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[3,603 to 14,183]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3A5E7E4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[44 to 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561F01C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[41 to 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7E93C13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[-4 to 17]</w:t>
            </w:r>
          </w:p>
        </w:tc>
      </w:tr>
      <w:tr w:rsidR="00B971BE" w14:paraId="0B076C69" w14:textId="77777777" w:rsidTr="007046FC">
        <w:tc>
          <w:tcPr>
            <w:tcW w:w="877" w:type="dxa"/>
            <w:vMerge w:val="restart"/>
          </w:tcPr>
          <w:p w14:paraId="751EBBAE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IL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712F65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35,682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D81A32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215CDB7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25B7AF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0A88DAF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15,209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3F4577B9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17,807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670EC8F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2,598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3D3FA0D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4D092E8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744B624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</w:t>
            </w:r>
          </w:p>
        </w:tc>
      </w:tr>
      <w:tr w:rsidR="00B971BE" w14:paraId="4297C566" w14:textId="77777777" w:rsidTr="007046FC">
        <w:tc>
          <w:tcPr>
            <w:tcW w:w="877" w:type="dxa"/>
            <w:vMerge/>
          </w:tcPr>
          <w:p w14:paraId="36D6A76D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3E1CBA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84F85D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46%]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4DCE425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70%]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7CD447D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76D4F87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[14,206 to 16,345]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634BF24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[15,471 to 20,933]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739A3E9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[516 to 4,859]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7F5F4A6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05B5D92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68]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2C57E27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[-2 to 18]</w:t>
            </w:r>
          </w:p>
        </w:tc>
      </w:tr>
      <w:tr w:rsidR="00B971BE" w14:paraId="68007BD8" w14:textId="77777777" w:rsidTr="007046FC">
        <w:tc>
          <w:tcPr>
            <w:tcW w:w="877" w:type="dxa"/>
            <w:vMerge w:val="restart"/>
          </w:tcPr>
          <w:p w14:paraId="537CAF8C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LA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167715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22,298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2874DF0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39%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269C7B6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52%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5C36641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2DABED5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8,637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37BC70D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12,937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5342440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4,299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3038521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7BB1901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65F0F55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</w:t>
            </w:r>
          </w:p>
        </w:tc>
      </w:tr>
      <w:tr w:rsidR="00B971BE" w14:paraId="21F1E343" w14:textId="77777777" w:rsidTr="007046FC">
        <w:tc>
          <w:tcPr>
            <w:tcW w:w="877" w:type="dxa"/>
            <w:vMerge/>
          </w:tcPr>
          <w:p w14:paraId="759BEF9F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A44A50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367B66D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[36 to 42%]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37251E99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65%]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26139AE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592AD9D9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[7,909 to 9,406]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5BF447A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[10,189 to 16,089]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456E9CA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[2,252 to 6,750]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3F7B8BB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01AC441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65]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48BD51A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17]</w:t>
            </w:r>
          </w:p>
        </w:tc>
      </w:tr>
      <w:tr w:rsidR="00B971BE" w14:paraId="185203D3" w14:textId="77777777" w:rsidTr="007046FC">
        <w:tc>
          <w:tcPr>
            <w:tcW w:w="877" w:type="dxa"/>
            <w:vMerge w:val="restart"/>
          </w:tcPr>
          <w:p w14:paraId="57A85449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FB6514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15,021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40590C0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333020E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586BBB2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7F8851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541691B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6,150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00E18CA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1,105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67DC99D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15076E8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5929168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-3</w:t>
            </w:r>
          </w:p>
        </w:tc>
      </w:tr>
      <w:tr w:rsidR="00B971BE" w14:paraId="27D86D6A" w14:textId="77777777" w:rsidTr="007046FC">
        <w:tc>
          <w:tcPr>
            <w:tcW w:w="877" w:type="dxa"/>
            <w:vMerge/>
          </w:tcPr>
          <w:p w14:paraId="1D6973C5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18B164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7FE3314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[30 to 37%]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49E58E1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[25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0689BFF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 to 10%]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6D96EB0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[4,570 to 5,474]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51C36C7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[4,767 to 8,168]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51260ED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2,886]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3C142B9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6CDA1A3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062DD88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[-5 to 1]</w:t>
            </w:r>
          </w:p>
        </w:tc>
      </w:tr>
      <w:tr w:rsidR="00B971BE" w14:paraId="7B1E619E" w14:textId="77777777" w:rsidTr="007046FC">
        <w:tc>
          <w:tcPr>
            <w:tcW w:w="877" w:type="dxa"/>
            <w:vMerge w:val="restart"/>
          </w:tcPr>
          <w:p w14:paraId="34EA4217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MO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9F64A3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13,812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188AF6D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262CEA3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2422958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5DCF297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5,964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F75C63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7,366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14430B79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1,402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6B1BD76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262472D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5F55D6C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</w:t>
            </w:r>
          </w:p>
        </w:tc>
      </w:tr>
      <w:tr w:rsidR="00B971BE" w14:paraId="538B778C" w14:textId="77777777" w:rsidTr="007046FC">
        <w:tc>
          <w:tcPr>
            <w:tcW w:w="877" w:type="dxa"/>
            <w:vMerge/>
          </w:tcPr>
          <w:p w14:paraId="5793E0DC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F26388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58528BD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71CCD02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59%]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5959BEA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[-5 to 14%]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2F41B41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[5,473 to 6,456]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49C67FD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[6,015 to 8,672]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5F23B5F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[429 to 2,381]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7808DAE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06C2109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[39 to 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5E03D19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[-8 to 14]</w:t>
            </w:r>
          </w:p>
        </w:tc>
      </w:tr>
      <w:tr w:rsidR="00B971BE" w14:paraId="45E0F975" w14:textId="77777777" w:rsidTr="007046FC">
        <w:tc>
          <w:tcPr>
            <w:tcW w:w="877" w:type="dxa"/>
            <w:vMerge w:val="restart"/>
          </w:tcPr>
          <w:p w14:paraId="287627D4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7E2AE0E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10,154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2E3C383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38%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5745436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173709A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357A199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3,853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2834B27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5,292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08AF355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1,439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49DB6E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17E782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BD4983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B971BE" w14:paraId="7C9B398E" w14:textId="77777777" w:rsidTr="007046FC">
        <w:tc>
          <w:tcPr>
            <w:tcW w:w="877" w:type="dxa"/>
            <w:vMerge/>
          </w:tcPr>
          <w:p w14:paraId="62CED82A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447BB3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3EE625C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41%]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1E43A28D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23BFC69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 to 13%]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0F32D17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[3,532 to 4,172]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2B99D18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[4,325 to 6,461]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47086DC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[744 to 2,342]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968528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23383E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D56F90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10]</w:t>
            </w:r>
          </w:p>
        </w:tc>
      </w:tr>
      <w:tr w:rsidR="00B971BE" w14:paraId="4043BBDF" w14:textId="77777777" w:rsidTr="007046FC">
        <w:tc>
          <w:tcPr>
            <w:tcW w:w="877" w:type="dxa"/>
            <w:vMerge w:val="restart"/>
          </w:tcPr>
          <w:p w14:paraId="69FC0481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WI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445B5E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7,259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015F83F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4856143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29523D0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52FBF994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3,185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27A279E9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4,221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1F2B9CA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1,036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6724ED8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0EB87B5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56601CF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-7</w:t>
            </w:r>
          </w:p>
        </w:tc>
      </w:tr>
      <w:tr w:rsidR="00B971BE" w14:paraId="2CD953A7" w14:textId="77777777" w:rsidTr="007046FC">
        <w:tc>
          <w:tcPr>
            <w:tcW w:w="877" w:type="dxa"/>
            <w:vMerge/>
          </w:tcPr>
          <w:p w14:paraId="018B1DD3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103E9E3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1E309930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[41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49717EB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[37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2216CF68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 to 7%]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601F809A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[2,976 to 3,409]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3957A26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[3,700 to 4,774]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087BD45B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[664 to 1,461]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118E64A7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1EB819FC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17C99EAF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[-10 to 10]</w:t>
            </w:r>
          </w:p>
        </w:tc>
      </w:tr>
      <w:tr w:rsidR="00B971BE" w14:paraId="5902B25E" w14:textId="77777777" w:rsidTr="007046FC">
        <w:tc>
          <w:tcPr>
            <w:tcW w:w="877" w:type="dxa"/>
            <w:vMerge w:val="restart"/>
          </w:tcPr>
          <w:p w14:paraId="286AEA5D" w14:textId="77777777" w:rsidR="00B971BE" w:rsidRPr="00DD7A56" w:rsidRDefault="00B971BE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Total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8ADAA35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664,684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2967847A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03521244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7E937B4A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AEDB5C0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308,028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0C627EDD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401,820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9A99E5B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93,791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3B2CDA22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42B9125C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51021C40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</w:t>
            </w:r>
          </w:p>
        </w:tc>
      </w:tr>
      <w:tr w:rsidR="00B971BE" w14:paraId="5689C7B8" w14:textId="77777777" w:rsidTr="007046FC">
        <w:tc>
          <w:tcPr>
            <w:tcW w:w="877" w:type="dxa"/>
            <w:vMerge/>
          </w:tcPr>
          <w:p w14:paraId="5781A84C" w14:textId="77777777" w:rsidR="00B971BE" w:rsidRPr="00E65750" w:rsidRDefault="00B971BE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42257E2" w14:textId="77777777" w:rsidR="00B971BE" w:rsidRPr="00DB689B" w:rsidRDefault="00B971BE" w:rsidP="007046FC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54923EA2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0979BC46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[54 to 60%]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1E3880BB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[8 to 14%]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8AF3B5B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[301,733 to 314,764]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584FF73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[379,206 to 425,756]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0A48E67A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[75,052 to 113,903]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29BE8800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[51 to 52]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0D742BE3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[58 to 63]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3CC46CAC" w14:textId="77777777" w:rsidR="00B971BE" w:rsidRPr="00DB689B" w:rsidRDefault="00B971BE" w:rsidP="007046FC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 to 12]</w:t>
            </w:r>
          </w:p>
        </w:tc>
      </w:tr>
      <w:bookmarkEnd w:id="6"/>
    </w:tbl>
    <w:p w14:paraId="73B46749" w14:textId="218C6AA6" w:rsidR="00B971BE" w:rsidRDefault="00B971BE"/>
    <w:p w14:paraId="22E4321B" w14:textId="4FFA1AB5" w:rsidR="00B971BE" w:rsidRDefault="00B971BE">
      <w:r>
        <w:t xml:space="preserve">Figure </w:t>
      </w:r>
      <w:r w:rsidR="009A665D">
        <w:t>1</w:t>
      </w:r>
      <w:r>
        <w:t>. Diagnosed prevalence projections by state.</w:t>
      </w:r>
    </w:p>
    <w:p w14:paraId="37F15638" w14:textId="03A48662" w:rsidR="009A665D" w:rsidRDefault="009A665D">
      <w:bookmarkStart w:id="7" w:name="_Hlk205301918"/>
      <w:bookmarkEnd w:id="5"/>
      <w:r>
        <w:rPr>
          <w:noProof/>
        </w:rPr>
        <w:drawing>
          <wp:inline distT="0" distB="0" distL="0" distR="0" wp14:anchorId="57FA96C9" wp14:editId="43777FB3">
            <wp:extent cx="5886450" cy="4748591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596" cy="477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410ED" w14:textId="171372E5" w:rsidR="009A665D" w:rsidRDefault="009A665D">
      <w:r>
        <w:t>Figure 2. Diagnosed prevalence projections stratified by age group.</w:t>
      </w:r>
    </w:p>
    <w:p w14:paraId="0B81F900" w14:textId="188795E3" w:rsidR="00D66D85" w:rsidRPr="00534DFC" w:rsidRDefault="00B971BE">
      <w:bookmarkStart w:id="8" w:name="_Hlk205301067"/>
      <w:bookmarkEnd w:id="7"/>
      <w:commentRangeStart w:id="9"/>
      <w:r>
        <w:t>The model projected the total number of PLWH age 55+ in the region to rise by 93,791 (CI: 75,052 to 113,903) between 2025 and 2040</w:t>
      </w:r>
      <w:commentRangeEnd w:id="9"/>
      <w:r w:rsidR="00D66D85">
        <w:rPr>
          <w:rStyle w:val="CommentReference"/>
        </w:rPr>
        <w:commentReference w:id="9"/>
      </w:r>
      <w:r w:rsidR="00042801">
        <w:t>, an approximately 30% increase</w:t>
      </w:r>
      <w:r>
        <w:t xml:space="preserve">. The proportion of PLWH who </w:t>
      </w:r>
      <w:proofErr w:type="gramStart"/>
      <w:r>
        <w:t>are age 55</w:t>
      </w:r>
      <w:proofErr w:type="gramEnd"/>
      <w:r>
        <w:t>+ was projected to rise by 11 percentage points from just under half of the diagnosed population (46%; CI: 45 to 47%) to 57% of the diagnosed population (CI: 54 to 60%). The median age of PLWH in the region was projected to rise by 10 years (CI: 7 to 12).</w:t>
      </w:r>
      <w:r w:rsidR="00D66D85">
        <w:t xml:space="preserve"> </w:t>
      </w:r>
      <w:r w:rsidR="00534DFC">
        <w:t xml:space="preserve">The proportion of </w:t>
      </w:r>
      <w:r w:rsidR="00393B8D">
        <w:t xml:space="preserve">MSM who </w:t>
      </w:r>
      <w:proofErr w:type="gramStart"/>
      <w:r w:rsidR="00393B8D">
        <w:t>are 55</w:t>
      </w:r>
      <w:proofErr w:type="gramEnd"/>
      <w:r w:rsidR="00393B8D">
        <w:t xml:space="preserve">+ was projected to increase from 43% (CI: 41 to 44%) in 2025 to 53% (CI: 49 to 58%) in 2040, while the same proportion </w:t>
      </w:r>
      <w:r w:rsidR="00393B8D">
        <w:lastRenderedPageBreak/>
        <w:t>for non-MSM individuals began and remained higher, rising from 53% (CI: 52 to 55%)</w:t>
      </w:r>
      <w:r w:rsidR="00F87D4F">
        <w:t xml:space="preserve"> in 2025 </w:t>
      </w:r>
      <w:r w:rsidR="00393B8D">
        <w:t>to 65% (CI: 60 to 70%)</w:t>
      </w:r>
      <w:r w:rsidR="00F87D4F">
        <w:t xml:space="preserve"> in 2040</w:t>
      </w:r>
      <w:r w:rsidR="00393B8D">
        <w:t xml:space="preserve">. </w:t>
      </w:r>
      <w:commentRangeStart w:id="10"/>
      <w:r w:rsidR="00393B8D">
        <w:t xml:space="preserve">Among our three modeled racial categories, “Black” and “Hispanic” began younger than “Other”, but all three aged significantly. The proportion of Black individuals who are 55+ was projected to rise from 41% (CI: 40 to 43%) in 2025 to </w:t>
      </w:r>
      <w:r w:rsidR="007C2790">
        <w:t xml:space="preserve">50% (CI: 46 to 55%) in 2040, while the </w:t>
      </w:r>
      <w:r w:rsidR="00042801">
        <w:t>similar proportion</w:t>
      </w:r>
      <w:r w:rsidR="007C2790">
        <w:t xml:space="preserve"> for Hispanic individuals was projected to rise from 42% (CI: 40 to 45%) in 2025 to 59% (52 to 66%) in 2040, and for Other</w:t>
      </w:r>
      <w:r w:rsidR="004B5E5B">
        <w:t xml:space="preserve"> race</w:t>
      </w:r>
      <w:r w:rsidR="007C2790">
        <w:t xml:space="preserve"> individuals</w:t>
      </w:r>
      <w:r w:rsidR="004F52C8">
        <w:t>,</w:t>
      </w:r>
      <w:r w:rsidR="007C2790">
        <w:t xml:space="preserve"> from 59% (CI: 57 to 60%) in 2025 to 66% (CI: 62 to 70%) in </w:t>
      </w:r>
      <w:commentRangeStart w:id="11"/>
      <w:r w:rsidR="007C2790">
        <w:t>2040</w:t>
      </w:r>
      <w:commentRangeEnd w:id="11"/>
      <w:r w:rsidR="009843DF">
        <w:rPr>
          <w:rStyle w:val="CommentReference"/>
        </w:rPr>
        <w:commentReference w:id="11"/>
      </w:r>
      <w:r w:rsidR="007C2790">
        <w:t>.</w:t>
      </w:r>
      <w:commentRangeEnd w:id="10"/>
      <w:r w:rsidR="009843DF">
        <w:rPr>
          <w:rStyle w:val="CommentReference"/>
        </w:rPr>
        <w:commentReference w:id="10"/>
      </w:r>
    </w:p>
    <w:p w14:paraId="367763B5" w14:textId="73E08C1A" w:rsidR="00B971BE" w:rsidRDefault="00FB5F87">
      <w:r>
        <w:t xml:space="preserve">Most states projected aging populations, although there was some variation. </w:t>
      </w:r>
      <w:bookmarkStart w:id="12" w:name="_Hlk203046829"/>
      <w:r>
        <w:t xml:space="preserve">California, which currently has the highest number of diagnosed </w:t>
      </w:r>
      <w:r w:rsidR="007514D4">
        <w:t>cas</w:t>
      </w:r>
      <w:r>
        <w:t>es</w:t>
      </w:r>
      <w:r w:rsidR="007514D4">
        <w:t xml:space="preserve"> within the eleven states,</w:t>
      </w:r>
      <w:r>
        <w:t xml:space="preserve"> aged the most, with </w:t>
      </w:r>
      <w:r w:rsidR="0017499C">
        <w:t>the</w:t>
      </w:r>
      <w:r>
        <w:t xml:space="preserve"> proportion of PLWH age 55+ rising by 17 percentage points (CI: 11 to 24) and median age shifting 13 years older (CI: 11 to 16)</w:t>
      </w:r>
      <w:bookmarkEnd w:id="12"/>
      <w:r>
        <w:t xml:space="preserve">. </w:t>
      </w:r>
      <w:commentRangeStart w:id="13"/>
      <w:r>
        <w:t>Florida and Illinois aged nearly as much</w:t>
      </w:r>
      <w:commentRangeEnd w:id="13"/>
      <w:r w:rsidR="00D66D85">
        <w:rPr>
          <w:rStyle w:val="CommentReference"/>
        </w:rPr>
        <w:commentReference w:id="13"/>
      </w:r>
      <w:r w:rsidR="0086114C">
        <w:t>, with the proportion age 55+ rising by 14% (CI: 7 to 22%) and 14% (CI: 6 to 24%), respectively</w:t>
      </w:r>
      <w:r>
        <w:t xml:space="preserve">. </w:t>
      </w:r>
      <w:bookmarkStart w:id="14" w:name="_Hlk203046876"/>
      <w:r>
        <w:t>By contrast, Alabama and Wisconsin’s populations of PLWH were not projected to age, with the proportion age 55+ staying nearly constant (AL: -1%, CI -6 to 10%; WI: -1%, CI -6 to 7%) and median age decreasing</w:t>
      </w:r>
      <w:r w:rsidR="005D3158">
        <w:t xml:space="preserve"> by</w:t>
      </w:r>
      <w:r>
        <w:t xml:space="preserve"> a few years (AL: -3, CI -5 to 1; WI: -7; CI -10 to 10).</w:t>
      </w:r>
      <w:r w:rsidR="004B5E5B">
        <w:t xml:space="preserve"> </w:t>
      </w:r>
      <w:bookmarkEnd w:id="14"/>
      <w:r w:rsidR="004B5E5B">
        <w:t xml:space="preserve">Most states showed a persistently bimodal age distribution, with </w:t>
      </w:r>
      <w:proofErr w:type="gramStart"/>
      <w:r w:rsidR="004B5E5B">
        <w:t>the majority of</w:t>
      </w:r>
      <w:proofErr w:type="gramEnd"/>
      <w:r w:rsidR="004B5E5B">
        <w:t xml:space="preserve"> prevalent cases existing in either the 55+ or 35-44 year</w:t>
      </w:r>
      <w:r w:rsidR="00F66ADE">
        <w:t>s</w:t>
      </w:r>
      <w:r w:rsidR="004B5E5B">
        <w:t xml:space="preserve"> age categories (Fig 2). Wisconsin was an exception, with 25-34 years becoming the second-largest age category by 2040 with </w:t>
      </w:r>
      <w:r w:rsidR="008557F5">
        <w:t>32% of prevalent cases.</w:t>
      </w:r>
      <w:bookmarkEnd w:id="8"/>
      <w:r w:rsidR="00DC29D3">
        <w:softHyphen/>
      </w:r>
      <w:r w:rsidR="00DC29D3">
        <w:softHyphen/>
      </w:r>
    </w:p>
    <w:p w14:paraId="2169C4D8" w14:textId="67026E0A" w:rsidR="00D66D85" w:rsidRDefault="00D66D85">
      <w:r>
        <w:rPr>
          <w:i/>
          <w:iCs/>
        </w:rPr>
        <w:t>Sensitivity analyses explaining state variation</w:t>
      </w:r>
      <w:r w:rsidR="009843DF">
        <w:t xml:space="preserve"> </w:t>
      </w:r>
    </w:p>
    <w:p w14:paraId="719CF816" w14:textId="77777777" w:rsidR="00EB4E2A" w:rsidRDefault="00EB4E2A"/>
    <w:p w14:paraId="7637D69B" w14:textId="77777777" w:rsidR="00EB4E2A" w:rsidRDefault="00EB4E2A"/>
    <w:p w14:paraId="0895DB23" w14:textId="64CC5A9E" w:rsidR="00EB4E2A" w:rsidRDefault="00EB4E2A">
      <w:r>
        <w:t>Total: 665,000 (CR: 658,000 to 671,000) in 2025 to 702,000 (CR: 673,000 to 726,000) in 2040.</w:t>
      </w:r>
    </w:p>
    <w:p w14:paraId="5D57DF02" w14:textId="6E41F8A6" w:rsidR="00EB4E2A" w:rsidRDefault="00EB4E2A">
      <w:bookmarkStart w:id="15" w:name="_Hlk204158851"/>
      <w:r>
        <w:t>The model project</w:t>
      </w:r>
      <w:r w:rsidR="00133C05">
        <w:t>ed</w:t>
      </w:r>
      <w:r>
        <w:t xml:space="preserve"> the number of PLWDH in the 11-state region</w:t>
      </w:r>
      <w:r w:rsidR="00133C05">
        <w:t xml:space="preserve"> to rise from </w:t>
      </w:r>
      <w:r w:rsidR="00133C05">
        <w:t>665,000 (CR: 658,000 to 671,000) in 2025 to 702,000 (CR: 673,000 to 726,000) in 2040</w:t>
      </w:r>
      <w:r w:rsidR="00133C05">
        <w:t xml:space="preserve">, of which those over the age of 55 years numbered 308,000 (CR: 302,000 to 315,000) in 2025 and 402,000 (CR: 379,000 to 326,000) in 2040. This reflected an increase in the proportion of PLWDH who are aged 55 or old from 46% (CR: 45 to 47%) in 2025 to 57% (CR: 54 to 60%) in 2040 and a shift in median age of PLWDH from </w:t>
      </w:r>
      <w:r w:rsidR="00133C05">
        <w:t>51 years (CR: 51 to 52) to 61 years (CI: 58 to 63)</w:t>
      </w:r>
      <w:r w:rsidR="00133C05">
        <w:t>.</w:t>
      </w:r>
      <w:bookmarkEnd w:id="15"/>
    </w:p>
    <w:p w14:paraId="24583F0F" w14:textId="77777777" w:rsidR="00456F00" w:rsidRDefault="00456F00"/>
    <w:p w14:paraId="5BBACFB6" w14:textId="00BDE8CA" w:rsidR="00456F00" w:rsidRDefault="00456F00">
      <w:r>
        <w:t>Discussion:</w:t>
      </w:r>
    </w:p>
    <w:p w14:paraId="39BE2376" w14:textId="642BFB5A" w:rsidR="00456F00" w:rsidRDefault="00456F00">
      <w:r>
        <w:t>P1 is a summary of main results.</w:t>
      </w:r>
    </w:p>
    <w:p w14:paraId="08F71C3A" w14:textId="5B1FC432" w:rsidR="00456F00" w:rsidRDefault="00456F00">
      <w:r>
        <w:t>Middling paragraphs situate it in context of other papers</w:t>
      </w:r>
    </w:p>
    <w:p w14:paraId="35EBA895" w14:textId="41DF1294" w:rsidR="00456F00" w:rsidRDefault="00456F00">
      <w:r>
        <w:t>P on limitations</w:t>
      </w:r>
    </w:p>
    <w:p w14:paraId="00BB5475" w14:textId="4E896ED4" w:rsidR="00456F00" w:rsidRDefault="00456F00">
      <w:r>
        <w:t>P on strengths (usually smaller than limitations)</w:t>
      </w:r>
    </w:p>
    <w:p w14:paraId="42C32E1F" w14:textId="4176D0C4" w:rsidR="00456F00" w:rsidRPr="009843DF" w:rsidRDefault="00456F00">
      <w:proofErr w:type="spellStart"/>
      <w:r>
        <w:t>PLast</w:t>
      </w:r>
      <w:proofErr w:type="spellEnd"/>
      <w:r>
        <w:t xml:space="preserve"> is an even briefer summary with a punchy ending of the significance.</w:t>
      </w:r>
    </w:p>
    <w:sectPr w:rsidR="00456F00" w:rsidRPr="0098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Andrew Zalesak" w:date="2025-07-10T10:07:00Z" w:initials="AZ">
    <w:p w14:paraId="67E6DABC" w14:textId="77777777" w:rsidR="004F0700" w:rsidRDefault="004F0700" w:rsidP="004F0700">
      <w:pPr>
        <w:autoSpaceDE w:val="0"/>
        <w:autoSpaceDN w:val="0"/>
        <w:adjustRightInd w:val="0"/>
        <w:spacing w:after="0" w:line="240" w:lineRule="auto"/>
        <w:rPr>
          <w:rFonts w:ascii="AdvPACF3" w:hAnsi="AdvPACF3" w:cs="AdvPACF3"/>
          <w:sz w:val="16"/>
          <w:szCs w:val="16"/>
        </w:rPr>
      </w:pPr>
      <w:r>
        <w:rPr>
          <w:rStyle w:val="CommentReference"/>
        </w:rPr>
        <w:annotationRef/>
      </w:r>
      <w:r>
        <w:rPr>
          <w:rFonts w:ascii="AdvPACF3" w:hAnsi="AdvPACF3" w:cs="AdvPACF3"/>
          <w:sz w:val="16"/>
          <w:szCs w:val="16"/>
        </w:rPr>
        <w:t>Samji H, Cescon A, Hogg RS, Modur SP, Althoff KN, Buchacz K,</w:t>
      </w:r>
    </w:p>
    <w:p w14:paraId="1E625702" w14:textId="77777777" w:rsidR="004F0700" w:rsidRDefault="004F0700" w:rsidP="004F0700">
      <w:pPr>
        <w:autoSpaceDE w:val="0"/>
        <w:autoSpaceDN w:val="0"/>
        <w:adjustRightInd w:val="0"/>
        <w:spacing w:after="0" w:line="240" w:lineRule="auto"/>
        <w:rPr>
          <w:rFonts w:ascii="AdvPAC4C" w:hAnsi="AdvPAC4C" w:cs="AdvPAC4C"/>
          <w:sz w:val="16"/>
          <w:szCs w:val="16"/>
        </w:rPr>
      </w:pPr>
      <w:r>
        <w:rPr>
          <w:rFonts w:ascii="AdvPAC4D" w:hAnsi="AdvPAC4D" w:cs="AdvPAC4D"/>
          <w:sz w:val="16"/>
          <w:szCs w:val="16"/>
        </w:rPr>
        <w:t>et al</w:t>
      </w:r>
      <w:r>
        <w:rPr>
          <w:rFonts w:ascii="AdvPACF3" w:hAnsi="AdvPACF3" w:cs="AdvPACF3"/>
          <w:sz w:val="16"/>
          <w:szCs w:val="16"/>
        </w:rPr>
        <w:t xml:space="preserve">. </w:t>
      </w:r>
      <w:r>
        <w:rPr>
          <w:rFonts w:ascii="AdvPAC4C" w:hAnsi="AdvPAC4C" w:cs="AdvPAC4C"/>
          <w:sz w:val="16"/>
          <w:szCs w:val="16"/>
        </w:rPr>
        <w:t>Closing the gap: increases in life expectancy among treated</w:t>
      </w:r>
    </w:p>
    <w:p w14:paraId="3DB0B31B" w14:textId="77777777" w:rsidR="004F0700" w:rsidRDefault="004F0700" w:rsidP="004F0700">
      <w:pPr>
        <w:autoSpaceDE w:val="0"/>
        <w:autoSpaceDN w:val="0"/>
        <w:adjustRightInd w:val="0"/>
        <w:spacing w:after="0" w:line="240" w:lineRule="auto"/>
        <w:rPr>
          <w:rFonts w:ascii="AdvPAC4D" w:hAnsi="AdvPAC4D" w:cs="AdvPAC4D"/>
          <w:sz w:val="16"/>
          <w:szCs w:val="16"/>
        </w:rPr>
      </w:pPr>
      <w:r>
        <w:rPr>
          <w:rFonts w:ascii="AdvPAC4C" w:hAnsi="AdvPAC4C" w:cs="AdvPAC4C"/>
          <w:sz w:val="16"/>
          <w:szCs w:val="16"/>
        </w:rPr>
        <w:t xml:space="preserve">HIV-positive individuals in the United States and Canada. </w:t>
      </w:r>
      <w:r>
        <w:rPr>
          <w:rFonts w:ascii="AdvPAC4D" w:hAnsi="AdvPAC4D" w:cs="AdvPAC4D"/>
          <w:sz w:val="16"/>
          <w:szCs w:val="16"/>
        </w:rPr>
        <w:t>PLoS</w:t>
      </w:r>
    </w:p>
    <w:p w14:paraId="4CF74BD5" w14:textId="3ED3E24F" w:rsidR="004F0700" w:rsidRDefault="004F0700" w:rsidP="004F0700">
      <w:pPr>
        <w:pStyle w:val="CommentText"/>
      </w:pPr>
      <w:r>
        <w:rPr>
          <w:rFonts w:ascii="AdvPAC4D" w:hAnsi="AdvPAC4D" w:cs="AdvPAC4D"/>
          <w:sz w:val="16"/>
          <w:szCs w:val="16"/>
        </w:rPr>
        <w:t xml:space="preserve">One </w:t>
      </w:r>
      <w:r>
        <w:rPr>
          <w:rFonts w:ascii="AdvPACF3" w:hAnsi="AdvPACF3" w:cs="AdvPACF3"/>
          <w:sz w:val="16"/>
          <w:szCs w:val="16"/>
        </w:rPr>
        <w:t xml:space="preserve">2013; </w:t>
      </w:r>
      <w:r>
        <w:rPr>
          <w:rFonts w:ascii="AdvPAC4C" w:hAnsi="AdvPAC4C" w:cs="AdvPAC4C"/>
          <w:sz w:val="16"/>
          <w:szCs w:val="16"/>
        </w:rPr>
        <w:t>8</w:t>
      </w:r>
      <w:r>
        <w:rPr>
          <w:rFonts w:ascii="AdvPACF3" w:hAnsi="AdvPACF3" w:cs="AdvPACF3"/>
          <w:sz w:val="16"/>
          <w:szCs w:val="16"/>
        </w:rPr>
        <w:t>:e81355doi:10.1371/journal.pone.0081355</w:t>
      </w:r>
      <w:r>
        <w:rPr>
          <w:rFonts w:ascii="AdvPA183" w:hAnsi="AdvPA183" w:cs="AdvPA183"/>
          <w:sz w:val="16"/>
          <w:szCs w:val="16"/>
        </w:rPr>
        <w:t>.</w:t>
      </w:r>
    </w:p>
  </w:comment>
  <w:comment w:id="2" w:author="Andrew Zalesak" w:date="2025-07-10T10:07:00Z" w:initials="AZ">
    <w:p w14:paraId="619DBFD2" w14:textId="591399AD" w:rsidR="004F0700" w:rsidRDefault="004F0700">
      <w:pPr>
        <w:pStyle w:val="CommentText"/>
      </w:pPr>
      <w:r>
        <w:rPr>
          <w:rStyle w:val="CommentReference"/>
        </w:rPr>
        <w:annotationRef/>
      </w:r>
      <w:r>
        <w:t>Alhoff et al 2022</w:t>
      </w:r>
    </w:p>
  </w:comment>
  <w:comment w:id="3" w:author="Andrew Zalesak" w:date="2025-07-10T10:11:00Z" w:initials="AZ">
    <w:p w14:paraId="08382B74" w14:textId="48D6FBB1" w:rsidR="004F0700" w:rsidRDefault="004F0700">
      <w:pPr>
        <w:pStyle w:val="CommentText"/>
      </w:pPr>
      <w:r>
        <w:rPr>
          <w:rStyle w:val="CommentReference"/>
        </w:rPr>
        <w:annotationRef/>
      </w:r>
      <w:r>
        <w:t>Pulling directly from Ryan White paper; change wording later</w:t>
      </w:r>
    </w:p>
  </w:comment>
  <w:comment w:id="4" w:author="Andrew Zalesak" w:date="2025-07-02T14:22:00Z" w:initials="AZ">
    <w:p w14:paraId="0554E9DA" w14:textId="6425B043" w:rsidR="00D66D85" w:rsidRDefault="00D66D85">
      <w:pPr>
        <w:pStyle w:val="CommentText"/>
      </w:pPr>
      <w:r>
        <w:rPr>
          <w:rStyle w:val="CommentReference"/>
        </w:rPr>
        <w:annotationRef/>
      </w:r>
      <w:r>
        <w:t>Switch to be figure 2</w:t>
      </w:r>
    </w:p>
  </w:comment>
  <w:comment w:id="9" w:author="Andrew Zalesak" w:date="2025-07-02T14:18:00Z" w:initials="AZ">
    <w:p w14:paraId="44D58693" w14:textId="58B4D7BC" w:rsidR="00D66D85" w:rsidRDefault="00D66D85">
      <w:pPr>
        <w:pStyle w:val="CommentText"/>
      </w:pPr>
      <w:r>
        <w:rPr>
          <w:rStyle w:val="CommentReference"/>
        </w:rPr>
        <w:annotationRef/>
      </w:r>
      <w:r>
        <w:t>Percentage increase, eg “a thirty percent increase…”</w:t>
      </w:r>
    </w:p>
  </w:comment>
  <w:comment w:id="11" w:author="Andrew Zalesak" w:date="2025-07-10T10:36:00Z" w:initials="AZ">
    <w:p w14:paraId="28EA60CD" w14:textId="61F09EA1" w:rsidR="009843DF" w:rsidRDefault="009843DF">
      <w:pPr>
        <w:pStyle w:val="CommentText"/>
      </w:pPr>
      <w:r>
        <w:rPr>
          <w:rStyle w:val="CommentReference"/>
        </w:rPr>
        <w:annotationRef/>
      </w:r>
      <w:r>
        <w:t>Maybe introduce the bimodal thing here, even though I’ll talk more about it in the states paragraph</w:t>
      </w:r>
    </w:p>
  </w:comment>
  <w:comment w:id="10" w:author="Andrew Zalesak" w:date="2025-07-10T10:35:00Z" w:initials="AZ">
    <w:p w14:paraId="3FA392E1" w14:textId="1444A7E9" w:rsidR="009843DF" w:rsidRDefault="009843DF">
      <w:pPr>
        <w:pStyle w:val="CommentText"/>
      </w:pPr>
      <w:r>
        <w:rPr>
          <w:rStyle w:val="CommentReference"/>
        </w:rPr>
        <w:annotationRef/>
      </w:r>
      <w:r>
        <w:t>It takes a lot of numbers to say this, and I’m not sure what to make of it</w:t>
      </w:r>
    </w:p>
  </w:comment>
  <w:comment w:id="13" w:author="Andrew Zalesak" w:date="2025-07-02T14:20:00Z" w:initials="AZ">
    <w:p w14:paraId="2CC53AEA" w14:textId="1A5CB06A" w:rsidR="00D66D85" w:rsidRDefault="00D66D85">
      <w:pPr>
        <w:pStyle w:val="CommentText"/>
      </w:pPr>
      <w:r>
        <w:rPr>
          <w:rStyle w:val="CommentReference"/>
        </w:rPr>
        <w:annotationRef/>
      </w:r>
      <w:r>
        <w:t>Include values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F74BD5" w15:done="0"/>
  <w15:commentEx w15:paraId="619DBFD2" w15:done="0"/>
  <w15:commentEx w15:paraId="08382B74" w15:done="0"/>
  <w15:commentEx w15:paraId="0554E9DA" w15:done="1"/>
  <w15:commentEx w15:paraId="44D58693" w15:done="0"/>
  <w15:commentEx w15:paraId="28EA60CD" w15:done="0"/>
  <w15:commentEx w15:paraId="3FA392E1" w15:done="0"/>
  <w15:commentEx w15:paraId="2CC53AE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1A0F48" w16cex:dateUtc="2025-07-10T14:07:00Z"/>
  <w16cex:commentExtensible w16cex:durableId="2C1A0F6C" w16cex:dateUtc="2025-07-10T14:07:00Z"/>
  <w16cex:commentExtensible w16cex:durableId="2C1A1035" w16cex:dateUtc="2025-07-10T14:11:00Z"/>
  <w16cex:commentExtensible w16cex:durableId="2C0FBF3E" w16cex:dateUtc="2025-07-02T18:22:00Z"/>
  <w16cex:commentExtensible w16cex:durableId="2C0FBE22" w16cex:dateUtc="2025-07-02T18:18:00Z"/>
  <w16cex:commentExtensible w16cex:durableId="2C1A1613" w16cex:dateUtc="2025-07-10T14:36:00Z"/>
  <w16cex:commentExtensible w16cex:durableId="2C1A15F9" w16cex:dateUtc="2025-07-10T14:35:00Z"/>
  <w16cex:commentExtensible w16cex:durableId="2C0FBEB8" w16cex:dateUtc="2025-07-02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F74BD5" w16cid:durableId="2C1A0F48"/>
  <w16cid:commentId w16cid:paraId="619DBFD2" w16cid:durableId="2C1A0F6C"/>
  <w16cid:commentId w16cid:paraId="08382B74" w16cid:durableId="2C1A1035"/>
  <w16cid:commentId w16cid:paraId="0554E9DA" w16cid:durableId="2C0FBF3E"/>
  <w16cid:commentId w16cid:paraId="44D58693" w16cid:durableId="2C0FBE22"/>
  <w16cid:commentId w16cid:paraId="28EA60CD" w16cid:durableId="2C1A1613"/>
  <w16cid:commentId w16cid:paraId="3FA392E1" w16cid:durableId="2C1A15F9"/>
  <w16cid:commentId w16cid:paraId="2CC53AEA" w16cid:durableId="2C0FBE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ACF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AC4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AC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A1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0BAC"/>
    <w:multiLevelType w:val="hybridMultilevel"/>
    <w:tmpl w:val="7EDAE5F4"/>
    <w:lvl w:ilvl="0" w:tplc="AD2291A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610C"/>
    <w:multiLevelType w:val="hybridMultilevel"/>
    <w:tmpl w:val="84820EA4"/>
    <w:lvl w:ilvl="0" w:tplc="52DC4F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96608"/>
    <w:multiLevelType w:val="hybridMultilevel"/>
    <w:tmpl w:val="D6A61534"/>
    <w:lvl w:ilvl="0" w:tplc="A5C0450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4F09"/>
    <w:multiLevelType w:val="hybridMultilevel"/>
    <w:tmpl w:val="E7C63966"/>
    <w:lvl w:ilvl="0" w:tplc="CABE51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27981">
    <w:abstractNumId w:val="1"/>
  </w:num>
  <w:num w:numId="2" w16cid:durableId="1762020052">
    <w:abstractNumId w:val="3"/>
  </w:num>
  <w:num w:numId="3" w16cid:durableId="2089768093">
    <w:abstractNumId w:val="0"/>
  </w:num>
  <w:num w:numId="4" w16cid:durableId="4648515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w Zalesak">
    <w15:presenceInfo w15:providerId="AD" w15:userId="S::azalesa1@jh.edu::c9a6b2c0-b8f9-46fb-bf67-e38dbc67e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BE"/>
    <w:rsid w:val="00042801"/>
    <w:rsid w:val="000E4ED2"/>
    <w:rsid w:val="00133C05"/>
    <w:rsid w:val="0017499C"/>
    <w:rsid w:val="002942EA"/>
    <w:rsid w:val="00322139"/>
    <w:rsid w:val="00393B8D"/>
    <w:rsid w:val="00456F00"/>
    <w:rsid w:val="004B5E5B"/>
    <w:rsid w:val="004E3DC4"/>
    <w:rsid w:val="004F0700"/>
    <w:rsid w:val="004F52C8"/>
    <w:rsid w:val="00534DFC"/>
    <w:rsid w:val="0054661C"/>
    <w:rsid w:val="005D3158"/>
    <w:rsid w:val="006751A5"/>
    <w:rsid w:val="006A48A6"/>
    <w:rsid w:val="006E112E"/>
    <w:rsid w:val="007514D4"/>
    <w:rsid w:val="007C2790"/>
    <w:rsid w:val="007F077E"/>
    <w:rsid w:val="008557F5"/>
    <w:rsid w:val="00856539"/>
    <w:rsid w:val="0086114C"/>
    <w:rsid w:val="008D68E6"/>
    <w:rsid w:val="00907366"/>
    <w:rsid w:val="009843DF"/>
    <w:rsid w:val="009A665D"/>
    <w:rsid w:val="00B971BE"/>
    <w:rsid w:val="00BC6330"/>
    <w:rsid w:val="00CB576A"/>
    <w:rsid w:val="00D66D85"/>
    <w:rsid w:val="00DC29D3"/>
    <w:rsid w:val="00EB4E2A"/>
    <w:rsid w:val="00EB56F0"/>
    <w:rsid w:val="00F66ADE"/>
    <w:rsid w:val="00F87D4F"/>
    <w:rsid w:val="00F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C545"/>
  <w15:chartTrackingRefBased/>
  <w15:docId w15:val="{7E21CD5B-1B89-4537-90F5-A841773F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6D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D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D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D8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B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27459</TotalTime>
  <Pages>3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14</cp:revision>
  <dcterms:created xsi:type="dcterms:W3CDTF">2025-07-01T15:41:00Z</dcterms:created>
  <dcterms:modified xsi:type="dcterms:W3CDTF">2025-08-06T21:06:00Z</dcterms:modified>
</cp:coreProperties>
</file>