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1163A" w14:textId="21A190BE" w:rsidR="00856539" w:rsidRDefault="00B2669A">
      <w:r>
        <w:t>Abstract draft</w:t>
      </w:r>
    </w:p>
    <w:p w14:paraId="4E3A881D" w14:textId="0A2DECDE" w:rsidR="009B76AA" w:rsidRDefault="009B76AA">
      <w:r>
        <w:t>7-10-2025</w:t>
      </w:r>
    </w:p>
    <w:p w14:paraId="6A6A86DB" w14:textId="50C8835C" w:rsidR="00C02B3B" w:rsidRDefault="00C02B3B">
      <w:r>
        <w:t>Title: Modeling State-Level Aging Patterns Among PLWH in the United States</w:t>
      </w:r>
    </w:p>
    <w:p w14:paraId="20A09CD8" w14:textId="0F2B5D3F" w:rsidR="00B2669A" w:rsidRPr="00B2669A" w:rsidRDefault="00B2669A">
      <w:pPr>
        <w:rPr>
          <w:i/>
          <w:iCs/>
        </w:rPr>
      </w:pPr>
      <w:r>
        <w:t xml:space="preserve">Background: Aging of the population of those living with HIV in the United States will require adaptation by local healthcare systems to support </w:t>
      </w:r>
      <w:r w:rsidR="00D07F02">
        <w:t xml:space="preserve">a change in </w:t>
      </w:r>
      <w:r>
        <w:t xml:space="preserve">age-related comorbidities. </w:t>
      </w:r>
      <w:commentRangeStart w:id="0"/>
      <w:r>
        <w:rPr>
          <w:i/>
          <w:iCs/>
        </w:rPr>
        <w:t>It is unknown how these demographic trends will continue into the future</w:t>
      </w:r>
      <w:r w:rsidR="005B0CFE">
        <w:rPr>
          <w:i/>
          <w:iCs/>
        </w:rPr>
        <w:t>, and whether they differ by state.</w:t>
      </w:r>
      <w:commentRangeEnd w:id="0"/>
      <w:r w:rsidR="009D6640">
        <w:rPr>
          <w:rStyle w:val="CommentReference"/>
        </w:rPr>
        <w:commentReference w:id="0"/>
      </w:r>
    </w:p>
    <w:p w14:paraId="4A1565D3" w14:textId="0A9E8701" w:rsidR="00B2669A" w:rsidRDefault="00B2669A">
      <w:r>
        <w:t xml:space="preserve">Material and Methods: We use </w:t>
      </w:r>
      <w:r>
        <w:t>the Johns Hopkins Epidemiologic and Economic Model (JHEEM)</w:t>
      </w:r>
      <w:r>
        <w:t xml:space="preserve">, a dynamic transmission model of HIV, to simulate HIV epidemics in 11 states that currently comprise 63% of diagnosed prevalence in the United States. The model has been previously calibrated at the state level and </w:t>
      </w:r>
      <w:r w:rsidR="00982DE3">
        <w:t xml:space="preserve">is fitted to local epidemiologic targets such as new diagnoses and diagnosed prevalence by age group at the state </w:t>
      </w:r>
      <w:commentRangeStart w:id="1"/>
      <w:commentRangeStart w:id="2"/>
      <w:r w:rsidR="00982DE3">
        <w:t>level</w:t>
      </w:r>
      <w:commentRangeEnd w:id="1"/>
      <w:r w:rsidR="009B76AA">
        <w:rPr>
          <w:rStyle w:val="CommentReference"/>
        </w:rPr>
        <w:commentReference w:id="1"/>
      </w:r>
      <w:commentRangeEnd w:id="2"/>
      <w:r w:rsidR="009B76AA">
        <w:rPr>
          <w:rStyle w:val="CommentReference"/>
        </w:rPr>
        <w:commentReference w:id="2"/>
      </w:r>
      <w:r w:rsidR="00982DE3">
        <w:t>.</w:t>
      </w:r>
    </w:p>
    <w:p w14:paraId="07CFB383" w14:textId="694870CF" w:rsidR="00B2669A" w:rsidRDefault="00B2669A">
      <w:r>
        <w:t>Results:</w:t>
      </w:r>
      <w:r w:rsidR="00982DE3">
        <w:t xml:space="preserve"> The model projected the proportion of PLWH age</w:t>
      </w:r>
      <w:r w:rsidR="005B0CFE">
        <w:t>d</w:t>
      </w:r>
      <w:r w:rsidR="00982DE3">
        <w:t xml:space="preserve"> 55+ to rise by 11% (CI: 8 to 14%) </w:t>
      </w:r>
      <w:r w:rsidR="00982DE3">
        <w:t>across the region</w:t>
      </w:r>
      <w:r w:rsidR="00982DE3">
        <w:t xml:space="preserve"> between 2025 and 2040, reflecting </w:t>
      </w:r>
      <w:r w:rsidR="009D6640">
        <w:t xml:space="preserve">an increase of </w:t>
      </w:r>
      <w:r w:rsidR="00982DE3">
        <w:t xml:space="preserve">93,971 </w:t>
      </w:r>
      <w:r w:rsidR="009D6640">
        <w:t xml:space="preserve">prevalent </w:t>
      </w:r>
      <w:r w:rsidR="00982DE3">
        <w:t xml:space="preserve">cases (CI: 75,052 to 113,903) in that age group. By 2040, the projected median age of PLWH rose by 10 years (CI: 7 to 12). </w:t>
      </w:r>
      <w:r w:rsidR="009D6640">
        <w:t>While m</w:t>
      </w:r>
      <w:r w:rsidR="00982DE3">
        <w:t xml:space="preserve">ost states projected aging populations, </w:t>
      </w:r>
      <w:r w:rsidR="009D6640">
        <w:t>there was</w:t>
      </w:r>
      <w:r w:rsidR="00982DE3">
        <w:t xml:space="preserve"> significant variation. </w:t>
      </w:r>
      <w:r w:rsidR="00982DE3">
        <w:t xml:space="preserve">California, which currently has the highest number of diagnosed cases within the eleven states, aged the most, with </w:t>
      </w:r>
      <w:r w:rsidR="00C02B3B">
        <w:t>the</w:t>
      </w:r>
      <w:r w:rsidR="00982DE3">
        <w:t xml:space="preserve"> proportion of PLWH age 55+ rising by 17 percentage points (CI: 11 to 24) and median age shifting 13 years older (CI: 11 to 16)</w:t>
      </w:r>
      <w:r w:rsidR="00982DE3">
        <w:t xml:space="preserve">. </w:t>
      </w:r>
      <w:r w:rsidR="00982DE3">
        <w:t>By contrast, Alabama and Wisconsin’s populations of PLWH were not projected to age, with the proportion age</w:t>
      </w:r>
      <w:r w:rsidR="005B0CFE">
        <w:t>d</w:t>
      </w:r>
      <w:r w:rsidR="00982DE3">
        <w:t xml:space="preserve"> 55+ staying nearly constant (AL</w:t>
      </w:r>
      <w:r w:rsidR="009D6640">
        <w:t xml:space="preserve"> changing by</w:t>
      </w:r>
      <w:r w:rsidR="00982DE3">
        <w:t xml:space="preserve"> -1%, CI -6 to 10%; WI</w:t>
      </w:r>
      <w:r w:rsidR="009D6640">
        <w:t xml:space="preserve"> changing by </w:t>
      </w:r>
      <w:r w:rsidR="00982DE3">
        <w:t>-1%, CI -6 to 7%) and median age decreasing by a few years (AL: -3, CI -5 to 1; WI: -7; CI -10 to 10).</w:t>
      </w:r>
      <w:r w:rsidR="005B0CFE">
        <w:t xml:space="preserve"> Among several candidate variables, a metric of urbanicity was the best </w:t>
      </w:r>
      <w:commentRangeStart w:id="3"/>
      <w:r w:rsidR="005B0CFE">
        <w:t>predictor</w:t>
      </w:r>
      <w:commentRangeEnd w:id="3"/>
      <w:r w:rsidR="009B76AA">
        <w:rPr>
          <w:rStyle w:val="CommentReference"/>
        </w:rPr>
        <w:commentReference w:id="3"/>
      </w:r>
      <w:r w:rsidR="005B0CFE">
        <w:t xml:space="preserve"> of a state’s change in proportion of PLWH aged 55+, with a correlation of +0.72 (p=0.01).</w:t>
      </w:r>
      <w:r w:rsidR="00BB503C">
        <w:t xml:space="preserve"> Transmission rate was also somewhat predictive, with a correlation of -0.49 (p=0.13).</w:t>
      </w:r>
    </w:p>
    <w:p w14:paraId="0B25A923" w14:textId="7B311C99" w:rsidR="00B2669A" w:rsidRDefault="00B2669A">
      <w:r>
        <w:t>Conclusions:</w:t>
      </w:r>
      <w:r w:rsidR="005B0CFE">
        <w:t xml:space="preserve"> While the population of those living with HIV i</w:t>
      </w:r>
      <w:r w:rsidR="00BB503C">
        <w:t>n the United States i</w:t>
      </w:r>
      <w:r w:rsidR="005B0CFE">
        <w:t>s projected to age</w:t>
      </w:r>
      <w:r w:rsidR="00BB503C">
        <w:t xml:space="preserve"> significantly by 2040, these</w:t>
      </w:r>
      <w:r w:rsidR="005B0CFE">
        <w:t xml:space="preserve"> patterns </w:t>
      </w:r>
      <w:r w:rsidR="00BB503C">
        <w:t xml:space="preserve">are </w:t>
      </w:r>
      <w:r w:rsidR="005B0CFE">
        <w:t>not consistent across</w:t>
      </w:r>
      <w:r w:rsidR="00BB503C">
        <w:t xml:space="preserve"> states.</w:t>
      </w:r>
      <w:r w:rsidR="005B0CFE">
        <w:t xml:space="preserve"> </w:t>
      </w:r>
      <w:r w:rsidR="00BB503C">
        <w:t xml:space="preserve">Urban states are projected to age by more than rural states, </w:t>
      </w:r>
      <w:r w:rsidR="00C02B3B">
        <w:t xml:space="preserve">where rates of new diagnosis remain higher. </w:t>
      </w:r>
      <w:commentRangeStart w:id="4"/>
      <w:r w:rsidR="00C02B3B">
        <w:t>It will be important to commit funding, resources, and training to</w:t>
      </w:r>
      <w:r w:rsidR="00BC6BA0">
        <w:t xml:space="preserve"> help</w:t>
      </w:r>
      <w:r w:rsidR="00C02B3B">
        <w:t xml:space="preserve"> healthcare syste</w:t>
      </w:r>
      <w:r w:rsidR="00BC6BA0">
        <w:t xml:space="preserve">ms adapt to changing demographic patterns while recognizing </w:t>
      </w:r>
      <w:r w:rsidR="009D6640">
        <w:t>that the types of need may vary locally</w:t>
      </w:r>
      <w:r w:rsidR="00BC6BA0">
        <w:t>.</w:t>
      </w:r>
      <w:commentRangeEnd w:id="4"/>
      <w:r w:rsidR="009D6640">
        <w:rPr>
          <w:rStyle w:val="CommentReference"/>
        </w:rPr>
        <w:commentReference w:id="4"/>
      </w:r>
    </w:p>
    <w:sectPr w:rsidR="00B2669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drew Zalesak" w:date="2025-07-10T14:10:00Z" w:initials="AZ">
    <w:p w14:paraId="49DC5013" w14:textId="309BC44F" w:rsidR="009D6640" w:rsidRDefault="009D6640">
      <w:pPr>
        <w:pStyle w:val="CommentText"/>
      </w:pPr>
      <w:r>
        <w:rPr>
          <w:rStyle w:val="CommentReference"/>
        </w:rPr>
        <w:annotationRef/>
      </w:r>
      <w:r>
        <w:t>What’s a good sentence to put here that conveys something like this?</w:t>
      </w:r>
    </w:p>
  </w:comment>
  <w:comment w:id="1" w:author="Andrew Zalesak" w:date="2025-07-10T14:15:00Z" w:initials="AZ">
    <w:p w14:paraId="46C55CC5" w14:textId="20FAA712" w:rsidR="009B76AA" w:rsidRDefault="009B76AA">
      <w:pPr>
        <w:pStyle w:val="CommentText"/>
      </w:pPr>
      <w:r>
        <w:rPr>
          <w:rStyle w:val="CommentReference"/>
        </w:rPr>
        <w:annotationRef/>
      </w:r>
      <w:r>
        <w:t>Should I say more here, given that readers won’t know much about it? If they are not modelers, they might need more details to “trust” the model, like the number of iterations, or that 1000 simulations are used to compute results and confidence intervals.</w:t>
      </w:r>
    </w:p>
  </w:comment>
  <w:comment w:id="2" w:author="Andrew Zalesak" w:date="2025-07-10T14:17:00Z" w:initials="AZ">
    <w:p w14:paraId="4687F99B" w14:textId="65B7BAF4" w:rsidR="009B76AA" w:rsidRDefault="009B76AA">
      <w:pPr>
        <w:pStyle w:val="CommentText"/>
      </w:pPr>
      <w:r>
        <w:rPr>
          <w:rStyle w:val="CommentReference"/>
        </w:rPr>
        <w:annotationRef/>
      </w:r>
      <w:r>
        <w:t>Should I say that the model period is 1970 to 2040 here, or leave it to the results to mention that the comparison is 2040 vs. 2025?</w:t>
      </w:r>
    </w:p>
  </w:comment>
  <w:comment w:id="3" w:author="Andrew Zalesak" w:date="2025-07-10T14:18:00Z" w:initials="AZ">
    <w:p w14:paraId="548C1AB6" w14:textId="439E0E90" w:rsidR="009B76AA" w:rsidRDefault="009B76AA">
      <w:pPr>
        <w:pStyle w:val="CommentText"/>
      </w:pPr>
      <w:r>
        <w:rPr>
          <w:rStyle w:val="CommentReference"/>
        </w:rPr>
        <w:annotationRef/>
      </w:r>
      <w:r>
        <w:t>Is this a statistically accurate term to use? I think these two correlates are interesting to point out to readers</w:t>
      </w:r>
    </w:p>
  </w:comment>
  <w:comment w:id="4" w:author="Andrew Zalesak" w:date="2025-07-10T14:14:00Z" w:initials="AZ">
    <w:p w14:paraId="26231E95" w14:textId="6221D3C0" w:rsidR="009B76AA" w:rsidRDefault="009D6640">
      <w:pPr>
        <w:pStyle w:val="CommentText"/>
      </w:pPr>
      <w:r>
        <w:rPr>
          <w:rStyle w:val="CommentReference"/>
        </w:rPr>
        <w:annotationRef/>
      </w:r>
      <w:r>
        <w:t>I’d love to give a more specific takeaway about why we care that states will have different needs.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9DC5013" w15:done="0"/>
  <w15:commentEx w15:paraId="46C55CC5" w15:done="0"/>
  <w15:commentEx w15:paraId="4687F99B" w15:done="0"/>
  <w15:commentEx w15:paraId="548C1AB6" w15:done="0"/>
  <w15:commentEx w15:paraId="26231E9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C1A485A" w16cex:dateUtc="2025-07-10T18:10:00Z"/>
  <w16cex:commentExtensible w16cex:durableId="2C1A497B" w16cex:dateUtc="2025-07-10T18:15:00Z"/>
  <w16cex:commentExtensible w16cex:durableId="2C1A49ED" w16cex:dateUtc="2025-07-10T18:17:00Z"/>
  <w16cex:commentExtensible w16cex:durableId="2C1A4A3D" w16cex:dateUtc="2025-07-10T18:18:00Z"/>
  <w16cex:commentExtensible w16cex:durableId="2C1A4936" w16cex:dateUtc="2025-07-10T18: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9DC5013" w16cid:durableId="2C1A485A"/>
  <w16cid:commentId w16cid:paraId="46C55CC5" w16cid:durableId="2C1A497B"/>
  <w16cid:commentId w16cid:paraId="4687F99B" w16cid:durableId="2C1A49ED"/>
  <w16cid:commentId w16cid:paraId="548C1AB6" w16cid:durableId="2C1A4A3D"/>
  <w16cid:commentId w16cid:paraId="26231E95" w16cid:durableId="2C1A493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ew Zalesak">
    <w15:presenceInfo w15:providerId="AD" w15:userId="S::azalesa1@jh.edu::c9a6b2c0-b8f9-46fb-bf67-e38dbc67e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69A"/>
    <w:rsid w:val="005B0CFE"/>
    <w:rsid w:val="005B3791"/>
    <w:rsid w:val="00856539"/>
    <w:rsid w:val="00982DE3"/>
    <w:rsid w:val="009B76AA"/>
    <w:rsid w:val="009D6640"/>
    <w:rsid w:val="00B2669A"/>
    <w:rsid w:val="00BB503C"/>
    <w:rsid w:val="00BC6BA0"/>
    <w:rsid w:val="00C02B3B"/>
    <w:rsid w:val="00D07F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9E93A"/>
  <w15:chartTrackingRefBased/>
  <w15:docId w15:val="{376F65AD-4874-41C6-B88C-9990C8AA1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D6640"/>
    <w:rPr>
      <w:sz w:val="16"/>
      <w:szCs w:val="16"/>
    </w:rPr>
  </w:style>
  <w:style w:type="paragraph" w:styleId="CommentText">
    <w:name w:val="annotation text"/>
    <w:basedOn w:val="Normal"/>
    <w:link w:val="CommentTextChar"/>
    <w:uiPriority w:val="99"/>
    <w:semiHidden/>
    <w:unhideWhenUsed/>
    <w:rsid w:val="009D6640"/>
    <w:pPr>
      <w:spacing w:line="240" w:lineRule="auto"/>
    </w:pPr>
    <w:rPr>
      <w:sz w:val="20"/>
      <w:szCs w:val="20"/>
    </w:rPr>
  </w:style>
  <w:style w:type="character" w:customStyle="1" w:styleId="CommentTextChar">
    <w:name w:val="Comment Text Char"/>
    <w:basedOn w:val="DefaultParagraphFont"/>
    <w:link w:val="CommentText"/>
    <w:uiPriority w:val="99"/>
    <w:semiHidden/>
    <w:rsid w:val="009D6640"/>
    <w:rPr>
      <w:sz w:val="20"/>
      <w:szCs w:val="20"/>
    </w:rPr>
  </w:style>
  <w:style w:type="paragraph" w:styleId="CommentSubject">
    <w:name w:val="annotation subject"/>
    <w:basedOn w:val="CommentText"/>
    <w:next w:val="CommentText"/>
    <w:link w:val="CommentSubjectChar"/>
    <w:uiPriority w:val="99"/>
    <w:semiHidden/>
    <w:unhideWhenUsed/>
    <w:rsid w:val="009D6640"/>
    <w:rPr>
      <w:b/>
      <w:bCs/>
    </w:rPr>
  </w:style>
  <w:style w:type="character" w:customStyle="1" w:styleId="CommentSubjectChar">
    <w:name w:val="Comment Subject Char"/>
    <w:basedOn w:val="CommentTextChar"/>
    <w:link w:val="CommentSubject"/>
    <w:uiPriority w:val="99"/>
    <w:semiHidden/>
    <w:rsid w:val="009D664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367</Words>
  <Characters>2093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Johns Hopkins</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Zalesak</dc:creator>
  <cp:keywords/>
  <dc:description/>
  <cp:lastModifiedBy>Andrew Zalesak</cp:lastModifiedBy>
  <cp:revision>4</cp:revision>
  <dcterms:created xsi:type="dcterms:W3CDTF">2025-07-10T17:13:00Z</dcterms:created>
  <dcterms:modified xsi:type="dcterms:W3CDTF">2025-07-10T18:22:00Z</dcterms:modified>
</cp:coreProperties>
</file>