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rsidP="009411E3">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0E8444E4" w:rsidR="00240B50" w:rsidRPr="0016531B" w:rsidRDefault="005B0B2C"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Population Proportion (Rate) of New Syphilis Diagnoses in 1970</w:t>
            </w:r>
          </w:p>
        </w:tc>
        <w:tc>
          <w:tcPr>
            <w:tcW w:w="3702" w:type="dxa"/>
          </w:tcPr>
          <w:p w14:paraId="2278820C" w14:textId="008A0FE3"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Sample values for Baltimore City</w:t>
            </w:r>
          </w:p>
          <w:p w14:paraId="73501F93" w14:textId="593A0902" w:rsidR="003E5820"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&amp; Secondary = 5.8e-05</w:t>
            </w:r>
          </w:p>
          <w:p w14:paraId="148ECDC4" w14:textId="3B38AE2F" w:rsidR="005B0B2C" w:rsidRDefault="00713D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3659A7">
              <w:rPr>
                <w:rFonts w:asciiTheme="minorBidi" w:hAnsiTheme="minorBidi" w:cstheme="minorBidi"/>
                <w:color w:val="000000" w:themeColor="text1"/>
                <w:sz w:val="18"/>
                <w:szCs w:val="18"/>
              </w:rPr>
              <w:t>8.3e-05</w:t>
            </w:r>
          </w:p>
          <w:p w14:paraId="758418E0" w14:textId="71559092" w:rsidR="005B0B2C" w:rsidRPr="001C45E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 Unknown = 6.3e-05</w:t>
            </w:r>
          </w:p>
        </w:tc>
        <w:tc>
          <w:tcPr>
            <w:tcW w:w="3117" w:type="dxa"/>
          </w:tcPr>
          <w:p w14:paraId="13E2B26C" w14:textId="77777777" w:rsidR="00240B50"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p w14:paraId="67BB495A" w14:textId="16C330F6" w:rsidR="005B0B2C" w:rsidRPr="001C45E7" w:rsidRDefault="005B0B2C"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Estimated based on first year</w:t>
            </w:r>
            <w:r w:rsidR="003659A7">
              <w:rPr>
                <w:rFonts w:asciiTheme="minorBidi" w:hAnsiTheme="minorBidi" w:cstheme="minorBidi"/>
                <w:i/>
                <w:iCs/>
                <w:color w:val="000000" w:themeColor="text1"/>
                <w:sz w:val="18"/>
                <w:szCs w:val="18"/>
              </w:rPr>
              <w:t xml:space="preserve"> of</w:t>
            </w:r>
            <w:r>
              <w:rPr>
                <w:rFonts w:asciiTheme="minorBidi" w:hAnsiTheme="minorBidi" w:cstheme="minorBidi"/>
                <w:i/>
                <w:iCs/>
                <w:color w:val="000000" w:themeColor="text1"/>
                <w:sz w:val="18"/>
                <w:szCs w:val="18"/>
              </w:rPr>
              <w:t xml:space="preserve"> data reporting (1993 in Baltimore city)  </w:t>
            </w:r>
          </w:p>
        </w:tc>
      </w:tr>
      <w:tr w:rsidR="003659A7" w:rsidRPr="001C45E7" w14:paraId="7FD45DA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871E69E" w14:textId="66EB64BA" w:rsidR="003659A7" w:rsidRDefault="003659A7" w:rsidP="00BC3AC9">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Proportion of PS-stage diagnoses that fall into primary stage</w:t>
            </w:r>
          </w:p>
        </w:tc>
        <w:tc>
          <w:tcPr>
            <w:tcW w:w="3702" w:type="dxa"/>
          </w:tcPr>
          <w:p w14:paraId="34A8F3BF" w14:textId="0E40DF48"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25%</w:t>
            </w:r>
          </w:p>
        </w:tc>
        <w:tc>
          <w:tcPr>
            <w:tcW w:w="3117" w:type="dxa"/>
          </w:tcPr>
          <w:p w14:paraId="509BB0A4" w14:textId="46B8E70C" w:rsidR="003659A7" w:rsidRDefault="003659A7"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t xml:space="preserve">Assumed based on duration of primary </w:t>
            </w:r>
            <w:r w:rsidR="00544BC2">
              <w:rPr>
                <w:rFonts w:asciiTheme="minorBidi" w:hAnsiTheme="minorBidi" w:cstheme="minorBidi"/>
                <w:i/>
                <w:iCs/>
                <w:color w:val="000000" w:themeColor="text1"/>
                <w:sz w:val="18"/>
                <w:szCs w:val="18"/>
              </w:rPr>
              <w:t>and</w:t>
            </w:r>
            <w:r>
              <w:rPr>
                <w:rFonts w:asciiTheme="minorBidi" w:hAnsiTheme="minorBidi" w:cstheme="minorBidi"/>
                <w:i/>
                <w:iCs/>
                <w:color w:val="000000" w:themeColor="text1"/>
                <w:sz w:val="18"/>
                <w:szCs w:val="18"/>
              </w:rPr>
              <w:t xml:space="preserve"> secondary stage</w:t>
            </w:r>
            <w:r w:rsidR="00544BC2">
              <w:rPr>
                <w:rFonts w:asciiTheme="minorBidi" w:hAnsiTheme="minorBidi" w:cstheme="minorBidi"/>
                <w:i/>
                <w:iCs/>
                <w:color w:val="000000" w:themeColor="text1"/>
                <w:sz w:val="18"/>
                <w:szCs w:val="18"/>
              </w:rPr>
              <w:t>s</w:t>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6ACE109A"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D685B">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face="superscript"&gt;[2]&lt;/style&gt;&lt;/DisplayText&gt;&lt;record&gt;&lt;rec-number&gt;1277&lt;/rec-number&gt;&lt;foreign-keys&gt;&lt;key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[2]</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C9BF76"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 </w:instrText>
            </w:r>
            <w:r w:rsidR="001D685B">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asciiTheme="minorBidi" w:hAnsiTheme="minorBidi" w:cstheme="minorBidi"/>
                <w:i/>
                <w:iCs/>
                <w:color w:val="000000" w:themeColor="text1"/>
                <w:sz w:val="18"/>
                <w:szCs w:val="18"/>
              </w:rPr>
              <w:instrText xml:space="preserve"> ADDIN EN.CITE.DATA </w:instrText>
            </w:r>
            <w:r w:rsidR="001D685B">
              <w:rPr>
                <w:rFonts w:asciiTheme="minorBidi" w:hAnsiTheme="minorBidi" w:cstheme="minorBidi"/>
                <w:i/>
                <w:iCs/>
                <w:color w:val="000000" w:themeColor="text1"/>
                <w:sz w:val="18"/>
                <w:szCs w:val="18"/>
              </w:rPr>
            </w:r>
            <w:r w:rsidR="001D685B">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D685B" w:rsidRPr="001D685B">
              <w:rPr>
                <w:rFonts w:asciiTheme="minorBidi" w:hAnsiTheme="minorBidi" w:cstheme="minorBidi"/>
                <w:i/>
                <w:iCs/>
                <w:noProof/>
                <w:color w:val="000000" w:themeColor="text1"/>
                <w:sz w:val="18"/>
                <w:szCs w:val="18"/>
                <w:vertAlign w:val="superscript"/>
              </w:rPr>
              <w:t>[3-7]</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507AF3F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[5, 7, 8]</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77B4F03C"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[8]</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r w:rsidRPr="003B7782">
              <w:rPr>
                <w:rFonts w:asciiTheme="minorBidi" w:hAnsiTheme="minorBidi" w:cstheme="minorBidi"/>
                <w:color w:val="000000" w:themeColor="text1"/>
                <w:sz w:val="18"/>
                <w:szCs w:val="18"/>
              </w:rPr>
              <w:t xml:space="preserve">Proportion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43A803C0"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4E31E5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4CBB4F6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[4, 10, 11]</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5E19A883"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t xml:space="preserve">To estimate the 95% confidence interval range, we use the normal </w:t>
            </w:r>
            <w:r w:rsidRPr="00735900">
              <w:rPr>
                <w:rFonts w:asciiTheme="minorBidi" w:hAnsiTheme="minorBidi" w:cstheme="minorBidi"/>
                <w:color w:val="000000" w:themeColor="text1"/>
                <w:sz w:val="18"/>
                <w:szCs w:val="18"/>
              </w:rPr>
              <w:lastRenderedPageBreak/>
              <w:t>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[sd=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[sd= 0.00094]</w:t>
            </w:r>
          </w:p>
        </w:tc>
        <w:tc>
          <w:tcPr>
            <w:tcW w:w="3117" w:type="dxa"/>
          </w:tcPr>
          <w:p w14:paraId="0A618127" w14:textId="24E4963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06546033"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[12]</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sypes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66C9E8D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718CA71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 </w:instrText>
            </w:r>
            <w:r w:rsidR="001D685B">
              <w:fldChar w:fldCharType="begin">
                <w:fldData xml:space="preserve">PEVuZE5vdGU+PENpdGU+PEF1dGhvcj5GYW5nPC9BdXRob3I+PFllYXI+MjAyMjwvWWVhcj48UmVj
TnVtPjEyNTE8L1JlY051bT48RGlzcGxheVRleHQ+PHN0eWxlIGZhY2U9InN1cGVyc2NyaXB0Ij5b
MTQtMTddPC9zdHlsZT48L0Rpc3BsYXlUZXh0PjxyZWNvcmQ+PHJlYy1udW1iZXI+MTI1MTwvcmVj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D685B">
              <w:instrText xml:space="preserve"> ADDIN EN.CITE.DATA </w:instrText>
            </w:r>
            <w:r w:rsidR="001D685B">
              <w:fldChar w:fldCharType="end"/>
            </w:r>
            <w:r>
              <w:fldChar w:fldCharType="separate"/>
            </w:r>
            <w:r w:rsidR="001D685B" w:rsidRPr="001D685B">
              <w:rPr>
                <w:noProof/>
                <w:vertAlign w:val="superscript"/>
              </w:rPr>
              <w:t>[14-17]</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21619729"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25EC03B"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65F6ABE1"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[19]</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76446AD8"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3546D4">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28461AC9"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 </w:instrText>
            </w:r>
            <w:r w:rsidR="001D685B">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MjEtMjZdPC9zdHlsZT48L0Rpc3BsYXlUZXh0PjxyZWNvcmQ+PHJlYy1udW1iZXI+MTI2NDwvcmVj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D685B">
              <w:rPr>
                <w:rFonts w:asciiTheme="minorBidi" w:hAnsiTheme="minorBidi" w:cstheme="minorBidi"/>
                <w:color w:val="000000" w:themeColor="text1"/>
                <w:sz w:val="18"/>
                <w:szCs w:val="18"/>
              </w:rPr>
              <w:instrText xml:space="preserve"> ADDIN EN.CITE.DATA </w:instrText>
            </w:r>
            <w:r w:rsidR="001D685B">
              <w:rPr>
                <w:rFonts w:asciiTheme="minorBidi" w:hAnsiTheme="minorBidi" w:cstheme="minorBidi"/>
                <w:color w:val="000000" w:themeColor="text1"/>
                <w:sz w:val="18"/>
                <w:szCs w:val="18"/>
              </w:rPr>
            </w:r>
            <w:r w:rsidR="001D685B">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[21-26]</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lastRenderedPageBreak/>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3EF8237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D685B">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face="superscript"&gt;[22]&lt;/style&gt;&lt;/DisplayText&gt;&lt;record&gt;&lt;rec-number&gt;1265&lt;/rec-number&gt;&lt;foreign-keys&gt;&lt;key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D685B" w:rsidRPr="001D685B">
              <w:rPr>
                <w:rFonts w:asciiTheme="minorBidi" w:hAnsiTheme="minorBidi" w:cstheme="minorBidi"/>
                <w:noProof/>
                <w:color w:val="000000" w:themeColor="text1"/>
                <w:sz w:val="18"/>
                <w:szCs w:val="18"/>
                <w:vertAlign w:val="superscript"/>
              </w:rPr>
              <w:t>[22]</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00094FB8" w:rsidRPr="006D4C74">
              <w:rPr>
                <w:rStyle w:val="CommentReference"/>
                <w:rFonts w:asciiTheme="minorBidi" w:hAnsiTheme="minorBidi" w:cstheme="minorBidi"/>
                <w:b w:val="0"/>
                <w:bCs w:val="0"/>
                <w:color w:val="000000" w:themeColor="text1"/>
              </w:rPr>
              <w:commentReference w:id="0"/>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07C7D8F1" w14:textId="57017C8D" w:rsidR="009411E3" w:rsidRDefault="009411E3" w:rsidP="009411E3">
      <w:pPr>
        <w:pStyle w:val="Heading1"/>
      </w:pPr>
      <w:r>
        <w:t>Estimating the size of initial infection in 1970</w:t>
      </w:r>
    </w:p>
    <w:p w14:paraId="1688CC54" w14:textId="77777777" w:rsidR="009411E3" w:rsidRPr="009411E3" w:rsidRDefault="009411E3" w:rsidP="009411E3">
      <w:r w:rsidRPr="009411E3">
        <w:t>Because the true sizes of the infected compartments are unknown, we approximate them using the number of new diagnoses. Multipliers are then applied to tune the true compartment sizes during model calibration.</w:t>
      </w:r>
    </w:p>
    <w:p w14:paraId="191368EB" w14:textId="100DEECB" w:rsidR="009411E3" w:rsidRPr="009411E3" w:rsidRDefault="009411E3" w:rsidP="009411E3">
      <w:r w:rsidRPr="009411E3">
        <w:t>First, we estimate the </w:t>
      </w:r>
      <w:r w:rsidRPr="009411E3">
        <w:rPr>
          <w:b/>
          <w:bCs/>
        </w:rPr>
        <w:t xml:space="preserve">population proportion (rate) of </w:t>
      </w:r>
      <w:r>
        <w:rPr>
          <w:b/>
          <w:bCs/>
        </w:rPr>
        <w:t xml:space="preserve">syphilis </w:t>
      </w:r>
      <w:r w:rsidRPr="009411E3">
        <w:rPr>
          <w:b/>
          <w:bCs/>
        </w:rPr>
        <w:t>diagnosis</w:t>
      </w:r>
      <w:r w:rsidRPr="009411E3">
        <w:t> in 1970, defined as the number of diagnoses divided by the total population size.</w:t>
      </w:r>
    </w:p>
    <w:p w14:paraId="18ACADE7" w14:textId="77777777" w:rsidR="009411E3" w:rsidRPr="009411E3" w:rsidRDefault="009411E3" w:rsidP="009411E3">
      <w:r w:rsidRPr="009411E3">
        <w:lastRenderedPageBreak/>
        <w:t>Since diagnosis data are not available for 1970, we approximate this rate using data from a later year. Specifically, we use the first year in which diagnosis data are reported (1993 for Baltimore; this may differ for other cities).</w:t>
      </w:r>
    </w:p>
    <w:p w14:paraId="7436E177" w14:textId="77777777" w:rsidR="009411E3" w:rsidRPr="009411E3" w:rsidRDefault="009411E3" w:rsidP="009411E3">
      <w:r w:rsidRPr="009411E3">
        <w:t>Finally, we introduce six calibration parameters to scale the infected population sizes—multipliers for primary/secondary (ps), early latent (el), and late latent (lu) stages, stratified by MSM and heterosexual populations.</w:t>
      </w:r>
    </w:p>
    <w:p w14:paraId="1110663E" w14:textId="1EF6D4C8" w:rsidR="009411E3" w:rsidRPr="009411E3" w:rsidRDefault="009411E3" w:rsidP="009411E3">
      <w:r>
        <w:t xml:space="preserve">We assume that 25% of </w:t>
      </w:r>
      <w:r w:rsidR="003568AC">
        <w:t>PS-stage diagnoses correspond to individuals</w:t>
      </w:r>
      <w:r>
        <w:t xml:space="preserve"> in the</w:t>
      </w:r>
      <w:r w:rsidR="003568AC">
        <w:t xml:space="preserve"> primary</w:t>
      </w:r>
      <w:r>
        <w:t xml:space="preserve"> stage</w:t>
      </w:r>
      <w:r w:rsidR="003568AC">
        <w:t>.</w:t>
      </w:r>
    </w:p>
    <w:p w14:paraId="69D9A0E1" w14:textId="77777777" w:rsidR="009411E3" w:rsidRDefault="009411E3" w:rsidP="009411E3">
      <w:r w:rsidRPr="009411E3">
        <w:t>We assume that all infected cases at baseline are undiagnosed and untreated.</w:t>
      </w:r>
    </w:p>
    <w:p w14:paraId="6C14E963" w14:textId="77777777" w:rsidR="008D0DD3" w:rsidRPr="00783D78" w:rsidRDefault="008D0DD3" w:rsidP="004831E4"/>
    <w:p w14:paraId="26267997" w14:textId="25F7230F" w:rsidR="00131835" w:rsidRPr="009A65AE" w:rsidRDefault="00131835" w:rsidP="009411E3">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79D1E52C"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D685B" w:rsidRPr="001D685B">
        <w:rPr>
          <w:rFonts w:cstheme="minorBidi"/>
          <w:i/>
          <w:iCs/>
          <w:noProof/>
          <w:szCs w:val="20"/>
          <w:vertAlign w:val="superscript"/>
        </w:rPr>
        <w:t>[3, 4]</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 </w:instrText>
      </w:r>
      <w:r w:rsidR="001D685B">
        <w:rPr>
          <w:rFonts w:cstheme="minorBidi"/>
          <w:szCs w:val="20"/>
        </w:rPr>
        <w:fldChar w:fldCharType="begin">
          <w:fldData xml:space="preserve">PEVuZE5vdGU+PENpdGU+PEF1dGhvcj5IaWNrczwvQXV0aG9yPjxZZWFyPjIwMjE8L1llYXI+PFJl
Y051bT4zPC9SZWNOdW0+PERpc3BsYXlUZXh0PjxzdHlsZSBmYWNlPSJzdXBlcnNjcmlwdCI+WzUs
IDZdPC9zdHlsZT48L0Rpc3BsYXlUZXh0PjxyZWNvcmQ+PHJlYy1udW1iZXI+MzwvcmVjLW51bWJl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D685B">
        <w:rPr>
          <w:rFonts w:cstheme="minorBidi"/>
          <w:szCs w:val="20"/>
        </w:rPr>
        <w:instrText xml:space="preserve"> ADDIN EN.CITE.DATA </w:instrText>
      </w:r>
      <w:r w:rsidR="001D685B">
        <w:rPr>
          <w:rFonts w:cstheme="minorBidi"/>
          <w:szCs w:val="20"/>
        </w:rPr>
      </w:r>
      <w:r w:rsidR="001D685B">
        <w:rPr>
          <w:rFonts w:cstheme="minorBidi"/>
          <w:szCs w:val="20"/>
        </w:rPr>
        <w:fldChar w:fldCharType="end"/>
      </w:r>
      <w:r w:rsidRPr="0005289A">
        <w:rPr>
          <w:rFonts w:cstheme="minorBidi"/>
          <w:szCs w:val="20"/>
        </w:rPr>
      </w:r>
      <w:r w:rsidRPr="0005289A">
        <w:rPr>
          <w:rFonts w:cstheme="minorBidi"/>
          <w:szCs w:val="20"/>
        </w:rPr>
        <w:fldChar w:fldCharType="separate"/>
      </w:r>
      <w:r w:rsidR="001D685B" w:rsidRPr="001D685B">
        <w:rPr>
          <w:rFonts w:cstheme="minorBidi"/>
          <w:noProof/>
          <w:szCs w:val="20"/>
          <w:vertAlign w:val="superscript"/>
        </w:rPr>
        <w:t>[5, 6]</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D685B" w:rsidRPr="001D685B">
        <w:rPr>
          <w:rFonts w:cstheme="minorBidi"/>
          <w:noProof/>
          <w:szCs w:val="20"/>
          <w:vertAlign w:val="superscript"/>
        </w:rPr>
        <w:t>[7]</w:t>
      </w:r>
      <w:r w:rsidRPr="0005289A">
        <w:rPr>
          <w:rFonts w:cstheme="minorBidi"/>
          <w:szCs w:val="20"/>
        </w:rPr>
        <w:fldChar w:fldCharType="end"/>
      </w:r>
      <w:r w:rsidR="0015279B" w:rsidRPr="0005289A">
        <w:rPr>
          <w:rFonts w:cstheme="minorBidi"/>
          <w:szCs w:val="20"/>
        </w:rPr>
        <w:t xml:space="preserve">  </w:t>
      </w:r>
    </w:p>
    <w:p w14:paraId="099831A7" w14:textId="62AEC69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 </w:instrText>
      </w:r>
      <w:r w:rsidR="001D685B">
        <w:rPr>
          <w:rFonts w:cstheme="minorBidi"/>
          <w:i/>
          <w:iCs/>
          <w:szCs w:val="20"/>
        </w:rPr>
        <w:fldChar w:fldCharType="begin">
          <w:fldData xml:space="preserve">PEVuZE5vdGU+PENpdGU+PEF1dGhvcj5NZXJjdXJpPC9BdXRob3I+PFllYXI+MjAyMjwvWWVhcj48
UmVjTnVtPjEyPC9SZWNOdW0+PERpc3BsYXlUZXh0PjxzdHlsZSBmYWNlPSJzdXBlcnNjcmlwdCI+
WzMsIDRdPC9zdHlsZT48L0Rpc3BsYXlUZXh0PjxyZWNvcmQ+PHJlYy1udW1iZXI+MTI8L3JlYy1u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D685B">
        <w:rPr>
          <w:rFonts w:cstheme="minorBidi"/>
          <w:i/>
          <w:iCs/>
          <w:szCs w:val="20"/>
        </w:rPr>
        <w:instrText xml:space="preserve"> ADDIN EN.CITE.DATA </w:instrText>
      </w:r>
      <w:r w:rsidR="001D685B">
        <w:rPr>
          <w:rFonts w:cstheme="minorBidi"/>
          <w:i/>
          <w:iCs/>
          <w:szCs w:val="20"/>
        </w:rPr>
      </w:r>
      <w:r w:rsidR="001D685B">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D685B" w:rsidRPr="001D685B">
        <w:rPr>
          <w:rFonts w:cstheme="minorBidi"/>
          <w:i/>
          <w:iCs/>
          <w:noProof/>
          <w:szCs w:val="20"/>
          <w:vertAlign w:val="superscript"/>
        </w:rPr>
        <w:t>[3, 4]</w:t>
      </w:r>
      <w:r w:rsidRPr="0015279B">
        <w:rPr>
          <w:rFonts w:cstheme="minorBidi"/>
          <w:i/>
          <w:iCs/>
          <w:szCs w:val="20"/>
        </w:rPr>
        <w:fldChar w:fldCharType="end"/>
      </w:r>
      <w:r>
        <w:rPr>
          <w:rFonts w:cstheme="minorBidi"/>
          <w:i/>
          <w:iCs/>
          <w:szCs w:val="20"/>
        </w:rPr>
        <w:t>- excluded from our model</w:t>
      </w:r>
    </w:p>
    <w:p w14:paraId="2EB597B4" w14:textId="3B2A69CB"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D685B">
        <w:rPr>
          <w:rFonts w:cstheme="minorBidi"/>
          <w:i/>
          <w:iCs/>
          <w:szCs w:val="20"/>
        </w:rPr>
        <w:instrText xml:space="preserve"> ADDIN EN.CITE &lt;EndNote&gt;&lt;Cite&gt;&lt;Author&gt;Mercuri&lt;/Author&gt;&lt;Year&gt;2022&lt;/Year&gt;&lt;RecNum&gt;12&lt;/RecNum&gt;&lt;DisplayText&gt;&lt;style face="superscript"&gt;[3]&lt;/style&gt;&lt;/DisplayText&gt;&lt;record&gt;&lt;rec-number&gt;12&lt;/rec-number&gt;&lt;foreign-keys&gt;&lt;key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D685B" w:rsidRPr="001D685B">
        <w:rPr>
          <w:rFonts w:cstheme="minorBidi"/>
          <w:i/>
          <w:iCs/>
          <w:noProof/>
          <w:szCs w:val="20"/>
          <w:vertAlign w:val="superscript"/>
        </w:rPr>
        <w:t>[3]</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1BD8F1C8"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 </w:instrText>
      </w:r>
      <w:r w:rsidR="001D685B">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WzMtN108L3N0eWxlPjwvRGlzcGxheVRleHQ+PHJlY29yZD48cmVjLW51bWJlcj4xMjwvcmVjLW51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D685B">
        <w:rPr>
          <w:rFonts w:cstheme="minorBidi"/>
          <w:b/>
          <w:bCs/>
          <w:i/>
          <w:iCs/>
          <w:color w:val="A02B93" w:themeColor="accent5"/>
          <w:szCs w:val="20"/>
          <w:u w:val="single"/>
        </w:rPr>
        <w:instrText xml:space="preserve"> ADDIN EN.CITE.DATA </w:instrText>
      </w:r>
      <w:r w:rsidR="001D685B">
        <w:rPr>
          <w:rFonts w:cstheme="minorBidi"/>
          <w:b/>
          <w:bCs/>
          <w:i/>
          <w:iCs/>
          <w:color w:val="A02B93" w:themeColor="accent5"/>
          <w:szCs w:val="20"/>
          <w:u w:val="single"/>
        </w:rPr>
      </w:r>
      <w:r w:rsidR="001D685B">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D685B" w:rsidRPr="001D685B">
        <w:rPr>
          <w:rFonts w:cstheme="minorBidi"/>
          <w:b/>
          <w:bCs/>
          <w:i/>
          <w:iCs/>
          <w:noProof/>
          <w:color w:val="A02B93" w:themeColor="accent5"/>
          <w:szCs w:val="20"/>
          <w:u w:val="single"/>
          <w:vertAlign w:val="superscript"/>
        </w:rPr>
        <w:t>[3-7]</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7E6047D"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D685B">
        <w:rPr>
          <w:rFonts w:cstheme="minorBidi"/>
          <w:szCs w:val="20"/>
        </w:rPr>
        <w:instrText xml:space="preserve"> ADDIN EN.CITE &lt;EndNote&gt;&lt;Cite&gt;&lt;Author&gt;Hicks&lt;/Author&gt;&lt;Year&gt;2021&lt;/Year&gt;&lt;RecNum&gt;3&lt;/RecNum&gt;&lt;DisplayText&gt;&lt;style face="superscript"&gt;[5]&lt;/style&gt;&lt;/DisplayText&gt;&lt;record&gt;&lt;rec-number&gt;3&lt;/rec-number&gt;&lt;foreign-keys&gt;&lt;key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[5]</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D685B" w:rsidRPr="001D685B">
        <w:rPr>
          <w:rFonts w:cstheme="minorBidi"/>
          <w:noProof/>
          <w:szCs w:val="20"/>
          <w:vertAlign w:val="superscript"/>
        </w:rPr>
        <w:t>[7]</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wk (2 wk–6 mos) </w:t>
      </w:r>
      <w:r w:rsidRPr="0058307D">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D685B" w:rsidRPr="001D685B">
        <w:rPr>
          <w:rFonts w:cstheme="minorBidi"/>
          <w:i/>
          <w:iCs/>
          <w:noProof/>
          <w:szCs w:val="20"/>
          <w:vertAlign w:val="superscript"/>
        </w:rPr>
        <w:t>[8]</w:t>
      </w:r>
      <w:r w:rsidRPr="0058307D">
        <w:rPr>
          <w:rFonts w:cstheme="minorBidi"/>
          <w:i/>
          <w:iCs/>
          <w:szCs w:val="20"/>
        </w:rPr>
        <w:fldChar w:fldCharType="end"/>
      </w:r>
    </w:p>
    <w:p w14:paraId="6210D340" w14:textId="51FC8397"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 </w:instrText>
      </w:r>
      <w:r w:rsidR="001D685B">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Y051bT4zPC9SZWNOdW0+PERpc3BsYXlUZXh0PjxzdHlsZSBmYWNlPSJzdXBlcnNjcmlwdCI+WzUs
IDcsIDhdPC9zdHlsZT48L0Rpc3BsYXlUZXh0PjxyZWNvcmQ+PHJlYy1udW1iZXI+MzwvcmVjLW51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D685B">
        <w:rPr>
          <w:rFonts w:cstheme="minorBidi"/>
          <w:b/>
          <w:bCs/>
          <w:color w:val="A02B93" w:themeColor="accent5"/>
          <w:szCs w:val="20"/>
          <w:u w:val="single"/>
        </w:rPr>
        <w:instrText xml:space="preserve"> ADDIN EN.CITE.DATA </w:instrText>
      </w:r>
      <w:r w:rsidR="001D685B">
        <w:rPr>
          <w:rFonts w:cstheme="minorBidi"/>
          <w:b/>
          <w:bCs/>
          <w:color w:val="A02B93" w:themeColor="accent5"/>
          <w:szCs w:val="20"/>
          <w:u w:val="single"/>
        </w:rPr>
      </w:r>
      <w:r w:rsidR="001D685B">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D685B" w:rsidRPr="001D685B">
        <w:rPr>
          <w:rFonts w:cstheme="minorBidi"/>
          <w:b/>
          <w:bCs/>
          <w:noProof/>
          <w:color w:val="A02B93" w:themeColor="accent5"/>
          <w:szCs w:val="20"/>
          <w:u w:val="single"/>
          <w:vertAlign w:val="superscript"/>
        </w:rPr>
        <w:t>[5, 7, 8]</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lastRenderedPageBreak/>
        <w:t xml:space="preserve"> </w:t>
      </w:r>
    </w:p>
    <w:p w14:paraId="1306ABB6" w14:textId="1FA53FD9" w:rsidR="00591E65" w:rsidRPr="008F15B1" w:rsidRDefault="00AD6635" w:rsidP="00D64182">
      <w:pPr>
        <w:pStyle w:val="Heading2"/>
      </w:pPr>
      <w:r>
        <w:t>Relapse EL to Secondary</w:t>
      </w:r>
    </w:p>
    <w:p w14:paraId="4F0ADD46" w14:textId="77777777" w:rsidR="00DA3A8F" w:rsidRPr="009A65AE" w:rsidRDefault="00DA3A8F" w:rsidP="00D64182">
      <w:pPr>
        <w:pStyle w:val="Heading2"/>
      </w:pPr>
      <w:r w:rsidRPr="009A65AE">
        <w:t>Early Latent</w:t>
      </w:r>
    </w:p>
    <w:p w14:paraId="51952598" w14:textId="170153C1"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D685B">
        <w:rPr>
          <w:rFonts w:cstheme="minorBidi"/>
          <w:i/>
          <w:iCs/>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D685B" w:rsidRPr="001D685B">
        <w:rPr>
          <w:rFonts w:cstheme="minorBidi"/>
          <w:i/>
          <w:iCs/>
          <w:noProof/>
          <w:szCs w:val="20"/>
          <w:vertAlign w:val="superscript"/>
        </w:rPr>
        <w:t>[8]</w:t>
      </w:r>
      <w:r w:rsidR="00633631" w:rsidRPr="00633631">
        <w:rPr>
          <w:rFonts w:cstheme="minorBidi"/>
          <w:i/>
          <w:iCs/>
          <w:szCs w:val="20"/>
        </w:rPr>
        <w:fldChar w:fldCharType="end"/>
      </w:r>
    </w:p>
    <w:p w14:paraId="2467D191" w14:textId="22DE6AD4"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D685B">
        <w:rPr>
          <w:rFonts w:cstheme="minorBidi"/>
          <w:b/>
          <w:bCs/>
          <w:color w:val="7030A0"/>
          <w:szCs w:val="20"/>
        </w:rPr>
        <w:instrText xml:space="preserve"> ADDIN EN.CITE &lt;EndNote&gt;&lt;Cite&gt;&lt;Author&gt;Singh&lt;/Author&gt;&lt;Year&gt;1999&lt;/Year&gt;&lt;RecNum&gt;6&lt;/RecNum&gt;&lt;DisplayText&gt;&lt;style face="superscript"&gt;[8]&lt;/style&gt;&lt;/DisplayText&gt;&lt;record&gt;&lt;rec-number&gt;6&lt;/rec-number&gt;&lt;foreign-keys&gt;&lt;key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D685B" w:rsidRPr="001D685B">
        <w:rPr>
          <w:rFonts w:cstheme="minorBidi"/>
          <w:b/>
          <w:bCs/>
          <w:noProof/>
          <w:color w:val="7030A0"/>
          <w:szCs w:val="20"/>
          <w:vertAlign w:val="superscript"/>
        </w:rPr>
        <w:t>[8]</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6E5F16D2"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476542F8"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syphilis,  7 of whom were diagnosed at walk-in STI clinic </w:t>
      </w:r>
      <w:r>
        <w:rPr>
          <w:rFonts w:cs="Calibri"/>
          <w:i/>
          <w:iCs/>
          <w:szCs w:val="20"/>
        </w:rPr>
        <w:t>between</w:t>
      </w:r>
      <w:r>
        <w:rPr>
          <w:rFonts w:cs="Calibri"/>
          <w:szCs w:val="20"/>
        </w:rPr>
        <w:t xml:space="preserve"> PrEP appointments </w:t>
      </w:r>
    </w:p>
    <w:p w14:paraId="229EAFE4" w14:textId="2C1874D4"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D685B">
        <w:rPr>
          <w:rFonts w:cs="Calibri"/>
          <w:szCs w:val="20"/>
        </w:rPr>
        <w:instrText xml:space="preserve"> ADDIN EN.CITE &lt;EndNote&gt;&lt;Cite&gt;&lt;Author&gt;Peel&lt;/Author&gt;&lt;Year&gt;2021&lt;/Year&gt;&lt;RecNum&gt;1247&lt;/RecNum&gt;&lt;DisplayText&gt;&lt;style face="superscript"&gt;[9]&lt;/style&gt;&lt;/DisplayText&gt;&lt;record&gt;&lt;rec-number&gt;1247&lt;/rec-number&gt;&lt;foreign-keys&gt;&lt;key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D685B" w:rsidRPr="001D685B">
        <w:rPr>
          <w:rFonts w:cs="Calibri"/>
          <w:noProof/>
          <w:szCs w:val="20"/>
          <w:vertAlign w:val="superscript"/>
        </w:rPr>
        <w:t>[9]</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62DD9A4F"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r w:rsidR="00614E87" w:rsidRPr="00614E87">
        <w:rPr>
          <w:rFonts w:cs="Calibri"/>
          <w:szCs w:val="20"/>
        </w:rPr>
        <w:t>Berzkalns,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D685B">
        <w:rPr>
          <w:rFonts w:cs="Calibri"/>
          <w:szCs w:val="20"/>
        </w:rPr>
        <w:instrText xml:space="preserve"> ADDIN EN.CITE &lt;EndNote&gt;&lt;Cite&gt;&lt;Author&gt;Kerani&lt;/Author&gt;&lt;Year&gt;2024&lt;/Year&gt;&lt;RecNum&gt;1268&lt;/RecNum&gt;&lt;DisplayText&gt;&lt;style face="superscript"&gt;[25]&lt;/style&gt;&lt;/DisplayText&gt;&lt;record&gt;&lt;rec-number&gt;1268&lt;/rec-number&gt;&lt;foreign-keys&gt;&lt;key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D685B" w:rsidRPr="001D685B">
        <w:rPr>
          <w:rFonts w:cs="Calibri"/>
          <w:noProof/>
          <w:szCs w:val="20"/>
          <w:vertAlign w:val="superscript"/>
        </w:rPr>
        <w:t>[25]</w:t>
      </w:r>
      <w:r w:rsidR="00614E87">
        <w:rPr>
          <w:rFonts w:cs="Calibri"/>
          <w:szCs w:val="20"/>
        </w:rPr>
        <w:fldChar w:fldCharType="end"/>
      </w:r>
      <w:r w:rsidR="00F20E11" w:rsidRPr="00F20E11">
        <w:rPr>
          <w:rFonts w:cs="Calibri"/>
          <w:szCs w:val="20"/>
        </w:rPr>
        <w:t>. Among women, the majority of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r w:rsidRPr="009A65AE">
        <w:rPr>
          <w:rFonts w:cstheme="minorBidi"/>
          <w:i/>
          <w:iCs/>
          <w:szCs w:val="20"/>
        </w:rPr>
        <w:t>tabes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which involves progressive cognitive decline, personality changes, psychosis, and motor deficits. Furthermore, ocular and otic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gummatous disease (granulomatous disease of the skin and subcutaneous tissues, bones, or viscera) or neurologic involvement. Appearance of these presentations is dependent on where T.Palldium dissemination occurs within the body</w:t>
      </w:r>
      <w:r w:rsidR="0028131A">
        <w:t xml:space="preserve">. </w:t>
      </w:r>
    </w:p>
    <w:p w14:paraId="759FA8CD" w14:textId="2F475781"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r w:rsidRPr="009A65AE">
        <w:rPr>
          <w:rFonts w:cstheme="minorBidi"/>
          <w:szCs w:val="20"/>
        </w:rPr>
        <w:t xml:space="preserve">Gummatous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D685B">
        <w:rPr>
          <w:rFonts w:cstheme="minorBidi"/>
          <w:szCs w:val="20"/>
        </w:rPr>
        <w:instrText xml:space="preserve"> ADDIN EN.CITE &lt;EndNote&gt;&lt;Cite&gt;&lt;Author&gt;Gross&lt;/Author&gt;&lt;Year&gt;2011&lt;/Year&gt;&lt;RecNum&gt;7&lt;/RecNum&gt;&lt;DisplayText&gt;&lt;style face="superscript"&gt;[7]&lt;/style&gt;&lt;/DisplayText&gt;&lt;record&gt;&lt;rec-number&gt;7&lt;/rec-number&gt;&lt;foreign-keys&gt;&lt;key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D685B" w:rsidRPr="001D685B">
        <w:rPr>
          <w:rFonts w:cstheme="minorBidi"/>
          <w:noProof/>
          <w:szCs w:val="20"/>
          <w:vertAlign w:val="superscript"/>
        </w:rPr>
        <w:t>[7]</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tabes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4D2A18FB"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D685B">
        <w:rPr>
          <w:rFonts w:cs="Calibri"/>
          <w:b/>
          <w:bCs/>
          <w:szCs w:val="20"/>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D685B" w:rsidRPr="001D685B">
        <w:rPr>
          <w:rFonts w:cs="Calibri"/>
          <w:b/>
          <w:bCs/>
          <w:noProof/>
          <w:szCs w:val="20"/>
          <w:vertAlign w:val="superscript"/>
        </w:rPr>
        <w:t>[10]</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 xml:space="preserve">rate: (-ln(1-.003))/(1/12)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(-ln(1-.011))/(3/12)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(-ln(1-.008))/(8/12)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34380A16"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stages </w:t>
      </w:r>
      <w:r w:rsidRPr="00A854D6">
        <w:rPr>
          <w:color w:val="7030A0"/>
          <w:u w:val="single"/>
        </w:rPr>
        <w:t xml:space="preserve"> = 5%* [25-60%]=[1.25–3%] </w:t>
      </w:r>
      <w:r w:rsidRPr="00A854D6">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 </w:instrText>
      </w:r>
      <w:r w:rsidR="001D685B">
        <w:rPr>
          <w:color w:val="7030A0"/>
          <w:u w:val="single"/>
        </w:rPr>
        <w:fldChar w:fldCharType="begin">
          <w:fldData xml:space="preserve">PEVuZE5vdGU+PENpdGU+PEF1dGhvcj5Hb2xkZW48L0F1dGhvcj48WWVhcj4yMDAzPC9ZZWFyPjxS
ZWNOdW0+MTQ8L1JlY051bT48RGlzcGxheVRleHQ+PHN0eWxlIGZhY2U9InN1cGVyc2NyaXB0Ij5b
NCwgMTFdPC9zdHlsZT48L0Rpc3BsYXlUZXh0PjxyZWNvcmQ+PHJlYy1udW1iZXI+MTQ8L3JlYy1u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D685B">
        <w:rPr>
          <w:color w:val="7030A0"/>
          <w:u w:val="single"/>
        </w:rPr>
        <w:instrText xml:space="preserve"> ADDIN EN.CITE.DATA </w:instrText>
      </w:r>
      <w:r w:rsidR="001D685B">
        <w:rPr>
          <w:color w:val="7030A0"/>
          <w:u w:val="single"/>
        </w:rPr>
      </w:r>
      <w:r w:rsidR="001D685B">
        <w:rPr>
          <w:color w:val="7030A0"/>
          <w:u w:val="single"/>
        </w:rPr>
        <w:fldChar w:fldCharType="end"/>
      </w:r>
      <w:r w:rsidRPr="00A854D6">
        <w:rPr>
          <w:color w:val="7030A0"/>
          <w:u w:val="single"/>
        </w:rPr>
      </w:r>
      <w:r w:rsidRPr="00A854D6">
        <w:rPr>
          <w:color w:val="7030A0"/>
          <w:u w:val="single"/>
        </w:rPr>
        <w:fldChar w:fldCharType="separate"/>
      </w:r>
      <w:r w:rsidR="001D685B" w:rsidRPr="001D685B">
        <w:rPr>
          <w:noProof/>
          <w:color w:val="7030A0"/>
          <w:u w:val="single"/>
          <w:vertAlign w:val="superscript"/>
        </w:rPr>
        <w:t>[4, 11]</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r>
        <w:rPr>
          <w:rFonts w:cs="Calibri"/>
          <w:b/>
          <w:bCs/>
          <w:szCs w:val="20"/>
        </w:rPr>
        <w:t xml:space="preserve">PS.to.CNS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(-ln(1-.0125))/(4/12)</w:t>
      </w:r>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r>
        <w:rPr>
          <w:rFonts w:cs="Calibri"/>
          <w:b/>
          <w:bCs/>
          <w:szCs w:val="20"/>
        </w:rPr>
        <w:t xml:space="preserve">PS.to.CNS </w:t>
      </w:r>
      <w:r w:rsidR="00034D05" w:rsidRPr="0019013F">
        <w:rPr>
          <w:rFonts w:cs="Calibri"/>
          <w:b/>
          <w:bCs/>
          <w:szCs w:val="20"/>
        </w:rPr>
        <w:t>r</w:t>
      </w:r>
      <w:r>
        <w:rPr>
          <w:rFonts w:cs="Calibri"/>
          <w:b/>
          <w:bCs/>
          <w:szCs w:val="20"/>
        </w:rPr>
        <w:t>a</w:t>
      </w:r>
      <w:r w:rsidR="00034D05" w:rsidRPr="0019013F">
        <w:rPr>
          <w:rFonts w:cs="Calibri"/>
          <w:b/>
          <w:bCs/>
          <w:szCs w:val="20"/>
        </w:rPr>
        <w:t>te UB= (-ln(1-.03))/(4/12)=0.091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3D6ED5F1"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 </w:instrText>
      </w:r>
      <w:r w:rsidR="001D685B">
        <w:rPr>
          <w:rFonts w:cs="Calibri"/>
          <w:b/>
          <w:bCs/>
          <w:szCs w:val="20"/>
          <w:highlight w:val="yellow"/>
        </w:rPr>
        <w:fldChar w:fldCharType="begin">
          <w:fldData xml:space="preserve">PEVuZE5vdGU+PENpdGU+PEF1dGhvcj5EZSBWb3V4PC9BdXRob3I+PFllYXI+MjAxODwvWWVhcj48
UmVjTnVtPjEyNDk8L1JlY051bT48RGlzcGxheVRleHQ+PHN0eWxlIGZhY2U9InN1cGVyc2NyaXB0
Ij5bNCwgMTAsIDExXTwvc3R5bGU+PC9EaXNwbGF5VGV4dD48cmVjb3JkPjxyZWMtbnVtYmVyPjEy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D685B">
        <w:rPr>
          <w:rFonts w:cs="Calibri"/>
          <w:b/>
          <w:bCs/>
          <w:szCs w:val="20"/>
          <w:highlight w:val="yellow"/>
        </w:rPr>
        <w:instrText xml:space="preserve"> ADDIN EN.CITE.DATA </w:instrText>
      </w:r>
      <w:r w:rsidR="001D685B">
        <w:rPr>
          <w:rFonts w:cs="Calibri"/>
          <w:b/>
          <w:bCs/>
          <w:szCs w:val="20"/>
          <w:highlight w:val="yellow"/>
        </w:rPr>
      </w:r>
      <w:r w:rsidR="001D685B">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D685B" w:rsidRPr="001D685B">
        <w:rPr>
          <w:rFonts w:cs="Calibri"/>
          <w:b/>
          <w:bCs/>
          <w:noProof/>
          <w:szCs w:val="20"/>
          <w:highlight w:val="yellow"/>
          <w:vertAlign w:val="superscript"/>
        </w:rPr>
        <w:t>[4, 10, 11]</w:t>
      </w:r>
      <w:r w:rsidRPr="0019013F">
        <w:rPr>
          <w:rFonts w:cs="Calibri"/>
          <w:b/>
          <w:bCs/>
          <w:szCs w:val="20"/>
          <w:highlight w:val="yellow"/>
        </w:rPr>
        <w:fldChar w:fldCharType="end"/>
      </w:r>
    </w:p>
    <w:p w14:paraId="0146CF87" w14:textId="6F2B331F"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D685B">
        <w:rPr>
          <w:rFonts w:cs="Calibri"/>
          <w:b/>
          <w:bCs/>
          <w:szCs w:val="20"/>
          <w:highlight w:val="yellow"/>
        </w:rPr>
        <w:instrText xml:space="preserve"> ADDIN EN.CITE &lt;EndNote&gt;&lt;Cite&gt;&lt;Author&gt;De Voux&lt;/Author&gt;&lt;Year&gt;2018&lt;/Year&gt;&lt;RecNum&gt;1249&lt;/RecNum&gt;&lt;DisplayText&gt;&lt;style face="superscript"&gt;[10]&lt;/style&gt;&lt;/DisplayText&gt;&lt;record&gt;&lt;rec-number&gt;1249&lt;/rec-number&gt;&lt;foreign-keys&gt;&lt;key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D685B" w:rsidRPr="001D685B">
        <w:rPr>
          <w:rFonts w:cs="Calibri"/>
          <w:b/>
          <w:bCs/>
          <w:noProof/>
          <w:szCs w:val="20"/>
          <w:highlight w:val="yellow"/>
          <w:vertAlign w:val="superscript"/>
        </w:rPr>
        <w:t>[10]</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546A4179"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D685B" w:rsidRPr="001D685B">
        <w:rPr>
          <w:noProof/>
          <w:vertAlign w:val="superscript"/>
        </w:rPr>
        <w:t>[12]</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r w:rsidRPr="008146E3">
              <w:rPr>
                <w:b w:val="0"/>
                <w:bCs w:val="0"/>
                <w:sz w:val="16"/>
                <w:szCs w:val="16"/>
              </w:rPr>
              <w:t>tabes.dorsalis</w:t>
            </w:r>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r w:rsidRPr="008146E3">
              <w:rPr>
                <w:b w:val="0"/>
                <w:bCs w:val="0"/>
                <w:sz w:val="16"/>
                <w:szCs w:val="16"/>
              </w:rPr>
              <w:t>gumma.of.brain</w:t>
            </w:r>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r w:rsidRPr="008146E3">
              <w:rPr>
                <w:b w:val="0"/>
                <w:bCs w:val="0"/>
                <w:sz w:val="16"/>
                <w:szCs w:val="16"/>
              </w:rPr>
              <w:t>diffuse.meningovascular</w:t>
            </w:r>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r w:rsidRPr="008146E3">
              <w:rPr>
                <w:b w:val="0"/>
                <w:bCs w:val="0"/>
                <w:sz w:val="16"/>
                <w:szCs w:val="16"/>
              </w:rPr>
              <w:t>general.paresis</w:t>
            </w:r>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r w:rsidRPr="008146E3">
              <w:rPr>
                <w:b w:val="0"/>
                <w:bCs w:val="0"/>
                <w:sz w:val="16"/>
                <w:szCs w:val="16"/>
              </w:rPr>
              <w:lastRenderedPageBreak/>
              <w:t>tabes.dorsalis</w:t>
            </w:r>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r w:rsidRPr="008146E3">
              <w:rPr>
                <w:b w:val="0"/>
                <w:bCs w:val="0"/>
                <w:sz w:val="16"/>
                <w:szCs w:val="16"/>
              </w:rPr>
              <w:t>gumma.of.brain</w:t>
            </w:r>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9534D30"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D685B">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D685B" w:rsidRPr="001D685B">
        <w:rPr>
          <w:noProof/>
          <w:vertAlign w:val="superscript"/>
        </w:rPr>
        <w:t>[12]</w:t>
      </w:r>
      <w:r>
        <w:fldChar w:fldCharType="end"/>
      </w:r>
      <w:r>
        <w:t>. We first compute the rate of developing late benign and cardiovascular syphilis, and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748C1804">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493810FF"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D685B">
        <w:rPr>
          <w:rFonts w:ascii="Georgia" w:hAnsi="Georgia"/>
          <w:color w:val="1F1F1F"/>
        </w:rPr>
        <w:instrText xml:space="preserve"> ADDIN EN.CITE &lt;EndNote&gt;&lt;Cite&gt;&lt;Author&gt;Clark&lt;/Author&gt;&lt;Year&gt;1955&lt;/Year&gt;&lt;RecNum&gt;1250&lt;/RecNum&gt;&lt;DisplayText&gt;&lt;style face="superscript"&gt;[12]&lt;/style&gt;&lt;/DisplayText&gt;&lt;record&gt;&lt;rec-number&gt;1250&lt;/rec-number&gt;&lt;foreign-keys&gt;&lt;key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D685B" w:rsidRPr="001D685B">
        <w:rPr>
          <w:rFonts w:ascii="Georgia" w:hAnsi="Georgia"/>
          <w:noProof/>
          <w:color w:val="1F1F1F"/>
          <w:vertAlign w:val="superscript"/>
        </w:rPr>
        <w:t>[12]</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r w:rsidRPr="00256546">
        <w:rPr>
          <w:rFonts w:cstheme="minorBidi"/>
          <w:szCs w:val="20"/>
        </w:rPr>
        <w:t>rate.male.benign.late.est:  0.005</w:t>
      </w:r>
      <w:r w:rsidR="00E02FA0" w:rsidRPr="00256546">
        <w:rPr>
          <w:rFonts w:cstheme="minorBidi"/>
          <w:szCs w:val="20"/>
        </w:rPr>
        <w:t>58</w:t>
      </w:r>
      <w:r w:rsidRPr="00256546">
        <w:rPr>
          <w:rFonts w:cstheme="minorBidi"/>
          <w:szCs w:val="20"/>
        </w:rPr>
        <w:t xml:space="preserve"> [sd</w:t>
      </w:r>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r w:rsidRPr="00256546">
        <w:rPr>
          <w:rFonts w:cstheme="minorBidi"/>
          <w:szCs w:val="20"/>
        </w:rPr>
        <w:t>rate.female.benign.late.est:  0.0075</w:t>
      </w:r>
      <w:r w:rsidR="00DA47A7" w:rsidRPr="00256546">
        <w:rPr>
          <w:rFonts w:cstheme="minorBidi"/>
          <w:szCs w:val="20"/>
        </w:rPr>
        <w:t>1</w:t>
      </w:r>
      <w:r w:rsidRPr="00256546">
        <w:rPr>
          <w:rFonts w:cstheme="minorBidi"/>
          <w:szCs w:val="20"/>
        </w:rPr>
        <w:t>[s</w:t>
      </w:r>
      <w:r w:rsidR="00DA47A7" w:rsidRPr="00256546">
        <w:rPr>
          <w:rFonts w:cstheme="minorBidi"/>
          <w:szCs w:val="20"/>
        </w:rPr>
        <w:t>d=</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agegroup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age </w:t>
      </w:r>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009BD020">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3B106FBF">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women</w:t>
      </w:r>
      <w:r w:rsidR="00B01CA7" w:rsidRPr="00CB0F2B">
        <w:rPr>
          <w:rFonts w:cstheme="minorBidi"/>
          <w:szCs w:val="20"/>
        </w:rPr>
        <w:t xml:space="preserve">, and estimate the duration of </w:t>
      </w:r>
      <w:r w:rsidR="00280516" w:rsidRPr="00CB0F2B">
        <w:rPr>
          <w:rFonts w:cstheme="minorBidi"/>
          <w:szCs w:val="20"/>
        </w:rPr>
        <w:t xml:space="preserve">infection at diagnosis from Figure 10. Note that this is not the duration to onset of sypmpthoms.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r w:rsidRPr="00256546">
        <w:rPr>
          <w:highlight w:val="yellow"/>
        </w:rPr>
        <w:t>rate.male.tertiary.late.range=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r w:rsidRPr="00256546">
        <w:rPr>
          <w:highlight w:val="yellow"/>
        </w:rPr>
        <w:t>rate.female.tertiary.late.range=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9411E3">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7713733E" w14:textId="46D10613"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D685B">
        <w:rPr>
          <w:rFonts w:cs="Calibri"/>
          <w:szCs w:val="20"/>
        </w:rPr>
        <w:instrText xml:space="preserve"> ADDIN EN.CITE &lt;EndNote&gt;&lt;Cite&gt;&lt;Author&gt;Alexander&lt;/Author&gt;&lt;Year&gt;1949&lt;/Year&gt;&lt;RecNum&gt;1248&lt;/RecNum&gt;&lt;DisplayText&gt;&lt;style face="superscript"&gt;[13]&lt;/style&gt;&lt;/DisplayText&gt;&lt;record&gt;&lt;rec-number&gt;1248&lt;/rec-number&gt;&lt;foreign-keys&gt;&lt;key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D685B" w:rsidRPr="001D685B">
        <w:rPr>
          <w:rFonts w:cs="Calibri"/>
          <w:noProof/>
          <w:szCs w:val="20"/>
          <w:vertAlign w:val="superscript"/>
        </w:rPr>
        <w:t>[13]</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9411E3">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multibirths </w:t>
      </w:r>
    </w:p>
    <w:p w14:paraId="48E3A9C7" w14:textId="7DB8A659" w:rsidR="00847F38" w:rsidRDefault="00847F38" w:rsidP="00847F38">
      <w:r>
        <w:t>In the United States in 2023, 96.9% of all live births were singleton births and 3.1% were multiple births.</w:t>
      </w:r>
      <w:r w:rsidR="0056198A">
        <w:fldChar w:fldCharType="begin"/>
      </w:r>
      <w:r w:rsidR="003546D4">
        <w:instrText xml:space="preserve"> ADDIN EN.CITE &lt;EndNote&gt;&lt;Cite&gt;&lt;Author&gt;March of Dimes&lt;/Author&gt;&lt;Year&gt;2023&lt;/Year&gt;&lt;RecNum&gt;1256&lt;/RecNum&gt;&lt;DisplayText&gt;&lt;style face="superscript"&gt;[20]&lt;/style&gt;&lt;/DisplayText&gt;&lt;record&gt;&lt;rec-number&gt;1256&lt;/rec-number&gt;&lt;foreign-keys&gt;&lt;key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D685B" w:rsidRPr="001D685B">
        <w:rPr>
          <w:noProof/>
          <w:vertAlign w:val="superscript"/>
        </w:rPr>
        <w:t>[20]</w:t>
      </w:r>
      <w:r w:rsidR="0056198A">
        <w:fldChar w:fldCharType="end"/>
      </w:r>
    </w:p>
    <w:p w14:paraId="7090F88A" w14:textId="56AAE8C3" w:rsidR="00C268A5" w:rsidRPr="00C268A5" w:rsidRDefault="00C268A5" w:rsidP="00C268A5">
      <w:r>
        <w:t xml:space="preserve">Race specific estimates if we need them later on: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3D14B934" w:rsidR="005971F9" w:rsidRDefault="005971F9" w:rsidP="00537214">
      <w:pPr>
        <w:pStyle w:val="ListParagraph"/>
        <w:numPr>
          <w:ilvl w:val="0"/>
          <w:numId w:val="22"/>
        </w:numPr>
      </w:pPr>
      <w:r>
        <w:t>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full term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D685B">
        <w:instrText xml:space="preserve"> ADDIN EN.CITE &lt;EndNote&gt;&lt;Cite&gt;&lt;Author&gt;Ingraham Jr&lt;/Author&gt;&lt;Year&gt;1950&lt;/Year&gt;&lt;RecNum&gt;1255&lt;/RecNum&gt;&lt;DisplayText&gt;&lt;style face="superscript"&gt;[17]&lt;/style&gt;&lt;/DisplayText&gt;&lt;record&gt;&lt;rec-number&gt;1255&lt;/rec-number&gt;&lt;foreign-keys&gt;&lt;key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D685B" w:rsidRPr="001D685B">
        <w:rPr>
          <w:noProof/>
          <w:vertAlign w:val="superscript"/>
        </w:rPr>
        <w:t>[17]</w:t>
      </w:r>
      <w:r w:rsidR="001810EC">
        <w:fldChar w:fldCharType="end"/>
      </w:r>
    </w:p>
    <w:p w14:paraId="2AE50D5E" w14:textId="573FED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D685B">
        <w:instrText xml:space="preserve"> ADDIN EN.CITE &lt;EndNote&gt;&lt;Cite&gt;&lt;Author&gt;Fiumara&lt;/Author&gt;&lt;Year&gt;1952&lt;/Year&gt;&lt;RecNum&gt;1252&lt;/RecNum&gt;&lt;DisplayText&gt;&lt;style face="superscript"&gt;[15]&lt;/style&gt;&lt;/DisplayText&gt;&lt;record&gt;&lt;rec-number&gt;1252&lt;/rec-number&gt;&lt;foreign-keys&gt;&lt;key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D685B" w:rsidRPr="001D685B">
        <w:rPr>
          <w:noProof/>
          <w:vertAlign w:val="superscript"/>
        </w:rPr>
        <w:t>[15]</w:t>
      </w:r>
      <w:r>
        <w:fldChar w:fldCharType="end"/>
      </w:r>
    </w:p>
    <w:p w14:paraId="261ED97F" w14:textId="1D981AFA"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D685B">
        <w:instrText xml:space="preserve"> ADDIN EN.CITE &lt;EndNote&gt;&lt;Cite&gt;&lt;Author&gt;Sheffield&lt;/Author&gt;&lt;Year&gt;2002&lt;/Year&gt;&lt;RecNum&gt;1254&lt;/RecNum&gt;&lt;DisplayText&gt;&lt;style face="superscript"&gt;[27]&lt;/style&gt;&lt;/DisplayText&gt;&lt;record&gt;&lt;rec-number&gt;1254&lt;/rec-number&gt;&lt;foreign-keys&gt;&lt;key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D685B" w:rsidRPr="001D685B">
        <w:rPr>
          <w:noProof/>
          <w:vertAlign w:val="superscript"/>
        </w:rPr>
        <w:t>[27]</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09E95314" w:rsidR="006C6C1B" w:rsidRDefault="006C6C1B" w:rsidP="00955D96">
      <w:r w:rsidRPr="005E5A7D">
        <w:rPr>
          <w:b/>
          <w:bCs/>
        </w:rPr>
        <w:t xml:space="preserve">Risk of congenital syphilis </w:t>
      </w:r>
      <w:r>
        <w:t xml:space="preserve"> </w:t>
      </w:r>
      <w:r>
        <w:fldChar w:fldCharType="begin"/>
      </w:r>
      <w:r w:rsidR="001D685B">
        <w:instrText xml:space="preserve"> ADDIN EN.CITE &lt;EndNote&gt;&lt;Cite&gt;&lt;Author&gt;Qin JiaBi&lt;/Author&gt;&lt;Year&gt;2014&lt;/Year&gt;&lt;RecNum&gt;1259&lt;/RecNum&gt;&lt;DisplayText&gt;&lt;style face="superscript"&gt;[18]&lt;/style&gt;&lt;/DisplayText&gt;&lt;record&gt;&lt;rec-number&gt;1259&lt;/rec-number&gt;&lt;foreign-keys&gt;&lt;key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D685B" w:rsidRPr="001D685B">
        <w:rPr>
          <w:noProof/>
          <w:vertAlign w:val="superscript"/>
        </w:rPr>
        <w:t>[18]</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89F4AAB"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D685B">
        <w:instrText xml:space="preserve"> ADDIN EN.CITE &lt;EndNote&gt;&lt;Cite&gt;&lt;Author&gt;Hawkes&lt;/Author&gt;&lt;Year&gt;2013&lt;/Year&gt;&lt;RecNum&gt;1260&lt;/RecNum&gt;&lt;DisplayText&gt;&lt;style face="superscript"&gt;[28]&lt;/style&gt;&lt;/DisplayText&gt;&lt;record&gt;&lt;rec-number&gt;1260&lt;/rec-number&gt;&lt;foreign-keys&gt;&lt;key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D685B" w:rsidRPr="001D685B">
        <w:rPr>
          <w:noProof/>
          <w:vertAlign w:val="superscript"/>
        </w:rPr>
        <w:t>[28]</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48EAF3DB"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D685B">
        <w:instrText xml:space="preserve"> ADDIN EN.CITE &lt;EndNote&gt;&lt;Cite&gt;&lt;Author&gt;Tannis&lt;/Author&gt;&lt;Year&gt;2022&lt;/Year&gt;&lt;RecNum&gt;1278&lt;/RecNum&gt;&lt;DisplayText&gt;&lt;style face="superscript"&gt;[29]&lt;/style&gt;&lt;/DisplayText&gt;&lt;record&gt;&lt;rec-number&gt;1278&lt;/rec-number&gt;&lt;foreign-keys&gt;&lt;key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D685B" w:rsidRPr="001D685B">
        <w:rPr>
          <w:noProof/>
          <w:vertAlign w:val="superscript"/>
        </w:rPr>
        <w:t>[29]</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were </w:t>
      </w:r>
      <w:r>
        <w:rPr>
          <w:i/>
          <w:iCs/>
        </w:rPr>
        <w:t xml:space="preserve"> a</w:t>
      </w:r>
      <w:r w:rsidRPr="00B92F69">
        <w:rPr>
          <w:i/>
          <w:iCs/>
        </w:rPr>
        <w:t>dequately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0E412DDA"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D685B">
        <w:instrText xml:space="preserve"> ADDIN EN.CITE &lt;EndNote&gt;&lt;Cite&gt;&lt;Author&gt;Workowski&lt;/Author&gt;&lt;Year&gt;2021&lt;/Year&gt;&lt;RecNum&gt;1261&lt;/RecNum&gt;&lt;DisplayText&gt;&lt;style face="superscript"&gt;[30]&lt;/style&gt;&lt;/DisplayText&gt;&lt;record&gt;&lt;rec-number&gt;1261&lt;/rec-number&gt;&lt;foreign-keys&gt;&lt;key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D685B" w:rsidRPr="001D685B">
        <w:rPr>
          <w:noProof/>
          <w:vertAlign w:val="superscript"/>
        </w:rPr>
        <w:t>[30]</w:t>
      </w:r>
      <w:r>
        <w:fldChar w:fldCharType="end"/>
      </w:r>
      <w:r>
        <w:t xml:space="preserve">. </w:t>
      </w:r>
    </w:p>
    <w:p w14:paraId="0509AD2E" w14:textId="7DB2B54E"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D685B">
        <w:instrText xml:space="preserve"> ADDIN EN.CITE &lt;EndNote&gt;&lt;Cite&gt;&lt;Author&gt;Alexander&lt;/Author&gt;&lt;Year&gt;1999&lt;/Year&gt;&lt;RecNum&gt;1262&lt;/RecNum&gt;&lt;DisplayText&gt;&lt;style face="superscript"&gt;[19]&lt;/style&gt;&lt;/DisplayText&gt;&lt;record&gt;&lt;rec-number&gt;1262&lt;/rec-number&gt;&lt;foreign-keys&gt;&lt;key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D685B" w:rsidRPr="001D685B">
        <w:rPr>
          <w:noProof/>
          <w:vertAlign w:val="superscript"/>
        </w:rPr>
        <w:t>[19]</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9411E3">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332EECF5"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D685B">
        <w:rPr>
          <w:rFonts w:cs="Calibri"/>
          <w:szCs w:val="20"/>
        </w:rPr>
        <w:instrText xml:space="preserve"> ADDIN EN.CITE &lt;EndNote&gt;&lt;Cite&gt;&lt;Author&gt;Robinson&lt;/Author&gt;&lt;Year&gt;2016&lt;/Year&gt;&lt;RecNum&gt;1263&lt;/RecNum&gt;&lt;DisplayText&gt;&lt;style face="superscript"&gt;[31]&lt;/style&gt;&lt;/DisplayText&gt;&lt;record&gt;&lt;rec-number&gt;1263&lt;/rec-number&gt;&lt;foreign-keys&gt;&lt;key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D685B" w:rsidRPr="001D685B">
        <w:rPr>
          <w:rFonts w:cs="Calibri"/>
          <w:noProof/>
          <w:szCs w:val="20"/>
          <w:vertAlign w:val="superscript"/>
        </w:rPr>
        <w:t>[31]</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Primary and secondary syphilis cases reported from during the period January 1, 2009, to December 31, 2012</w:t>
      </w:r>
      <w:r>
        <w:rPr>
          <w:rFonts w:cs="Calibri"/>
          <w:szCs w:val="20"/>
        </w:rPr>
        <w:t xml:space="preserve"> </w:t>
      </w:r>
      <w:r w:rsidRPr="009C5954">
        <w:rPr>
          <w:rFonts w:cs="Calibri"/>
          <w:szCs w:val="20"/>
        </w:rPr>
        <w:t xml:space="preserve"> were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r w:rsidRPr="007958DF">
        <w:rPr>
          <w:rFonts w:cs="Calibri"/>
          <w:b/>
          <w:bCs/>
          <w:szCs w:val="20"/>
          <w:highlight w:val="yellow"/>
        </w:rPr>
        <w:t>proportion.immediately.treated=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treatment </w:t>
      </w:r>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(.92-.89)/(1-0.89)</w:t>
      </w:r>
      <w:r w:rsidR="000824FD">
        <w:rPr>
          <w:rFonts w:cs="Calibri"/>
          <w:szCs w:val="20"/>
        </w:rPr>
        <w:t>=</w:t>
      </w:r>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 xml:space="preserve">r= -log(1-p)/t  </w:t>
      </w:r>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Chen SY, Johnson M, Sunenshine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Maricopa county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411E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tested, and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9411E3">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contact with an independently documented early syphilis case</w:t>
      </w:r>
      <w:r w:rsidR="00F22807">
        <w:rPr>
          <w:rFonts w:cstheme="minorBidi"/>
          <w:szCs w:val="20"/>
        </w:rPr>
        <w:t>.</w:t>
      </w:r>
      <w:r w:rsidR="00054D15" w:rsidRPr="007C02ED">
        <w:rPr>
          <w:rFonts w:cstheme="minorBidi"/>
          <w:szCs w:val="20"/>
        </w:rPr>
        <w:t>.</w:t>
      </w:r>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Rosahn's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8.5% gummatous</w:t>
      </w:r>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Eventually, 28% of patients developed clinically evident complications of late disease including cardiovascular syphilis (10%), symptomatic neurosyphilis(65%),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It’s unclear to me if the final proportions are after factoring in the 30% or not. I assume that they are.  However, these proportions are in contrast to Oslo’s study finding the majority of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estimates the following proportions from the literature: Progressive inflammation caused gumma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These results are inline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followup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-log(1- 14%)/28.5 =    0.53% men and -log(1- 17%)/28.5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-log(1-0.136)/</w:t>
      </w:r>
      <w:r>
        <w:t>2</w:t>
      </w:r>
      <w:r w:rsidRPr="00AD4E94">
        <w:t>0</w:t>
      </w:r>
      <w:r>
        <w:t xml:space="preserve"> = 0.73% men and </w:t>
      </w:r>
      <w:r w:rsidRPr="007E4A15">
        <w:t>-log(1-0.076)/30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-log(1- 0.094)/14.5= 0.68% for men  &amp; -log(1- 0.05)/14.5=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4DCD2E3" w14:textId="77777777" w:rsidR="007422AD"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p>
    <w:p w14:paraId="5680E9E1" w14:textId="77777777" w:rsidR="007422AD" w:rsidRDefault="007422AD" w:rsidP="00516213">
      <w:pPr>
        <w:rPr>
          <w:rFonts w:cstheme="minorBidi"/>
          <w:szCs w:val="20"/>
        </w:rPr>
      </w:pPr>
    </w:p>
    <w:p w14:paraId="52204553" w14:textId="77777777" w:rsidR="007422AD" w:rsidRDefault="007422AD" w:rsidP="00516213">
      <w:pPr>
        <w:rPr>
          <w:rFonts w:cstheme="minorBidi"/>
          <w:szCs w:val="20"/>
        </w:rPr>
      </w:pPr>
    </w:p>
    <w:p w14:paraId="3ACF6EA2" w14:textId="77777777" w:rsidR="009141A7" w:rsidRPr="009141A7" w:rsidRDefault="009141A7" w:rsidP="009141A7">
      <w:pPr>
        <w:pStyle w:val="Heading1"/>
      </w:pPr>
      <w:r w:rsidRPr="009141A7">
        <w:t>Revised logic for modeling symptomatic testing in primary and secondary syphilis</w:t>
      </w:r>
    </w:p>
    <w:p w14:paraId="59C88064" w14:textId="0573B680" w:rsidR="009141A7" w:rsidRPr="009141A7" w:rsidRDefault="009141A7" w:rsidP="009141A7">
      <w:pPr>
        <w:rPr>
          <w:rFonts w:cstheme="minorBidi"/>
          <w:szCs w:val="20"/>
        </w:rPr>
      </w:pPr>
      <w:r w:rsidRPr="009141A7">
        <w:rPr>
          <w:rFonts w:cstheme="minorBidi"/>
          <w:szCs w:val="20"/>
        </w:rPr>
        <w:t>Issue</w:t>
      </w:r>
      <w:r>
        <w:rPr>
          <w:rFonts w:cstheme="minorBidi"/>
          <w:szCs w:val="20"/>
        </w:rPr>
        <w:t xml:space="preserve">: </w:t>
      </w:r>
      <w:r w:rsidRPr="009141A7">
        <w:rPr>
          <w:rFonts w:cstheme="minorBidi"/>
          <w:szCs w:val="20"/>
        </w:rPr>
        <w:t>In the current model, a single parameter represents “proportion symptomatic and seeking care.” This conflates symptom occurrence with care-seeking. As a result, individuals without symptoms (who would typically be classified as latent—early or late—if detected via screening) may be misclassified as primary or secondary simply because they were diagnosed, leading to stage misclassification.</w:t>
      </w:r>
    </w:p>
    <w:p w14:paraId="1C28328D" w14:textId="4F25CE9C" w:rsidR="009141A7" w:rsidRPr="009141A7" w:rsidRDefault="009141A7" w:rsidP="009141A7">
      <w:pPr>
        <w:rPr>
          <w:rFonts w:cstheme="minorBidi"/>
          <w:szCs w:val="20"/>
        </w:rPr>
      </w:pPr>
      <w:r w:rsidRPr="009141A7">
        <w:rPr>
          <w:rFonts w:cstheme="minorBidi"/>
          <w:b/>
          <w:bCs/>
          <w:szCs w:val="20"/>
        </w:rPr>
        <w:t>Proposed solution</w:t>
      </w:r>
      <w:r>
        <w:rPr>
          <w:rFonts w:cstheme="minorBidi"/>
          <w:b/>
          <w:bCs/>
          <w:szCs w:val="20"/>
        </w:rPr>
        <w:t xml:space="preserve">: </w:t>
      </w:r>
      <w:r w:rsidRPr="009141A7">
        <w:rPr>
          <w:rFonts w:cstheme="minorBidi"/>
          <w:szCs w:val="20"/>
        </w:rPr>
        <w:t>Decouple “being symptomatic” from “seeking care.” Introduce two parameter families by stage:</w:t>
      </w:r>
    </w:p>
    <w:p w14:paraId="4D281B2C" w14:textId="77777777" w:rsidR="009141A7" w:rsidRPr="009141A7" w:rsidRDefault="009141A7" w:rsidP="009141A7">
      <w:pPr>
        <w:pStyle w:val="ListParagraph"/>
        <w:numPr>
          <w:ilvl w:val="0"/>
          <w:numId w:val="49"/>
        </w:numPr>
        <w:rPr>
          <w:rFonts w:cstheme="minorBidi"/>
          <w:b/>
          <w:bCs/>
          <w:i/>
          <w:iCs/>
          <w:szCs w:val="20"/>
        </w:rPr>
      </w:pPr>
      <w:r w:rsidRPr="009141A7">
        <w:rPr>
          <w:rFonts w:cstheme="minorBidi"/>
          <w:b/>
          <w:bCs/>
          <w:i/>
          <w:iCs/>
          <w:szCs w:val="20"/>
        </w:rPr>
        <w:t>Proportion symptomatic in primary and secondary stages</w:t>
      </w:r>
    </w:p>
    <w:p w14:paraId="16A7398F" w14:textId="77777777" w:rsidR="009141A7" w:rsidRPr="009141A7" w:rsidRDefault="009141A7" w:rsidP="009141A7">
      <w:pPr>
        <w:pStyle w:val="ListParagraph"/>
        <w:numPr>
          <w:ilvl w:val="0"/>
          <w:numId w:val="49"/>
        </w:numPr>
        <w:rPr>
          <w:rFonts w:cstheme="minorBidi"/>
          <w:b/>
          <w:bCs/>
          <w:i/>
          <w:iCs/>
          <w:szCs w:val="20"/>
        </w:rPr>
      </w:pPr>
      <w:r w:rsidRPr="009141A7">
        <w:rPr>
          <w:rFonts w:cstheme="minorBidi"/>
          <w:b/>
          <w:bCs/>
          <w:i/>
          <w:iCs/>
          <w:szCs w:val="20"/>
        </w:rPr>
        <w:t>Probability of seeking care given symptomatic in primary and secondary stages</w:t>
      </w:r>
    </w:p>
    <w:p w14:paraId="2857DCDF" w14:textId="77777777" w:rsidR="009141A7" w:rsidRPr="009141A7" w:rsidRDefault="009141A7" w:rsidP="009141A7">
      <w:pPr>
        <w:rPr>
          <w:rFonts w:cstheme="minorBidi"/>
          <w:szCs w:val="20"/>
        </w:rPr>
      </w:pPr>
      <w:r w:rsidRPr="009141A7">
        <w:rPr>
          <w:rFonts w:cstheme="minorBidi"/>
          <w:szCs w:val="20"/>
        </w:rPr>
        <w:t>This allows some primary/secondary diagnoses to be correctly reclassified as early latent when individuals are asymptomatic and detected via routine screening.</w:t>
      </w:r>
    </w:p>
    <w:p w14:paraId="4DC11A26" w14:textId="77777777" w:rsidR="009141A7" w:rsidRPr="009141A7" w:rsidRDefault="009141A7" w:rsidP="009141A7">
      <w:pPr>
        <w:rPr>
          <w:rFonts w:cstheme="minorBidi"/>
          <w:b/>
          <w:bCs/>
          <w:szCs w:val="20"/>
        </w:rPr>
      </w:pPr>
      <w:r w:rsidRPr="009141A7">
        <w:rPr>
          <w:rFonts w:cstheme="minorBidi"/>
          <w:b/>
          <w:bCs/>
          <w:szCs w:val="20"/>
        </w:rPr>
        <w:t>Parameterization</w:t>
      </w:r>
    </w:p>
    <w:p w14:paraId="0414F40F" w14:textId="77777777" w:rsidR="009141A7" w:rsidRPr="009141A7" w:rsidRDefault="009141A7" w:rsidP="009141A7">
      <w:pPr>
        <w:pStyle w:val="ListParagraph"/>
        <w:numPr>
          <w:ilvl w:val="0"/>
          <w:numId w:val="52"/>
        </w:numPr>
        <w:rPr>
          <w:rFonts w:cstheme="minorBidi"/>
          <w:szCs w:val="20"/>
        </w:rPr>
      </w:pPr>
      <w:r w:rsidRPr="009141A7">
        <w:rPr>
          <w:rFonts w:cstheme="minorBidi"/>
          <w:szCs w:val="20"/>
        </w:rPr>
        <w:t>Proportion symptomatic (by stage)</w:t>
      </w:r>
    </w:p>
    <w:p w14:paraId="5D78926B" w14:textId="64DD23E5" w:rsidR="009141A7" w:rsidRPr="009141A7" w:rsidRDefault="009141A7" w:rsidP="009141A7">
      <w:pPr>
        <w:pStyle w:val="ListParagraph"/>
        <w:numPr>
          <w:ilvl w:val="1"/>
          <w:numId w:val="52"/>
        </w:numPr>
        <w:rPr>
          <w:rFonts w:cstheme="minorBidi"/>
          <w:szCs w:val="20"/>
        </w:rPr>
      </w:pPr>
      <w:r w:rsidRPr="009141A7">
        <w:rPr>
          <w:rFonts w:cstheme="minorBidi"/>
          <w:szCs w:val="20"/>
        </w:rPr>
        <w:t>Primary stage:</w:t>
      </w:r>
      <w:r>
        <w:rPr>
          <w:rFonts w:cstheme="minorBidi"/>
          <w:szCs w:val="20"/>
        </w:rPr>
        <w:t xml:space="preserve"> </w:t>
      </w:r>
      <w:r w:rsidRPr="009141A7">
        <w:rPr>
          <w:rFonts w:cstheme="minorBidi"/>
          <w:szCs w:val="20"/>
        </w:rPr>
        <w:t>Stratify by population: MSM, women, heterosexual men.</w:t>
      </w:r>
    </w:p>
    <w:p w14:paraId="10D2D300" w14:textId="77777777" w:rsidR="009141A7" w:rsidRDefault="009141A7" w:rsidP="009141A7">
      <w:pPr>
        <w:pStyle w:val="ListParagraph"/>
        <w:rPr>
          <w:rFonts w:cstheme="minorBidi"/>
          <w:szCs w:val="20"/>
        </w:rPr>
      </w:pPr>
    </w:p>
    <w:p w14:paraId="7595FDDE" w14:textId="12B6FB49" w:rsidR="009141A7" w:rsidRPr="009141A7" w:rsidRDefault="009141A7" w:rsidP="009141A7">
      <w:pPr>
        <w:pStyle w:val="ListParagraph"/>
        <w:numPr>
          <w:ilvl w:val="1"/>
          <w:numId w:val="52"/>
        </w:numPr>
        <w:rPr>
          <w:rFonts w:cstheme="minorBidi"/>
          <w:szCs w:val="20"/>
        </w:rPr>
      </w:pPr>
      <w:r w:rsidRPr="009141A7">
        <w:rPr>
          <w:rFonts w:cstheme="minorBidi"/>
          <w:szCs w:val="20"/>
        </w:rPr>
        <w:t>Prior for MSM: Use empirical estimates from PrEP-clinic cohorts with incident syphilis (e.g., 25% symptomatic in primary; 16% in secondary). We will set 25% as the prior for MSM in primary.</w:t>
      </w:r>
    </w:p>
    <w:p w14:paraId="1639162D" w14:textId="57056A93" w:rsidR="009141A7" w:rsidRPr="009141A7" w:rsidRDefault="009141A7" w:rsidP="009141A7">
      <w:pPr>
        <w:pStyle w:val="ListParagraph"/>
        <w:numPr>
          <w:ilvl w:val="1"/>
          <w:numId w:val="52"/>
        </w:numPr>
        <w:rPr>
          <w:rFonts w:cstheme="minorBidi"/>
          <w:szCs w:val="20"/>
        </w:rPr>
      </w:pPr>
      <w:r w:rsidRPr="009141A7">
        <w:rPr>
          <w:rFonts w:cstheme="minorBidi"/>
          <w:szCs w:val="20"/>
        </w:rPr>
        <w:t xml:space="preserve">Priors for women and heterosexual men: Scale the MSM prior using observed surveillance ratios of primary diagnoses to all </w:t>
      </w:r>
      <w:r>
        <w:rPr>
          <w:rFonts w:cstheme="minorBidi"/>
          <w:szCs w:val="20"/>
        </w:rPr>
        <w:t>PS</w:t>
      </w:r>
      <w:r w:rsidRPr="009141A7">
        <w:rPr>
          <w:rFonts w:cstheme="minorBidi"/>
          <w:szCs w:val="20"/>
        </w:rPr>
        <w:t xml:space="preserve"> diagnoses within each group.</w:t>
      </w:r>
    </w:p>
    <w:p w14:paraId="27147ED0" w14:textId="77777777" w:rsidR="009141A7" w:rsidRPr="009141A7" w:rsidRDefault="009141A7" w:rsidP="009141A7">
      <w:pPr>
        <w:pStyle w:val="ListParagraph"/>
        <w:numPr>
          <w:ilvl w:val="1"/>
          <w:numId w:val="52"/>
        </w:numPr>
        <w:rPr>
          <w:rFonts w:cstheme="minorBidi"/>
          <w:szCs w:val="20"/>
        </w:rPr>
      </w:pPr>
      <w:r w:rsidRPr="009141A7">
        <w:rPr>
          <w:rFonts w:cstheme="minorBidi"/>
          <w:szCs w:val="20"/>
        </w:rPr>
        <w:t>Let ratio_group = (primary diagnoses) / (primary + secondary diagnoses) for that group.</w:t>
      </w:r>
    </w:p>
    <w:p w14:paraId="5851A975" w14:textId="77777777" w:rsidR="009141A7" w:rsidRPr="009141A7" w:rsidRDefault="009141A7" w:rsidP="009141A7">
      <w:pPr>
        <w:pStyle w:val="ListParagraph"/>
        <w:numPr>
          <w:ilvl w:val="1"/>
          <w:numId w:val="52"/>
        </w:numPr>
        <w:rPr>
          <w:rFonts w:cstheme="minorBidi"/>
          <w:szCs w:val="20"/>
        </w:rPr>
      </w:pPr>
      <w:r w:rsidRPr="009141A7">
        <w:rPr>
          <w:rFonts w:cstheme="minorBidi"/>
          <w:szCs w:val="20"/>
        </w:rPr>
        <w:t>Prior_primary_symptomatic_group = Prior_primary_symptomatic_MSM × (ratio_group / ratio_MSM).</w:t>
      </w:r>
    </w:p>
    <w:p w14:paraId="4FDEDAAC" w14:textId="462A1055" w:rsidR="009141A7" w:rsidRDefault="009141A7" w:rsidP="009141A7">
      <w:pPr>
        <w:pStyle w:val="ListParagraph"/>
        <w:numPr>
          <w:ilvl w:val="1"/>
          <w:numId w:val="52"/>
        </w:numPr>
        <w:rPr>
          <w:rFonts w:cstheme="minorBidi"/>
          <w:szCs w:val="20"/>
        </w:rPr>
      </w:pPr>
      <w:r w:rsidRPr="009141A7">
        <w:rPr>
          <w:rFonts w:cstheme="minorBidi"/>
          <w:szCs w:val="20"/>
        </w:rPr>
        <w:t xml:space="preserve">Rationale: Groups with a </w:t>
      </w:r>
      <w:r w:rsidR="002F53FC">
        <w:rPr>
          <w:rFonts w:cstheme="minorBidi"/>
          <w:szCs w:val="20"/>
        </w:rPr>
        <w:t>lower</w:t>
      </w:r>
      <w:r w:rsidR="002F53FC" w:rsidRPr="009141A7">
        <w:rPr>
          <w:rFonts w:cstheme="minorBidi"/>
          <w:szCs w:val="20"/>
        </w:rPr>
        <w:t xml:space="preserve"> </w:t>
      </w:r>
      <w:r w:rsidRPr="009141A7">
        <w:rPr>
          <w:rFonts w:cstheme="minorBidi"/>
          <w:szCs w:val="20"/>
        </w:rPr>
        <w:t xml:space="preserve">share of primary (vs. secondary) diagnoses are assumed to have a </w:t>
      </w:r>
      <w:r w:rsidR="002F53FC">
        <w:rPr>
          <w:rFonts w:cstheme="minorBidi"/>
          <w:szCs w:val="20"/>
        </w:rPr>
        <w:t>lower</w:t>
      </w:r>
      <w:r w:rsidRPr="009141A7">
        <w:rPr>
          <w:rFonts w:cstheme="minorBidi"/>
          <w:szCs w:val="20"/>
        </w:rPr>
        <w:t xml:space="preserve"> probability of being symptomatic in primary relative to MSM.</w:t>
      </w:r>
    </w:p>
    <w:p w14:paraId="17306E05" w14:textId="73209608" w:rsidR="002F53FC" w:rsidRPr="00A74466" w:rsidRDefault="002F53FC" w:rsidP="002F53FC">
      <w:pPr>
        <w:pStyle w:val="ListParagraph"/>
        <w:numPr>
          <w:ilvl w:val="2"/>
          <w:numId w:val="52"/>
        </w:numPr>
        <w:rPr>
          <w:rFonts w:cstheme="minorBidi"/>
          <w:szCs w:val="20"/>
          <w:highlight w:val="yellow"/>
        </w:rPr>
      </w:pPr>
      <w:r w:rsidRPr="002F53FC">
        <w:rPr>
          <w:rFonts w:cstheme="minorBidi"/>
          <w:b/>
          <w:bCs/>
          <w:szCs w:val="20"/>
          <w:highlight w:val="yellow"/>
        </w:rPr>
        <w:t xml:space="preserve">Is this </w:t>
      </w:r>
      <w:r w:rsidRPr="002F53FC">
        <w:rPr>
          <w:rFonts w:cstheme="minorBidi"/>
          <w:b/>
          <w:bCs/>
          <w:szCs w:val="20"/>
          <w:highlight w:val="yellow"/>
        </w:rPr>
        <w:t>(ratio_</w:t>
      </w:r>
      <w:r w:rsidRPr="002F53FC">
        <w:rPr>
          <w:rFonts w:cstheme="minorBidi"/>
          <w:b/>
          <w:bCs/>
          <w:szCs w:val="20"/>
          <w:highlight w:val="yellow"/>
        </w:rPr>
        <w:t>female</w:t>
      </w:r>
      <w:r w:rsidRPr="002F53FC">
        <w:rPr>
          <w:rFonts w:cstheme="minorBidi"/>
          <w:b/>
          <w:bCs/>
          <w:szCs w:val="20"/>
          <w:highlight w:val="yellow"/>
        </w:rPr>
        <w:t xml:space="preserve"> / ratio_MSM)</w:t>
      </w:r>
      <w:r w:rsidRPr="002F53FC">
        <w:rPr>
          <w:rFonts w:cstheme="minorBidi"/>
          <w:b/>
          <w:bCs/>
          <w:szCs w:val="20"/>
          <w:highlight w:val="yellow"/>
        </w:rPr>
        <w:t xml:space="preserve"> </w:t>
      </w:r>
      <w:r w:rsidR="00C45504">
        <w:rPr>
          <w:rFonts w:cstheme="minorBidi"/>
          <w:b/>
          <w:bCs/>
          <w:szCs w:val="20"/>
          <w:highlight w:val="yellow"/>
        </w:rPr>
        <w:t xml:space="preserve">= 0.66 </w:t>
      </w:r>
      <w:r w:rsidR="00A74466" w:rsidRPr="00A74466">
        <w:rPr>
          <w:rFonts w:cstheme="minorBidi"/>
          <w:szCs w:val="20"/>
          <w:highlight w:val="yellow"/>
        </w:rPr>
        <w:t>(this also aligns with the Clinical observation that more women are asymptomatic in the primary stage compared to men)</w:t>
      </w:r>
      <w:r w:rsidR="00AA2E5F">
        <w:rPr>
          <w:rFonts w:cstheme="minorBidi"/>
          <w:szCs w:val="20"/>
          <w:highlight w:val="yellow"/>
        </w:rPr>
        <w:t xml:space="preserve"> &gt; see </w:t>
      </w:r>
      <w:r w:rsidR="00AA2E5F" w:rsidRPr="00AA2E5F">
        <w:rPr>
          <w:rFonts w:cstheme="minorBidi"/>
          <w:szCs w:val="20"/>
        </w:rPr>
        <w:t>input_prop_symp_primary</w:t>
      </w:r>
      <w:r w:rsidR="00AA2E5F">
        <w:rPr>
          <w:rFonts w:cstheme="minorBidi"/>
          <w:szCs w:val="20"/>
        </w:rPr>
        <w:t>.R</w:t>
      </w:r>
    </w:p>
    <w:p w14:paraId="23C8336A" w14:textId="37F960E7" w:rsidR="002F53FC" w:rsidRPr="009141A7" w:rsidRDefault="002F53FC" w:rsidP="002F53FC">
      <w:pPr>
        <w:pStyle w:val="ListParagraph"/>
        <w:ind w:left="2160"/>
        <w:rPr>
          <w:rFonts w:cstheme="minorBidi"/>
          <w:szCs w:val="20"/>
        </w:rPr>
      </w:pPr>
    </w:p>
    <w:p w14:paraId="3377EB47" w14:textId="77777777" w:rsidR="009141A7" w:rsidRPr="002F53FC" w:rsidRDefault="009141A7" w:rsidP="002F53FC">
      <w:pPr>
        <w:pStyle w:val="ListParagraph"/>
        <w:numPr>
          <w:ilvl w:val="0"/>
          <w:numId w:val="52"/>
        </w:numPr>
        <w:rPr>
          <w:rFonts w:cstheme="minorBidi"/>
          <w:szCs w:val="20"/>
        </w:rPr>
      </w:pPr>
      <w:r w:rsidRPr="002F53FC">
        <w:rPr>
          <w:rFonts w:cstheme="minorBidi"/>
          <w:szCs w:val="20"/>
        </w:rPr>
        <w:t>Secondary stage:</w:t>
      </w:r>
    </w:p>
    <w:p w14:paraId="1A89C0C3" w14:textId="77777777" w:rsidR="009141A7" w:rsidRPr="002F53FC" w:rsidRDefault="009141A7" w:rsidP="002F53FC">
      <w:pPr>
        <w:pStyle w:val="ListParagraph"/>
        <w:numPr>
          <w:ilvl w:val="1"/>
          <w:numId w:val="52"/>
        </w:numPr>
        <w:rPr>
          <w:rFonts w:cstheme="minorBidi"/>
          <w:szCs w:val="20"/>
        </w:rPr>
      </w:pPr>
      <w:r w:rsidRPr="002F53FC">
        <w:rPr>
          <w:rFonts w:cstheme="minorBidi"/>
          <w:szCs w:val="20"/>
        </w:rPr>
        <w:t>Assumption: Proportion symptomatic is similar across groups (does not vary by sex or race). Use the literature-based prior (e.g., ~16%) uniformly unless group-specific data become available.</w:t>
      </w:r>
    </w:p>
    <w:p w14:paraId="5AA9AD48" w14:textId="77777777" w:rsidR="002F53FC" w:rsidRDefault="002F53FC" w:rsidP="002F53FC">
      <w:pPr>
        <w:pStyle w:val="ListParagraph"/>
        <w:rPr>
          <w:rFonts w:cstheme="minorBidi"/>
          <w:szCs w:val="20"/>
        </w:rPr>
      </w:pPr>
    </w:p>
    <w:p w14:paraId="35DE8F56" w14:textId="22A50396" w:rsidR="009141A7" w:rsidRPr="002F53FC" w:rsidRDefault="009141A7" w:rsidP="002F0300">
      <w:pPr>
        <w:pStyle w:val="ListParagraph"/>
        <w:numPr>
          <w:ilvl w:val="0"/>
          <w:numId w:val="52"/>
        </w:numPr>
        <w:rPr>
          <w:rFonts w:cstheme="minorBidi"/>
          <w:szCs w:val="20"/>
        </w:rPr>
      </w:pPr>
      <w:r w:rsidRPr="002F53FC">
        <w:rPr>
          <w:rFonts w:cstheme="minorBidi"/>
          <w:szCs w:val="20"/>
        </w:rPr>
        <w:t>Probability of seeking care if symptomatic (by stage)</w:t>
      </w:r>
      <w:r w:rsidR="002F53FC" w:rsidRPr="002F53FC">
        <w:rPr>
          <w:rFonts w:cstheme="minorBidi"/>
          <w:szCs w:val="20"/>
        </w:rPr>
        <w:t xml:space="preserve">: </w:t>
      </w:r>
      <w:r w:rsidRPr="002F53FC">
        <w:rPr>
          <w:rFonts w:cstheme="minorBidi"/>
          <w:szCs w:val="20"/>
        </w:rPr>
        <w:t xml:space="preserve">Model the conditional probability of care-seeking among those symptomatic, separated by sex and by race/ethnicity (and by stage if evidence supports </w:t>
      </w:r>
      <w:r w:rsidRPr="002F53FC">
        <w:rPr>
          <w:rFonts w:cstheme="minorBidi"/>
          <w:szCs w:val="20"/>
        </w:rPr>
        <w:lastRenderedPageBreak/>
        <w:t>differences).</w:t>
      </w:r>
      <w:r w:rsidR="002F53FC">
        <w:rPr>
          <w:rFonts w:cstheme="minorBidi"/>
          <w:szCs w:val="20"/>
        </w:rPr>
        <w:t xml:space="preserve"> </w:t>
      </w:r>
      <w:r w:rsidRPr="002F53FC">
        <w:rPr>
          <w:rFonts w:cstheme="minorBidi"/>
          <w:szCs w:val="20"/>
        </w:rPr>
        <w:t>This reflects differential access, health-seeking behaviors, and structural barriers, independent of symptom occurrence.</w:t>
      </w:r>
    </w:p>
    <w:p w14:paraId="362DA7B1" w14:textId="77777777" w:rsidR="009141A7" w:rsidRPr="009141A7" w:rsidRDefault="009141A7" w:rsidP="009141A7">
      <w:pPr>
        <w:rPr>
          <w:rFonts w:cstheme="minorBidi"/>
          <w:szCs w:val="20"/>
        </w:rPr>
      </w:pPr>
      <w:r w:rsidRPr="009141A7">
        <w:rPr>
          <w:rFonts w:cstheme="minorBidi"/>
          <w:szCs w:val="20"/>
        </w:rPr>
        <w:t>Implementation notes</w:t>
      </w:r>
    </w:p>
    <w:p w14:paraId="1086F5CA" w14:textId="77777777" w:rsidR="009141A7" w:rsidRPr="009141A7" w:rsidRDefault="009141A7" w:rsidP="009141A7">
      <w:pPr>
        <w:rPr>
          <w:rFonts w:cstheme="minorBidi"/>
          <w:szCs w:val="20"/>
        </w:rPr>
      </w:pPr>
      <w:r w:rsidRPr="009141A7">
        <w:rPr>
          <w:rFonts w:cstheme="minorBidi"/>
          <w:szCs w:val="20"/>
        </w:rPr>
        <w:t>Diagnosis pathways:</w:t>
      </w:r>
    </w:p>
    <w:p w14:paraId="248FFA9C" w14:textId="77777777" w:rsidR="009141A7" w:rsidRPr="009141A7" w:rsidRDefault="009141A7" w:rsidP="009141A7">
      <w:pPr>
        <w:rPr>
          <w:rFonts w:cstheme="minorBidi"/>
          <w:szCs w:val="20"/>
        </w:rPr>
      </w:pPr>
      <w:r w:rsidRPr="009141A7">
        <w:rPr>
          <w:rFonts w:cstheme="minorBidi"/>
          <w:szCs w:val="20"/>
        </w:rPr>
        <w:t>Symptomatic pathway: Symptomatic → seek care with probability p_seek(stage, group) → tested → stage-specific diagnosis (primary or secondary).</w:t>
      </w:r>
    </w:p>
    <w:p w14:paraId="428DFD4D" w14:textId="77777777" w:rsidR="009141A7" w:rsidRPr="009141A7" w:rsidRDefault="009141A7" w:rsidP="009141A7">
      <w:pPr>
        <w:rPr>
          <w:rFonts w:cstheme="minorBidi"/>
          <w:szCs w:val="20"/>
        </w:rPr>
      </w:pPr>
      <w:r w:rsidRPr="009141A7">
        <w:rPr>
          <w:rFonts w:cstheme="minorBidi"/>
          <w:szCs w:val="20"/>
        </w:rPr>
        <w:t>Asymptomatic pathway: Asymptomatic → may be diagnosed via routine screening (e.g., PrEP care, prenatal care, outreach). If diagnosed without symptoms, classify as early latent (or late latent if exposure &gt;12 months) rather than primary/secondary.</w:t>
      </w:r>
    </w:p>
    <w:p w14:paraId="67BB813C" w14:textId="623588D6" w:rsidR="00131835" w:rsidRPr="008B0978" w:rsidRDefault="00131835" w:rsidP="008B0978">
      <w:pPr>
        <w:pStyle w:val="ListParagraph"/>
        <w:numPr>
          <w:ilvl w:val="2"/>
          <w:numId w:val="8"/>
        </w:numPr>
        <w:rPr>
          <w:rFonts w:cstheme="minorBidi"/>
          <w:szCs w:val="20"/>
        </w:rPr>
      </w:pPr>
      <w:r w:rsidRPr="008B0978">
        <w:rPr>
          <w:rFonts w:cstheme="minorBidi"/>
          <w:szCs w:val="20"/>
        </w:rPr>
        <w:br w:type="page"/>
      </w:r>
    </w:p>
    <w:p w14:paraId="2AD9DCAA" w14:textId="0133C53C" w:rsidR="00A41859" w:rsidRPr="009A65AE" w:rsidRDefault="00CE5EBA" w:rsidP="009411E3">
      <w:pPr>
        <w:pStyle w:val="Heading1"/>
      </w:pPr>
      <w:r>
        <w:lastRenderedPageBreak/>
        <w:t xml:space="preserve">References </w:t>
      </w:r>
    </w:p>
    <w:p w14:paraId="0CB796D5" w14:textId="77777777" w:rsidR="00CA4C2A" w:rsidRPr="00CA4C2A" w:rsidRDefault="009E5F82" w:rsidP="00CA4C2A">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CA4C2A" w:rsidRPr="00CA4C2A">
        <w:rPr>
          <w:noProof/>
        </w:rPr>
        <w:t xml:space="preserve">1. Centers for Disease Control and Prevention (CDC). </w:t>
      </w:r>
      <w:r w:rsidR="00CA4C2A" w:rsidRPr="00CA4C2A">
        <w:rPr>
          <w:b/>
          <w:noProof/>
        </w:rPr>
        <w:t xml:space="preserve">Sexually Transmitted Infections Surveillance, 2023 </w:t>
      </w:r>
      <w:r w:rsidR="00CA4C2A" w:rsidRPr="00CA4C2A">
        <w:rPr>
          <w:noProof/>
        </w:rPr>
        <w:t>In. Atlanta: US Department of Health and Human Services; 2024.</w:t>
      </w:r>
    </w:p>
    <w:p w14:paraId="792438D2" w14:textId="77777777" w:rsidR="00CA4C2A" w:rsidRPr="00CA4C2A" w:rsidRDefault="00CA4C2A" w:rsidP="00CA4C2A">
      <w:pPr>
        <w:pStyle w:val="EndNoteBibliography"/>
        <w:spacing w:after="0"/>
        <w:ind w:left="0" w:firstLine="0"/>
        <w:rPr>
          <w:noProof/>
        </w:rPr>
      </w:pPr>
      <w:r w:rsidRPr="00CA4C2A">
        <w:rPr>
          <w:noProof/>
        </w:rPr>
        <w:t xml:space="preserve">2. Mathews T, Hamilton BE. </w:t>
      </w:r>
      <w:r w:rsidRPr="00CA4C2A">
        <w:rPr>
          <w:b/>
          <w:noProof/>
        </w:rPr>
        <w:t>Trend analysis of the sex ratio at birth in the United States</w:t>
      </w:r>
      <w:r w:rsidRPr="00CA4C2A">
        <w:rPr>
          <w:noProof/>
        </w:rPr>
        <w:t xml:space="preserve">. </w:t>
      </w:r>
      <w:r w:rsidRPr="00CA4C2A">
        <w:rPr>
          <w:i/>
          <w:noProof/>
        </w:rPr>
        <w:t xml:space="preserve">National vital statistics reports </w:t>
      </w:r>
      <w:r w:rsidRPr="00CA4C2A">
        <w:rPr>
          <w:noProof/>
        </w:rPr>
        <w:t>2005; 53(20):1-17.</w:t>
      </w:r>
    </w:p>
    <w:p w14:paraId="35163802" w14:textId="77777777" w:rsidR="00CA4C2A" w:rsidRPr="00CA4C2A" w:rsidRDefault="00CA4C2A" w:rsidP="00CA4C2A">
      <w:pPr>
        <w:pStyle w:val="EndNoteBibliography"/>
        <w:spacing w:after="0"/>
        <w:ind w:left="0" w:firstLine="0"/>
        <w:rPr>
          <w:noProof/>
        </w:rPr>
      </w:pPr>
      <w:r w:rsidRPr="00CA4C2A">
        <w:rPr>
          <w:noProof/>
        </w:rPr>
        <w:t xml:space="preserve">3. Mercuri SR, Moliterni E, Cerullo A, Di Nicola MR, Rizzo N, Bianchi VG, et al. </w:t>
      </w:r>
      <w:r w:rsidRPr="00CA4C2A">
        <w:rPr>
          <w:b/>
          <w:noProof/>
        </w:rPr>
        <w:t>Syphilis: a mini review of the history, epidemiology and focus on microbiota</w:t>
      </w:r>
      <w:r w:rsidRPr="00CA4C2A">
        <w:rPr>
          <w:noProof/>
        </w:rPr>
        <w:t xml:space="preserve">. </w:t>
      </w:r>
      <w:r w:rsidRPr="00CA4C2A">
        <w:rPr>
          <w:i/>
          <w:noProof/>
        </w:rPr>
        <w:t xml:space="preserve">New Microbiol </w:t>
      </w:r>
      <w:r w:rsidRPr="00CA4C2A">
        <w:rPr>
          <w:noProof/>
        </w:rPr>
        <w:t>2022; 45(1):28-34.</w:t>
      </w:r>
    </w:p>
    <w:p w14:paraId="72E5DDC8" w14:textId="77777777" w:rsidR="00CA4C2A" w:rsidRPr="00CA4C2A" w:rsidRDefault="00CA4C2A" w:rsidP="00CA4C2A">
      <w:pPr>
        <w:pStyle w:val="EndNoteBibliography"/>
        <w:spacing w:after="0"/>
        <w:ind w:left="0" w:firstLine="0"/>
        <w:rPr>
          <w:noProof/>
        </w:rPr>
      </w:pPr>
      <w:r w:rsidRPr="00CA4C2A">
        <w:rPr>
          <w:noProof/>
        </w:rPr>
        <w:t xml:space="preserve">4. Kent ME, Romanelli F. </w:t>
      </w:r>
      <w:r w:rsidRPr="00CA4C2A">
        <w:rPr>
          <w:b/>
          <w:noProof/>
        </w:rPr>
        <w:t>Reexamining syphilis: an update on epidemiology, clinical manifestations, and management</w:t>
      </w:r>
      <w:r w:rsidRPr="00CA4C2A">
        <w:rPr>
          <w:noProof/>
        </w:rPr>
        <w:t xml:space="preserve">. </w:t>
      </w:r>
      <w:r w:rsidRPr="00CA4C2A">
        <w:rPr>
          <w:i/>
          <w:noProof/>
        </w:rPr>
        <w:t xml:space="preserve">Ann Pharmacother </w:t>
      </w:r>
      <w:r w:rsidRPr="00CA4C2A">
        <w:rPr>
          <w:noProof/>
        </w:rPr>
        <w:t>2008; 42(2):226-236.</w:t>
      </w:r>
    </w:p>
    <w:p w14:paraId="1B7605F4" w14:textId="4661FBD6" w:rsidR="00CA4C2A" w:rsidRPr="00CA4C2A" w:rsidRDefault="00CA4C2A" w:rsidP="00CA4C2A">
      <w:pPr>
        <w:pStyle w:val="EndNoteBibliography"/>
        <w:spacing w:after="0"/>
        <w:ind w:left="0" w:firstLine="0"/>
        <w:rPr>
          <w:noProof/>
        </w:rPr>
      </w:pPr>
      <w:r w:rsidRPr="00CA4C2A">
        <w:rPr>
          <w:noProof/>
        </w:rPr>
        <w:t xml:space="preserve">5. Hicks CB, Clement M. </w:t>
      </w:r>
      <w:r w:rsidRPr="00CA4C2A">
        <w:rPr>
          <w:b/>
          <w:noProof/>
        </w:rPr>
        <w:t>Syphilis: epidemiology, pathophysiology, and clinical manifestations in patients without HIV</w:t>
      </w:r>
      <w:r w:rsidRPr="00CA4C2A">
        <w:rPr>
          <w:noProof/>
        </w:rPr>
        <w:t xml:space="preserve">. </w:t>
      </w:r>
      <w:r w:rsidRPr="00CA4C2A">
        <w:rPr>
          <w:i/>
          <w:noProof/>
        </w:rPr>
        <w:t xml:space="preserve">UpToDate, Alphen aan den Rijn, Netherlands: Wolters Kluwer </w:t>
      </w:r>
      <w:hyperlink r:id="rId20" w:history="1">
        <w:r w:rsidRPr="00CA4C2A">
          <w:rPr>
            <w:rStyle w:val="Hyperlink"/>
            <w:i/>
            <w:noProof/>
          </w:rPr>
          <w:t>https://www</w:t>
        </w:r>
      </w:hyperlink>
      <w:r w:rsidRPr="00CA4C2A">
        <w:rPr>
          <w:i/>
          <w:noProof/>
        </w:rPr>
        <w:t xml:space="preserve"> uptodate com/contents/syphilis-epidemiology-pathophysiology-and-clinical-manifestations-in-patients-without-hiv (Accessed 23 November 2023) </w:t>
      </w:r>
      <w:r w:rsidRPr="00CA4C2A">
        <w:rPr>
          <w:noProof/>
        </w:rPr>
        <w:t>2021.</w:t>
      </w:r>
    </w:p>
    <w:p w14:paraId="76B9568A" w14:textId="77777777" w:rsidR="00CA4C2A" w:rsidRPr="00CA4C2A" w:rsidRDefault="00CA4C2A" w:rsidP="00CA4C2A">
      <w:pPr>
        <w:pStyle w:val="EndNoteBibliography"/>
        <w:spacing w:after="0"/>
        <w:ind w:left="0" w:firstLine="0"/>
        <w:rPr>
          <w:noProof/>
        </w:rPr>
      </w:pPr>
      <w:r w:rsidRPr="00CA4C2A">
        <w:rPr>
          <w:noProof/>
        </w:rPr>
        <w:t xml:space="preserve">6. Lafond RE, Lukehart SA. </w:t>
      </w:r>
      <w:r w:rsidRPr="00CA4C2A">
        <w:rPr>
          <w:b/>
          <w:noProof/>
        </w:rPr>
        <w:t>Biological basis for syphilis</w:t>
      </w:r>
      <w:r w:rsidRPr="00CA4C2A">
        <w:rPr>
          <w:noProof/>
        </w:rPr>
        <w:t xml:space="preserve">. </w:t>
      </w:r>
      <w:r w:rsidRPr="00CA4C2A">
        <w:rPr>
          <w:i/>
          <w:noProof/>
        </w:rPr>
        <w:t xml:space="preserve">Clin Microbiol Rev </w:t>
      </w:r>
      <w:r w:rsidRPr="00CA4C2A">
        <w:rPr>
          <w:noProof/>
        </w:rPr>
        <w:t>2006; 19(1):29-49.</w:t>
      </w:r>
    </w:p>
    <w:p w14:paraId="28389E83" w14:textId="77777777" w:rsidR="00CA4C2A" w:rsidRPr="00CA4C2A" w:rsidRDefault="00CA4C2A" w:rsidP="00CA4C2A">
      <w:pPr>
        <w:pStyle w:val="EndNoteBibliography"/>
        <w:spacing w:after="0"/>
        <w:ind w:left="0" w:firstLine="0"/>
        <w:rPr>
          <w:noProof/>
        </w:rPr>
      </w:pPr>
      <w:r w:rsidRPr="00CA4C2A">
        <w:rPr>
          <w:noProof/>
        </w:rPr>
        <w:t xml:space="preserve">7. Gross G, Tyring SK. </w:t>
      </w:r>
      <w:r w:rsidRPr="00CA4C2A">
        <w:rPr>
          <w:b/>
          <w:noProof/>
        </w:rPr>
        <w:t>Sexually transmitted infections and sexually transmitted diseases</w:t>
      </w:r>
      <w:r w:rsidRPr="00CA4C2A">
        <w:rPr>
          <w:i/>
          <w:noProof/>
        </w:rPr>
        <w:t>.</w:t>
      </w:r>
      <w:r w:rsidRPr="00CA4C2A">
        <w:rPr>
          <w:noProof/>
        </w:rPr>
        <w:t xml:space="preserve"> Springer Science &amp; Business Media; 2011.</w:t>
      </w:r>
    </w:p>
    <w:p w14:paraId="3899093A" w14:textId="77777777" w:rsidR="00CA4C2A" w:rsidRPr="00CA4C2A" w:rsidRDefault="00CA4C2A" w:rsidP="00CA4C2A">
      <w:pPr>
        <w:pStyle w:val="EndNoteBibliography"/>
        <w:spacing w:after="0"/>
        <w:ind w:left="0" w:firstLine="0"/>
        <w:rPr>
          <w:noProof/>
        </w:rPr>
      </w:pPr>
      <w:r w:rsidRPr="00CA4C2A">
        <w:rPr>
          <w:noProof/>
        </w:rPr>
        <w:t xml:space="preserve">8. Singh AE, Romanowski B. </w:t>
      </w:r>
      <w:r w:rsidRPr="00CA4C2A">
        <w:rPr>
          <w:b/>
          <w:noProof/>
        </w:rPr>
        <w:t>Syphilis: review with emphasis on clinical, epidemiologic, and some biologic features</w:t>
      </w:r>
      <w:r w:rsidRPr="00CA4C2A">
        <w:rPr>
          <w:noProof/>
        </w:rPr>
        <w:t xml:space="preserve">. </w:t>
      </w:r>
      <w:r w:rsidRPr="00CA4C2A">
        <w:rPr>
          <w:i/>
          <w:noProof/>
        </w:rPr>
        <w:t xml:space="preserve">Clin Microbiol Rev </w:t>
      </w:r>
      <w:r w:rsidRPr="00CA4C2A">
        <w:rPr>
          <w:noProof/>
        </w:rPr>
        <w:t>1999; 12(2):187-209.</w:t>
      </w:r>
    </w:p>
    <w:p w14:paraId="202615AF" w14:textId="77777777" w:rsidR="00CA4C2A" w:rsidRPr="00CA4C2A" w:rsidRDefault="00CA4C2A" w:rsidP="00CA4C2A">
      <w:pPr>
        <w:pStyle w:val="EndNoteBibliography"/>
        <w:spacing w:after="0"/>
        <w:ind w:left="0" w:firstLine="0"/>
        <w:rPr>
          <w:noProof/>
        </w:rPr>
      </w:pPr>
      <w:r w:rsidRPr="00CA4C2A">
        <w:rPr>
          <w:noProof/>
        </w:rPr>
        <w:t xml:space="preserve">9. Peel J, Chow EP, Denham I, Schmidt T, Buchanan A, Fairley CK, et al. </w:t>
      </w:r>
      <w:r w:rsidRPr="00CA4C2A">
        <w:rPr>
          <w:b/>
          <w:noProof/>
        </w:rPr>
        <w:t>Clinical presentation of incident syphilis among men who have sex with men taking HIV pre-exposure prophylaxis in Melbourne, Australia</w:t>
      </w:r>
      <w:r w:rsidRPr="00CA4C2A">
        <w:rPr>
          <w:noProof/>
        </w:rPr>
        <w:t xml:space="preserve">. </w:t>
      </w:r>
      <w:r w:rsidRPr="00CA4C2A">
        <w:rPr>
          <w:i/>
          <w:noProof/>
        </w:rPr>
        <w:t xml:space="preserve">Clinical Infectious Diseases </w:t>
      </w:r>
      <w:r w:rsidRPr="00CA4C2A">
        <w:rPr>
          <w:noProof/>
        </w:rPr>
        <w:t>2021; 73(4):e934-e937.</w:t>
      </w:r>
    </w:p>
    <w:p w14:paraId="510C467F" w14:textId="77777777" w:rsidR="00CA4C2A" w:rsidRPr="00CA4C2A" w:rsidRDefault="00CA4C2A" w:rsidP="00CA4C2A">
      <w:pPr>
        <w:pStyle w:val="EndNoteBibliography"/>
        <w:spacing w:after="0"/>
        <w:ind w:left="0" w:firstLine="0"/>
        <w:rPr>
          <w:noProof/>
        </w:rPr>
      </w:pPr>
      <w:r w:rsidRPr="00CA4C2A">
        <w:rPr>
          <w:noProof/>
        </w:rPr>
        <w:t xml:space="preserve">10. De Voux A, Kidd S, Torrone EA. </w:t>
      </w:r>
      <w:r w:rsidRPr="00CA4C2A">
        <w:rPr>
          <w:b/>
          <w:noProof/>
        </w:rPr>
        <w:t>Reported cases of neurosyphilis among early syphilis cases—United States, 2009 to 2015</w:t>
      </w:r>
      <w:r w:rsidRPr="00CA4C2A">
        <w:rPr>
          <w:noProof/>
        </w:rPr>
        <w:t xml:space="preserve">. </w:t>
      </w:r>
      <w:r w:rsidRPr="00CA4C2A">
        <w:rPr>
          <w:i/>
          <w:noProof/>
        </w:rPr>
        <w:t xml:space="preserve">Sexually transmitted diseases </w:t>
      </w:r>
      <w:r w:rsidRPr="00CA4C2A">
        <w:rPr>
          <w:noProof/>
        </w:rPr>
        <w:t>2018; 45(1):39-41.</w:t>
      </w:r>
    </w:p>
    <w:p w14:paraId="20F073CB" w14:textId="77777777" w:rsidR="00CA4C2A" w:rsidRPr="00CA4C2A" w:rsidRDefault="00CA4C2A" w:rsidP="00CA4C2A">
      <w:pPr>
        <w:pStyle w:val="EndNoteBibliography"/>
        <w:spacing w:after="0"/>
        <w:ind w:left="0" w:firstLine="0"/>
        <w:rPr>
          <w:noProof/>
        </w:rPr>
      </w:pPr>
      <w:r w:rsidRPr="00CA4C2A">
        <w:rPr>
          <w:noProof/>
        </w:rPr>
        <w:t xml:space="preserve">11. Golden MR, Marra CM, Holmes KK. </w:t>
      </w:r>
      <w:r w:rsidRPr="00CA4C2A">
        <w:rPr>
          <w:b/>
          <w:noProof/>
        </w:rPr>
        <w:t>Update on syphilis: resurgence of an old problem</w:t>
      </w:r>
      <w:r w:rsidRPr="00CA4C2A">
        <w:rPr>
          <w:noProof/>
        </w:rPr>
        <w:t xml:space="preserve">. </w:t>
      </w:r>
      <w:r w:rsidRPr="00CA4C2A">
        <w:rPr>
          <w:i/>
          <w:noProof/>
        </w:rPr>
        <w:t xml:space="preserve">Jama </w:t>
      </w:r>
      <w:r w:rsidRPr="00CA4C2A">
        <w:rPr>
          <w:noProof/>
        </w:rPr>
        <w:t>2003; 290(11):1510-1514.</w:t>
      </w:r>
    </w:p>
    <w:p w14:paraId="582E7614" w14:textId="77777777" w:rsidR="00CA4C2A" w:rsidRPr="00CA4C2A" w:rsidRDefault="00CA4C2A" w:rsidP="00CA4C2A">
      <w:pPr>
        <w:pStyle w:val="EndNoteBibliography"/>
        <w:spacing w:after="0"/>
        <w:ind w:left="0" w:firstLine="0"/>
        <w:rPr>
          <w:noProof/>
        </w:rPr>
      </w:pPr>
      <w:r w:rsidRPr="00CA4C2A">
        <w:rPr>
          <w:noProof/>
        </w:rPr>
        <w:t xml:space="preserve">12. Clark EG, Danbolt N. </w:t>
      </w:r>
      <w:r w:rsidRPr="00CA4C2A">
        <w:rPr>
          <w:b/>
          <w:noProof/>
        </w:rPr>
        <w:t>The Oslo study of the natural history of untreated syphilis: an epidemiologic investigation based on a restudy of the Boeck-Bruusgaard material a review and appraisal</w:t>
      </w:r>
      <w:r w:rsidRPr="00CA4C2A">
        <w:rPr>
          <w:noProof/>
        </w:rPr>
        <w:t xml:space="preserve">. </w:t>
      </w:r>
      <w:r w:rsidRPr="00CA4C2A">
        <w:rPr>
          <w:i/>
          <w:noProof/>
        </w:rPr>
        <w:t xml:space="preserve">Journal of chronic diseases </w:t>
      </w:r>
      <w:r w:rsidRPr="00CA4C2A">
        <w:rPr>
          <w:noProof/>
        </w:rPr>
        <w:t>1955; 2(3):311-344.</w:t>
      </w:r>
    </w:p>
    <w:p w14:paraId="1EDE424F" w14:textId="77777777" w:rsidR="00CA4C2A" w:rsidRPr="00CA4C2A" w:rsidRDefault="00CA4C2A" w:rsidP="00CA4C2A">
      <w:pPr>
        <w:pStyle w:val="EndNoteBibliography"/>
        <w:spacing w:after="0"/>
        <w:ind w:left="0" w:firstLine="0"/>
        <w:rPr>
          <w:noProof/>
        </w:rPr>
      </w:pPr>
      <w:r w:rsidRPr="00CA4C2A">
        <w:rPr>
          <w:noProof/>
        </w:rPr>
        <w:t xml:space="preserve">13. Alexander LJ, SCHOCH AG. </w:t>
      </w:r>
      <w:r w:rsidRPr="00CA4C2A">
        <w:rPr>
          <w:b/>
          <w:noProof/>
        </w:rPr>
        <w:t>Prevention of syphilis: Penicillin calcium in oil and white wax, usp, bismuth ethylcamphorate and oxophenarsine hydrochloride in treatment, during incubation stage, of persons exposed to syphilis</w:t>
      </w:r>
      <w:r w:rsidRPr="00CA4C2A">
        <w:rPr>
          <w:noProof/>
        </w:rPr>
        <w:t xml:space="preserve">. </w:t>
      </w:r>
      <w:r w:rsidRPr="00CA4C2A">
        <w:rPr>
          <w:i/>
          <w:noProof/>
        </w:rPr>
        <w:t xml:space="preserve">Archives of dermatology and syphilology </w:t>
      </w:r>
      <w:r w:rsidRPr="00CA4C2A">
        <w:rPr>
          <w:noProof/>
        </w:rPr>
        <w:t>1949; 59(1):1-10.</w:t>
      </w:r>
    </w:p>
    <w:p w14:paraId="2CD32343" w14:textId="77777777" w:rsidR="00CA4C2A" w:rsidRPr="00CA4C2A" w:rsidRDefault="00CA4C2A" w:rsidP="00CA4C2A">
      <w:pPr>
        <w:pStyle w:val="EndNoteBibliography"/>
        <w:spacing w:after="0"/>
        <w:ind w:left="0" w:firstLine="0"/>
        <w:rPr>
          <w:noProof/>
        </w:rPr>
      </w:pPr>
      <w:r w:rsidRPr="00CA4C2A">
        <w:rPr>
          <w:noProof/>
        </w:rPr>
        <w:t xml:space="preserve">14. Fang J, Partridge E, Bautista GM, Sankaran D. </w:t>
      </w:r>
      <w:r w:rsidRPr="00CA4C2A">
        <w:rPr>
          <w:b/>
          <w:noProof/>
        </w:rPr>
        <w:t>Congenital syphilis epidemiology, prevention, and management in the United States: a 2022 update</w:t>
      </w:r>
      <w:r w:rsidRPr="00CA4C2A">
        <w:rPr>
          <w:noProof/>
        </w:rPr>
        <w:t xml:space="preserve">. </w:t>
      </w:r>
      <w:r w:rsidRPr="00CA4C2A">
        <w:rPr>
          <w:i/>
          <w:noProof/>
        </w:rPr>
        <w:t xml:space="preserve">Cureus </w:t>
      </w:r>
      <w:r w:rsidRPr="00CA4C2A">
        <w:rPr>
          <w:noProof/>
        </w:rPr>
        <w:t>2022; 14(12).</w:t>
      </w:r>
    </w:p>
    <w:p w14:paraId="06E89040" w14:textId="77777777" w:rsidR="00CA4C2A" w:rsidRPr="00CA4C2A" w:rsidRDefault="00CA4C2A" w:rsidP="00CA4C2A">
      <w:pPr>
        <w:pStyle w:val="EndNoteBibliography"/>
        <w:spacing w:after="0"/>
        <w:ind w:left="0" w:firstLine="0"/>
        <w:rPr>
          <w:noProof/>
        </w:rPr>
      </w:pPr>
      <w:r w:rsidRPr="00CA4C2A">
        <w:rPr>
          <w:noProof/>
        </w:rPr>
        <w:t xml:space="preserve">15. Fiumara NJ, Fleming WL, Downing JG, Good FL. </w:t>
      </w:r>
      <w:r w:rsidRPr="00CA4C2A">
        <w:rPr>
          <w:b/>
          <w:noProof/>
        </w:rPr>
        <w:t>The incidence of prenatal syphilis at the Boston City Hospital</w:t>
      </w:r>
      <w:r w:rsidRPr="00CA4C2A">
        <w:rPr>
          <w:noProof/>
        </w:rPr>
        <w:t xml:space="preserve">. </w:t>
      </w:r>
      <w:r w:rsidRPr="00CA4C2A">
        <w:rPr>
          <w:i/>
          <w:noProof/>
        </w:rPr>
        <w:t xml:space="preserve">New England Journal of Medicine </w:t>
      </w:r>
      <w:r w:rsidRPr="00CA4C2A">
        <w:rPr>
          <w:noProof/>
        </w:rPr>
        <w:t>1952; 247(2):48-52.</w:t>
      </w:r>
    </w:p>
    <w:p w14:paraId="0AF7D643" w14:textId="77777777" w:rsidR="00CA4C2A" w:rsidRPr="00CA4C2A" w:rsidRDefault="00CA4C2A" w:rsidP="00CA4C2A">
      <w:pPr>
        <w:pStyle w:val="EndNoteBibliography"/>
        <w:spacing w:after="0"/>
        <w:ind w:left="0" w:firstLine="0"/>
        <w:rPr>
          <w:noProof/>
        </w:rPr>
      </w:pPr>
      <w:r w:rsidRPr="00CA4C2A">
        <w:rPr>
          <w:noProof/>
        </w:rPr>
        <w:t xml:space="preserve">16. Cooper JM, Sánchez PJ. </w:t>
      </w:r>
      <w:r w:rsidRPr="00CA4C2A">
        <w:rPr>
          <w:b/>
          <w:noProof/>
        </w:rPr>
        <w:t>Congenital syphilis</w:t>
      </w:r>
      <w:r w:rsidRPr="00CA4C2A">
        <w:rPr>
          <w:noProof/>
        </w:rPr>
        <w:t xml:space="preserve">. In: </w:t>
      </w:r>
      <w:r w:rsidRPr="00CA4C2A">
        <w:rPr>
          <w:i/>
          <w:noProof/>
        </w:rPr>
        <w:t>Seminars in perinatology</w:t>
      </w:r>
      <w:r w:rsidRPr="00CA4C2A">
        <w:rPr>
          <w:noProof/>
        </w:rPr>
        <w:t>: Elsevier; 2018. pp. 176-184.</w:t>
      </w:r>
    </w:p>
    <w:p w14:paraId="10AA82C4" w14:textId="77777777" w:rsidR="00CA4C2A" w:rsidRPr="00CA4C2A" w:rsidRDefault="00CA4C2A" w:rsidP="00CA4C2A">
      <w:pPr>
        <w:pStyle w:val="EndNoteBibliography"/>
        <w:spacing w:after="0"/>
        <w:ind w:left="0" w:firstLine="0"/>
        <w:rPr>
          <w:noProof/>
        </w:rPr>
      </w:pPr>
      <w:r w:rsidRPr="00CA4C2A">
        <w:rPr>
          <w:noProof/>
        </w:rPr>
        <w:lastRenderedPageBreak/>
        <w:t xml:space="preserve">17. Ingraham Jr N. </w:t>
      </w:r>
      <w:r w:rsidRPr="00CA4C2A">
        <w:rPr>
          <w:b/>
          <w:noProof/>
        </w:rPr>
        <w:t>The value of penicillin alone in the prevention and treatment of congenital syphilis</w:t>
      </w:r>
      <w:r w:rsidRPr="00CA4C2A">
        <w:rPr>
          <w:noProof/>
        </w:rPr>
        <w:t xml:space="preserve">. </w:t>
      </w:r>
      <w:r w:rsidRPr="00CA4C2A">
        <w:rPr>
          <w:i/>
          <w:noProof/>
        </w:rPr>
        <w:t xml:space="preserve">Acta dermato-venereologica Supplementum </w:t>
      </w:r>
      <w:r w:rsidRPr="00CA4C2A">
        <w:rPr>
          <w:noProof/>
        </w:rPr>
        <w:t>1950; 31(Suppl. 24):60-87.</w:t>
      </w:r>
    </w:p>
    <w:p w14:paraId="7EF45246" w14:textId="77777777" w:rsidR="00CA4C2A" w:rsidRPr="00CA4C2A" w:rsidRDefault="00CA4C2A" w:rsidP="00CA4C2A">
      <w:pPr>
        <w:pStyle w:val="EndNoteBibliography"/>
        <w:spacing w:after="0"/>
        <w:ind w:left="0" w:firstLine="0"/>
        <w:rPr>
          <w:noProof/>
        </w:rPr>
      </w:pPr>
      <w:r w:rsidRPr="00CA4C2A">
        <w:rPr>
          <w:noProof/>
        </w:rPr>
        <w:t xml:space="preserve">18. Qin JiaBi QJ, Yang TuBao YT, Xiao ShuiYuan XS, Tan HongZhuan TH, Feng TieJian FT, Fu HanLin FH. </w:t>
      </w:r>
      <w:r w:rsidRPr="00CA4C2A">
        <w:rPr>
          <w:b/>
          <w:noProof/>
        </w:rPr>
        <w:t>Reported estimates of adverse pregnancy outcomes among women with and without syphilis: a systematic review and meta-analysis</w:t>
      </w:r>
      <w:r w:rsidRPr="00CA4C2A">
        <w:rPr>
          <w:noProof/>
        </w:rPr>
        <w:t>. 2014.</w:t>
      </w:r>
    </w:p>
    <w:p w14:paraId="3DF9752F" w14:textId="77777777" w:rsidR="00CA4C2A" w:rsidRPr="00CA4C2A" w:rsidRDefault="00CA4C2A" w:rsidP="00CA4C2A">
      <w:pPr>
        <w:pStyle w:val="EndNoteBibliography"/>
        <w:spacing w:after="0"/>
        <w:ind w:left="0" w:firstLine="0"/>
        <w:rPr>
          <w:noProof/>
        </w:rPr>
      </w:pPr>
      <w:r w:rsidRPr="00CA4C2A">
        <w:rPr>
          <w:noProof/>
        </w:rPr>
        <w:t xml:space="preserve">19. Alexander JM, Sheffield JS, Sanchez PJ, Mayfield J, Wendel Jr GD. </w:t>
      </w:r>
      <w:r w:rsidRPr="00CA4C2A">
        <w:rPr>
          <w:b/>
          <w:noProof/>
        </w:rPr>
        <w:t>Efficacy of treatment for syphilis in pregnancy</w:t>
      </w:r>
      <w:r w:rsidRPr="00CA4C2A">
        <w:rPr>
          <w:noProof/>
        </w:rPr>
        <w:t xml:space="preserve">. </w:t>
      </w:r>
      <w:r w:rsidRPr="00CA4C2A">
        <w:rPr>
          <w:i/>
          <w:noProof/>
        </w:rPr>
        <w:t xml:space="preserve">Obstetrics &amp; Gynecology </w:t>
      </w:r>
      <w:r w:rsidRPr="00CA4C2A">
        <w:rPr>
          <w:noProof/>
        </w:rPr>
        <w:t>1999; 93(1):5-8.</w:t>
      </w:r>
    </w:p>
    <w:p w14:paraId="5B20BFE3" w14:textId="71372E44" w:rsidR="00CA4C2A" w:rsidRPr="00CA4C2A" w:rsidRDefault="00CA4C2A" w:rsidP="00CA4C2A">
      <w:pPr>
        <w:pStyle w:val="EndNoteBibliography"/>
        <w:spacing w:after="0"/>
        <w:ind w:left="0" w:firstLine="0"/>
        <w:rPr>
          <w:noProof/>
        </w:rPr>
      </w:pPr>
      <w:r w:rsidRPr="00CA4C2A">
        <w:rPr>
          <w:noProof/>
        </w:rPr>
        <w:t>20. March of Dimes.</w:t>
      </w:r>
      <w:r w:rsidRPr="00CA4C2A">
        <w:rPr>
          <w:b/>
          <w:noProof/>
        </w:rPr>
        <w:t>SINGLETONS &amp; MULTIPLES</w:t>
      </w:r>
      <w:r w:rsidRPr="00CA4C2A">
        <w:rPr>
          <w:noProof/>
        </w:rPr>
        <w:t>.2023. Accessed on: 02/01/2025.</w:t>
      </w:r>
      <w:hyperlink r:id="rId21" w:history="1">
        <w:r w:rsidRPr="00CA4C2A">
          <w:rPr>
            <w:rStyle w:val="Hyperlink"/>
            <w:noProof/>
          </w:rPr>
          <w:t>https://www.marchofdimes.org/peristats/data?reg=99&amp;top=7&amp;stop=72&amp;lev=1&amp;slev=1&amp;obj=1</w:t>
        </w:r>
      </w:hyperlink>
    </w:p>
    <w:p w14:paraId="3C6C8DC4" w14:textId="77777777" w:rsidR="00CA4C2A" w:rsidRPr="00CA4C2A" w:rsidRDefault="00CA4C2A" w:rsidP="00CA4C2A">
      <w:pPr>
        <w:pStyle w:val="EndNoteBibliography"/>
        <w:spacing w:after="0"/>
        <w:ind w:left="0" w:firstLine="0"/>
        <w:rPr>
          <w:noProof/>
        </w:rPr>
      </w:pPr>
      <w:r w:rsidRPr="00CA4C2A">
        <w:rPr>
          <w:noProof/>
        </w:rPr>
        <w:t xml:space="preserve">21. Cope AB, Bernstein KT, Matthias J, Rahman M, Diesel JC, Pugsley RA, et al. </w:t>
      </w:r>
      <w:r w:rsidRPr="00CA4C2A">
        <w:rPr>
          <w:b/>
          <w:noProof/>
        </w:rPr>
        <w:t>Effectiveness of syphilis partner notification after adjusting for treatment dates, 7 jurisdictions</w:t>
      </w:r>
      <w:r w:rsidRPr="00CA4C2A">
        <w:rPr>
          <w:noProof/>
        </w:rPr>
        <w:t xml:space="preserve">. </w:t>
      </w:r>
      <w:r w:rsidRPr="00CA4C2A">
        <w:rPr>
          <w:i/>
          <w:noProof/>
        </w:rPr>
        <w:t xml:space="preserve">Sexually transmitted diseases </w:t>
      </w:r>
      <w:r w:rsidRPr="00CA4C2A">
        <w:rPr>
          <w:noProof/>
        </w:rPr>
        <w:t>2022; 49(2):160-165.</w:t>
      </w:r>
    </w:p>
    <w:p w14:paraId="6AEF5E0B" w14:textId="77777777" w:rsidR="00CA4C2A" w:rsidRPr="00CA4C2A" w:rsidRDefault="00CA4C2A" w:rsidP="00CA4C2A">
      <w:pPr>
        <w:pStyle w:val="EndNoteBibliography"/>
        <w:spacing w:after="0"/>
        <w:ind w:left="0" w:firstLine="0"/>
        <w:rPr>
          <w:noProof/>
        </w:rPr>
      </w:pPr>
      <w:r w:rsidRPr="00CA4C2A">
        <w:rPr>
          <w:noProof/>
        </w:rPr>
        <w:t xml:space="preserve">22. Samoff E, Cope AB, Maxwell J, Thomas F, Mobley VL. </w:t>
      </w:r>
      <w:r w:rsidRPr="00CA4C2A">
        <w:rPr>
          <w:b/>
          <w:noProof/>
        </w:rPr>
        <w:t>The number of interviews needed to yield new syphilis and human immunodeficiency virus cases among partners of people diagnosed with syphilis, North Carolina, 2015</w:t>
      </w:r>
      <w:r w:rsidRPr="00CA4C2A">
        <w:rPr>
          <w:noProof/>
        </w:rPr>
        <w:t xml:space="preserve">. </w:t>
      </w:r>
      <w:r w:rsidRPr="00CA4C2A">
        <w:rPr>
          <w:i/>
          <w:noProof/>
        </w:rPr>
        <w:t xml:space="preserve">Sexually transmitted diseases </w:t>
      </w:r>
      <w:r w:rsidRPr="00CA4C2A">
        <w:rPr>
          <w:noProof/>
        </w:rPr>
        <w:t>2017; 44(8):451-456.</w:t>
      </w:r>
    </w:p>
    <w:p w14:paraId="6B4ABEE4" w14:textId="77777777" w:rsidR="00CA4C2A" w:rsidRPr="00CA4C2A" w:rsidRDefault="00CA4C2A" w:rsidP="00CA4C2A">
      <w:pPr>
        <w:pStyle w:val="EndNoteBibliography"/>
        <w:spacing w:after="0"/>
        <w:ind w:left="0" w:firstLine="0"/>
        <w:rPr>
          <w:noProof/>
        </w:rPr>
      </w:pPr>
      <w:r w:rsidRPr="00CA4C2A">
        <w:rPr>
          <w:noProof/>
        </w:rPr>
        <w:t xml:space="preserve">23. Katz DA, Hogben M, Dooley Jr SW, Golden MR. </w:t>
      </w:r>
      <w:r w:rsidRPr="00CA4C2A">
        <w:rPr>
          <w:b/>
          <w:noProof/>
        </w:rPr>
        <w:t>Increasing public health partner services for human immunodeficiency virus: results of a second national survey</w:t>
      </w:r>
      <w:r w:rsidRPr="00CA4C2A">
        <w:rPr>
          <w:noProof/>
        </w:rPr>
        <w:t xml:space="preserve">. </w:t>
      </w:r>
      <w:r w:rsidRPr="00CA4C2A">
        <w:rPr>
          <w:i/>
          <w:noProof/>
        </w:rPr>
        <w:t xml:space="preserve">Sexually transmitted diseases </w:t>
      </w:r>
      <w:r w:rsidRPr="00CA4C2A">
        <w:rPr>
          <w:noProof/>
        </w:rPr>
        <w:t>2010; 37(8):469-475.</w:t>
      </w:r>
    </w:p>
    <w:p w14:paraId="629AD8B5" w14:textId="77777777" w:rsidR="00CA4C2A" w:rsidRPr="00CA4C2A" w:rsidRDefault="00CA4C2A" w:rsidP="00CA4C2A">
      <w:pPr>
        <w:pStyle w:val="EndNoteBibliography"/>
        <w:spacing w:after="0"/>
        <w:ind w:left="0" w:firstLine="0"/>
        <w:rPr>
          <w:noProof/>
        </w:rPr>
      </w:pPr>
      <w:r w:rsidRPr="00CA4C2A">
        <w:rPr>
          <w:noProof/>
        </w:rPr>
        <w:t xml:space="preserve">24. Hoots BE, Lewis FM, Anschuetz G, Schillinger JA, Blank S, Foskey T, et al. </w:t>
      </w:r>
      <w:r w:rsidRPr="00CA4C2A">
        <w:rPr>
          <w:b/>
          <w:noProof/>
        </w:rPr>
        <w:t>Would targeting increase efficiency of syphilis partner services programs?—Data from New York City, Philadelphia, Texas, and Virginia</w:t>
      </w:r>
      <w:r w:rsidRPr="00CA4C2A">
        <w:rPr>
          <w:noProof/>
        </w:rPr>
        <w:t xml:space="preserve">. </w:t>
      </w:r>
      <w:r w:rsidRPr="00CA4C2A">
        <w:rPr>
          <w:i/>
          <w:noProof/>
        </w:rPr>
        <w:t xml:space="preserve">Sexually transmitted diseases </w:t>
      </w:r>
      <w:r w:rsidRPr="00CA4C2A">
        <w:rPr>
          <w:noProof/>
        </w:rPr>
        <w:t>2014; 41(6):407-412.</w:t>
      </w:r>
    </w:p>
    <w:p w14:paraId="1607BFA3" w14:textId="77777777" w:rsidR="00CA4C2A" w:rsidRPr="00CA4C2A" w:rsidRDefault="00CA4C2A" w:rsidP="00CA4C2A">
      <w:pPr>
        <w:pStyle w:val="EndNoteBibliography"/>
        <w:spacing w:after="0"/>
        <w:ind w:left="0" w:firstLine="0"/>
        <w:rPr>
          <w:noProof/>
        </w:rPr>
      </w:pPr>
      <w:r w:rsidRPr="00CA4C2A">
        <w:rPr>
          <w:noProof/>
        </w:rPr>
        <w:t xml:space="preserve">25. Kerani RP, Chang A, Berzkalns A, Moreno JP, Ramchandani M, Golden MR. </w:t>
      </w:r>
      <w:r w:rsidRPr="00CA4C2A">
        <w:rPr>
          <w:b/>
          <w:noProof/>
        </w:rPr>
        <w:t>An evaluation of syphilis partner services among gay, bisexual, and other men who have sex with men with early syphilis in King County, WA</w:t>
      </w:r>
      <w:r w:rsidRPr="00CA4C2A">
        <w:rPr>
          <w:noProof/>
        </w:rPr>
        <w:t xml:space="preserve">. </w:t>
      </w:r>
      <w:r w:rsidRPr="00CA4C2A">
        <w:rPr>
          <w:i/>
          <w:noProof/>
        </w:rPr>
        <w:t xml:space="preserve">Sexually transmitted diseases </w:t>
      </w:r>
      <w:r w:rsidRPr="00CA4C2A">
        <w:rPr>
          <w:noProof/>
        </w:rPr>
        <w:t>2024:10.1097.</w:t>
      </w:r>
    </w:p>
    <w:p w14:paraId="7011E6D4" w14:textId="77777777" w:rsidR="00CA4C2A" w:rsidRPr="00CA4C2A" w:rsidRDefault="00CA4C2A" w:rsidP="00CA4C2A">
      <w:pPr>
        <w:pStyle w:val="EndNoteBibliography"/>
        <w:spacing w:after="0"/>
        <w:ind w:left="0" w:firstLine="0"/>
        <w:rPr>
          <w:noProof/>
        </w:rPr>
      </w:pPr>
      <w:r w:rsidRPr="00CA4C2A">
        <w:rPr>
          <w:noProof/>
        </w:rPr>
        <w:t xml:space="preserve">26. Brewer DD. </w:t>
      </w:r>
      <w:r w:rsidRPr="00CA4C2A">
        <w:rPr>
          <w:b/>
          <w:noProof/>
        </w:rPr>
        <w:t>Case-finding effectiveness of partner notification and cluster investigation for sexually transmitted diseases/HIV</w:t>
      </w:r>
      <w:r w:rsidRPr="00CA4C2A">
        <w:rPr>
          <w:noProof/>
        </w:rPr>
        <w:t xml:space="preserve">. </w:t>
      </w:r>
      <w:r w:rsidRPr="00CA4C2A">
        <w:rPr>
          <w:i/>
          <w:noProof/>
        </w:rPr>
        <w:t xml:space="preserve">Sexually transmitted diseases </w:t>
      </w:r>
      <w:r w:rsidRPr="00CA4C2A">
        <w:rPr>
          <w:noProof/>
        </w:rPr>
        <w:t>2005; 32(2):78-83.</w:t>
      </w:r>
    </w:p>
    <w:p w14:paraId="0D6761A9" w14:textId="77777777" w:rsidR="00CA4C2A" w:rsidRPr="00CA4C2A" w:rsidRDefault="00CA4C2A" w:rsidP="00CA4C2A">
      <w:pPr>
        <w:pStyle w:val="EndNoteBibliography"/>
        <w:spacing w:after="0"/>
        <w:ind w:left="0" w:firstLine="0"/>
        <w:rPr>
          <w:noProof/>
        </w:rPr>
      </w:pPr>
      <w:r w:rsidRPr="00CA4C2A">
        <w:rPr>
          <w:noProof/>
        </w:rPr>
        <w:t xml:space="preserve">27. Sheffield JS, Sanchez PJ, Morris G, Maberry M, Zeray F, McIntire DD, et al. </w:t>
      </w:r>
      <w:r w:rsidRPr="00CA4C2A">
        <w:rPr>
          <w:b/>
          <w:noProof/>
        </w:rPr>
        <w:t>Congenital syphilis after maternal treatment for syphilis during pregnancy</w:t>
      </w:r>
      <w:r w:rsidRPr="00CA4C2A">
        <w:rPr>
          <w:noProof/>
        </w:rPr>
        <w:t xml:space="preserve">. </w:t>
      </w:r>
      <w:r w:rsidRPr="00CA4C2A">
        <w:rPr>
          <w:i/>
          <w:noProof/>
        </w:rPr>
        <w:t xml:space="preserve">American journal of obstetrics and gynecology </w:t>
      </w:r>
      <w:r w:rsidRPr="00CA4C2A">
        <w:rPr>
          <w:noProof/>
        </w:rPr>
        <w:t>2002; 186(3):569-573.</w:t>
      </w:r>
    </w:p>
    <w:p w14:paraId="0DA26C07" w14:textId="77777777" w:rsidR="00CA4C2A" w:rsidRPr="00CA4C2A" w:rsidRDefault="00CA4C2A" w:rsidP="00CA4C2A">
      <w:pPr>
        <w:pStyle w:val="EndNoteBibliography"/>
        <w:spacing w:after="0"/>
        <w:ind w:left="0" w:firstLine="0"/>
        <w:rPr>
          <w:noProof/>
        </w:rPr>
      </w:pPr>
      <w:r w:rsidRPr="00CA4C2A">
        <w:rPr>
          <w:noProof/>
        </w:rPr>
        <w:t xml:space="preserve">28. Hawkes SJ, Gomez GB, Broutet N. </w:t>
      </w:r>
      <w:r w:rsidRPr="00CA4C2A">
        <w:rPr>
          <w:b/>
          <w:noProof/>
        </w:rPr>
        <w:t>Early antenatal care: does it make a difference to outcomes of pregnancy associated with syphilis? A systematic review and meta-analysis</w:t>
      </w:r>
      <w:r w:rsidRPr="00CA4C2A">
        <w:rPr>
          <w:noProof/>
        </w:rPr>
        <w:t xml:space="preserve">. </w:t>
      </w:r>
      <w:r w:rsidRPr="00CA4C2A">
        <w:rPr>
          <w:i/>
          <w:noProof/>
        </w:rPr>
        <w:t xml:space="preserve">PloS one </w:t>
      </w:r>
      <w:r w:rsidRPr="00CA4C2A">
        <w:rPr>
          <w:noProof/>
        </w:rPr>
        <w:t>2013; 8(2):e56713.</w:t>
      </w:r>
    </w:p>
    <w:p w14:paraId="6556830F" w14:textId="77777777" w:rsidR="00CA4C2A" w:rsidRPr="00CA4C2A" w:rsidRDefault="00CA4C2A" w:rsidP="00CA4C2A">
      <w:pPr>
        <w:pStyle w:val="EndNoteBibliography"/>
        <w:spacing w:after="0"/>
        <w:ind w:left="0" w:firstLine="0"/>
        <w:rPr>
          <w:noProof/>
        </w:rPr>
      </w:pPr>
      <w:r w:rsidRPr="00CA4C2A">
        <w:rPr>
          <w:noProof/>
        </w:rPr>
        <w:t xml:space="preserve">29. Tannis A, Miele K, Carlson JM, O'Callaghan KP, Woodworth KR, Anderson B, et al. </w:t>
      </w:r>
      <w:r w:rsidRPr="00CA4C2A">
        <w:rPr>
          <w:b/>
          <w:noProof/>
        </w:rPr>
        <w:t>Syphilis treatment among people who are pregnant in six US states, 2018–2021</w:t>
      </w:r>
      <w:r w:rsidRPr="00CA4C2A">
        <w:rPr>
          <w:noProof/>
        </w:rPr>
        <w:t xml:space="preserve">. </w:t>
      </w:r>
      <w:r w:rsidRPr="00CA4C2A">
        <w:rPr>
          <w:i/>
          <w:noProof/>
        </w:rPr>
        <w:t xml:space="preserve">Obstetrics &amp; Gynecology </w:t>
      </w:r>
      <w:r w:rsidRPr="00CA4C2A">
        <w:rPr>
          <w:noProof/>
        </w:rPr>
        <w:t>2022:10.1097.</w:t>
      </w:r>
    </w:p>
    <w:p w14:paraId="5DE76AC6" w14:textId="77777777" w:rsidR="00CA4C2A" w:rsidRPr="00CA4C2A" w:rsidRDefault="00CA4C2A" w:rsidP="00CA4C2A">
      <w:pPr>
        <w:pStyle w:val="EndNoteBibliography"/>
        <w:spacing w:after="0"/>
        <w:ind w:left="0" w:firstLine="0"/>
        <w:rPr>
          <w:noProof/>
        </w:rPr>
      </w:pPr>
      <w:r w:rsidRPr="00CA4C2A">
        <w:rPr>
          <w:noProof/>
        </w:rPr>
        <w:t xml:space="preserve">30. Workowski KA. </w:t>
      </w:r>
      <w:r w:rsidRPr="00CA4C2A">
        <w:rPr>
          <w:b/>
          <w:noProof/>
        </w:rPr>
        <w:t>Sexually transmitted infections treatment guidelines, 2021</w:t>
      </w:r>
      <w:r w:rsidRPr="00CA4C2A">
        <w:rPr>
          <w:noProof/>
        </w:rPr>
        <w:t xml:space="preserve">. </w:t>
      </w:r>
      <w:r w:rsidRPr="00CA4C2A">
        <w:rPr>
          <w:i/>
          <w:noProof/>
        </w:rPr>
        <w:t xml:space="preserve">MMWR Recommendations and Reports </w:t>
      </w:r>
      <w:r w:rsidRPr="00CA4C2A">
        <w:rPr>
          <w:noProof/>
        </w:rPr>
        <w:t>2021; 70.</w:t>
      </w:r>
    </w:p>
    <w:p w14:paraId="16C9D1BD" w14:textId="77777777" w:rsidR="00CA4C2A" w:rsidRPr="00CA4C2A" w:rsidRDefault="00CA4C2A" w:rsidP="00CA4C2A">
      <w:pPr>
        <w:pStyle w:val="EndNoteBibliography"/>
        <w:ind w:left="0" w:firstLine="0"/>
        <w:rPr>
          <w:noProof/>
        </w:rPr>
      </w:pPr>
      <w:r w:rsidRPr="00CA4C2A">
        <w:rPr>
          <w:noProof/>
        </w:rPr>
        <w:lastRenderedPageBreak/>
        <w:t xml:space="preserve">31. Robinson CL, Young L, Bisgard K, Mickey T, Taylor MM. </w:t>
      </w:r>
      <w:r w:rsidRPr="00CA4C2A">
        <w:rPr>
          <w:b/>
          <w:noProof/>
        </w:rPr>
        <w:t>Syphilis time to treatment at publicly funded sexually transmitted disease clinics versus non–sexually transmitted disease clinics—Maricopa and Pima Counties, Arizona, 2009–2012</w:t>
      </w:r>
      <w:r w:rsidRPr="00CA4C2A">
        <w:rPr>
          <w:noProof/>
        </w:rPr>
        <w:t xml:space="preserve">. </w:t>
      </w:r>
      <w:r w:rsidRPr="00CA4C2A">
        <w:rPr>
          <w:i/>
          <w:noProof/>
        </w:rPr>
        <w:t xml:space="preserve">Sexually transmitted diseases </w:t>
      </w:r>
      <w:r w:rsidRPr="00CA4C2A">
        <w:rPr>
          <w:noProof/>
        </w:rPr>
        <w:t>2016; 43(1):30-33.</w:t>
      </w:r>
    </w:p>
    <w:p w14:paraId="51654522" w14:textId="0881A186" w:rsidR="00CB2855" w:rsidRPr="00516213" w:rsidRDefault="009E5F82" w:rsidP="00CA4C2A">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Calibri"/>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1D905FA"/>
    <w:multiLevelType w:val="multilevel"/>
    <w:tmpl w:val="F4EA5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7F15AE6"/>
    <w:multiLevelType w:val="multilevel"/>
    <w:tmpl w:val="DF4E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C7746"/>
    <w:multiLevelType w:val="hybridMultilevel"/>
    <w:tmpl w:val="FB34A434"/>
    <w:lvl w:ilvl="0" w:tplc="E6BEAC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AFC3B14"/>
    <w:multiLevelType w:val="multilevel"/>
    <w:tmpl w:val="4EE64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822775"/>
    <w:multiLevelType w:val="multilevel"/>
    <w:tmpl w:val="76E46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213DCB"/>
    <w:multiLevelType w:val="multilevel"/>
    <w:tmpl w:val="940E5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6442C5"/>
    <w:multiLevelType w:val="multilevel"/>
    <w:tmpl w:val="5F0E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481A3E"/>
    <w:multiLevelType w:val="multilevel"/>
    <w:tmpl w:val="04629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9"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75783"/>
    <w:multiLevelType w:val="hybridMultilevel"/>
    <w:tmpl w:val="29C020E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45750F"/>
    <w:multiLevelType w:val="hybridMultilevel"/>
    <w:tmpl w:val="6B086F28"/>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37"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28466E"/>
    <w:multiLevelType w:val="hybridMultilevel"/>
    <w:tmpl w:val="6D7EF5B2"/>
    <w:lvl w:ilvl="0" w:tplc="E6BEAC2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CE962CE"/>
    <w:multiLevelType w:val="multilevel"/>
    <w:tmpl w:val="99DAB0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7"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9243E94"/>
    <w:multiLevelType w:val="multilevel"/>
    <w:tmpl w:val="ECAE8F5A"/>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50"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43"/>
  </w:num>
  <w:num w:numId="2" w16cid:durableId="1014537">
    <w:abstractNumId w:val="10"/>
  </w:num>
  <w:num w:numId="3" w16cid:durableId="445197601">
    <w:abstractNumId w:val="36"/>
  </w:num>
  <w:num w:numId="4" w16cid:durableId="1676420802">
    <w:abstractNumId w:val="13"/>
  </w:num>
  <w:num w:numId="5" w16cid:durableId="2102557157">
    <w:abstractNumId w:val="3"/>
  </w:num>
  <w:num w:numId="6" w16cid:durableId="508568778">
    <w:abstractNumId w:val="45"/>
  </w:num>
  <w:num w:numId="7" w16cid:durableId="1921255642">
    <w:abstractNumId w:val="33"/>
  </w:num>
  <w:num w:numId="8" w16cid:durableId="943221388">
    <w:abstractNumId w:val="23"/>
  </w:num>
  <w:num w:numId="9" w16cid:durableId="284822826">
    <w:abstractNumId w:val="19"/>
  </w:num>
  <w:num w:numId="10" w16cid:durableId="1238906278">
    <w:abstractNumId w:val="34"/>
  </w:num>
  <w:num w:numId="11" w16cid:durableId="226302568">
    <w:abstractNumId w:val="0"/>
  </w:num>
  <w:num w:numId="12" w16cid:durableId="342365413">
    <w:abstractNumId w:val="38"/>
  </w:num>
  <w:num w:numId="13" w16cid:durableId="369958091">
    <w:abstractNumId w:val="31"/>
  </w:num>
  <w:num w:numId="14" w16cid:durableId="834227946">
    <w:abstractNumId w:val="16"/>
  </w:num>
  <w:num w:numId="15" w16cid:durableId="848829694">
    <w:abstractNumId w:val="29"/>
  </w:num>
  <w:num w:numId="16" w16cid:durableId="958025817">
    <w:abstractNumId w:val="12"/>
  </w:num>
  <w:num w:numId="17" w16cid:durableId="649090871">
    <w:abstractNumId w:val="15"/>
  </w:num>
  <w:num w:numId="18" w16cid:durableId="1586838538">
    <w:abstractNumId w:val="42"/>
  </w:num>
  <w:num w:numId="19" w16cid:durableId="1063599743">
    <w:abstractNumId w:val="37"/>
  </w:num>
  <w:num w:numId="20" w16cid:durableId="281155542">
    <w:abstractNumId w:val="22"/>
  </w:num>
  <w:num w:numId="21" w16cid:durableId="1288076451">
    <w:abstractNumId w:val="35"/>
  </w:num>
  <w:num w:numId="22" w16cid:durableId="1229730405">
    <w:abstractNumId w:val="9"/>
  </w:num>
  <w:num w:numId="23" w16cid:durableId="1272736896">
    <w:abstractNumId w:val="21"/>
  </w:num>
  <w:num w:numId="24" w16cid:durableId="265619940">
    <w:abstractNumId w:val="39"/>
  </w:num>
  <w:num w:numId="25" w16cid:durableId="719524181">
    <w:abstractNumId w:val="6"/>
  </w:num>
  <w:num w:numId="26" w16cid:durableId="269899990">
    <w:abstractNumId w:val="40"/>
  </w:num>
  <w:num w:numId="27" w16cid:durableId="1183326634">
    <w:abstractNumId w:val="14"/>
  </w:num>
  <w:num w:numId="28" w16cid:durableId="730927909">
    <w:abstractNumId w:val="7"/>
  </w:num>
  <w:num w:numId="29" w16cid:durableId="1933197570">
    <w:abstractNumId w:val="46"/>
  </w:num>
  <w:num w:numId="30" w16cid:durableId="404255604">
    <w:abstractNumId w:val="49"/>
  </w:num>
  <w:num w:numId="31" w16cid:durableId="621494874">
    <w:abstractNumId w:val="17"/>
  </w:num>
  <w:num w:numId="32" w16cid:durableId="177349453">
    <w:abstractNumId w:val="1"/>
  </w:num>
  <w:num w:numId="33" w16cid:durableId="112480915">
    <w:abstractNumId w:val="11"/>
  </w:num>
  <w:num w:numId="34" w16cid:durableId="244001261">
    <w:abstractNumId w:val="20"/>
  </w:num>
  <w:num w:numId="35" w16cid:durableId="2005548792">
    <w:abstractNumId w:val="48"/>
  </w:num>
  <w:num w:numId="36" w16cid:durableId="1339044010">
    <w:abstractNumId w:val="28"/>
  </w:num>
  <w:num w:numId="37" w16cid:durableId="711271178">
    <w:abstractNumId w:val="50"/>
  </w:num>
  <w:num w:numId="38" w16cid:durableId="1752853147">
    <w:abstractNumId w:val="51"/>
  </w:num>
  <w:num w:numId="39" w16cid:durableId="1038318051">
    <w:abstractNumId w:val="26"/>
  </w:num>
  <w:num w:numId="40" w16cid:durableId="783813395">
    <w:abstractNumId w:val="8"/>
  </w:num>
  <w:num w:numId="41" w16cid:durableId="1137378114">
    <w:abstractNumId w:val="47"/>
  </w:num>
  <w:num w:numId="42" w16cid:durableId="1185434563">
    <w:abstractNumId w:val="4"/>
  </w:num>
  <w:num w:numId="43" w16cid:durableId="1120340765">
    <w:abstractNumId w:val="27"/>
  </w:num>
  <w:num w:numId="44" w16cid:durableId="1986229880">
    <w:abstractNumId w:val="2"/>
  </w:num>
  <w:num w:numId="45" w16cid:durableId="133105089">
    <w:abstractNumId w:val="24"/>
  </w:num>
  <w:num w:numId="46" w16cid:durableId="96603751">
    <w:abstractNumId w:val="44"/>
  </w:num>
  <w:num w:numId="47" w16cid:durableId="1810781877">
    <w:abstractNumId w:val="25"/>
  </w:num>
  <w:num w:numId="48" w16cid:durableId="579951039">
    <w:abstractNumId w:val="18"/>
  </w:num>
  <w:num w:numId="49" w16cid:durableId="1963073364">
    <w:abstractNumId w:val="5"/>
  </w:num>
  <w:num w:numId="50" w16cid:durableId="874193067">
    <w:abstractNumId w:val="41"/>
  </w:num>
  <w:num w:numId="51" w16cid:durableId="27530401">
    <w:abstractNumId w:val="30"/>
  </w:num>
  <w:num w:numId="52" w16cid:durableId="561334133">
    <w:abstractNumId w:val="32"/>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2&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D685B"/>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D0B42"/>
    <w:rsid w:val="002D2520"/>
    <w:rsid w:val="002D77B3"/>
    <w:rsid w:val="002E3795"/>
    <w:rsid w:val="002E405A"/>
    <w:rsid w:val="002E586A"/>
    <w:rsid w:val="002E75B3"/>
    <w:rsid w:val="002F24FB"/>
    <w:rsid w:val="002F4DA6"/>
    <w:rsid w:val="002F53F9"/>
    <w:rsid w:val="002F53FC"/>
    <w:rsid w:val="002F78AB"/>
    <w:rsid w:val="003032DC"/>
    <w:rsid w:val="0031497A"/>
    <w:rsid w:val="00321EA1"/>
    <w:rsid w:val="00325E7F"/>
    <w:rsid w:val="00332EC6"/>
    <w:rsid w:val="00345EC4"/>
    <w:rsid w:val="003546D4"/>
    <w:rsid w:val="003568AC"/>
    <w:rsid w:val="00356E6F"/>
    <w:rsid w:val="00356F5C"/>
    <w:rsid w:val="003659A7"/>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06014"/>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383"/>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44BC2"/>
    <w:rsid w:val="0055241E"/>
    <w:rsid w:val="00553030"/>
    <w:rsid w:val="00554DFE"/>
    <w:rsid w:val="0056198A"/>
    <w:rsid w:val="00570BAA"/>
    <w:rsid w:val="00576D5D"/>
    <w:rsid w:val="0058307D"/>
    <w:rsid w:val="005840FB"/>
    <w:rsid w:val="0058740D"/>
    <w:rsid w:val="00591E65"/>
    <w:rsid w:val="005971F9"/>
    <w:rsid w:val="005A429C"/>
    <w:rsid w:val="005A49D7"/>
    <w:rsid w:val="005B0B2C"/>
    <w:rsid w:val="005C4B5E"/>
    <w:rsid w:val="005D61C9"/>
    <w:rsid w:val="005D6E80"/>
    <w:rsid w:val="005E2400"/>
    <w:rsid w:val="005F049E"/>
    <w:rsid w:val="005F3452"/>
    <w:rsid w:val="0060408B"/>
    <w:rsid w:val="00604172"/>
    <w:rsid w:val="00605E16"/>
    <w:rsid w:val="00605E20"/>
    <w:rsid w:val="00607FC3"/>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84AC3"/>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3DA0"/>
    <w:rsid w:val="0071434B"/>
    <w:rsid w:val="00715D04"/>
    <w:rsid w:val="00721449"/>
    <w:rsid w:val="007250BC"/>
    <w:rsid w:val="00731380"/>
    <w:rsid w:val="00735900"/>
    <w:rsid w:val="00736061"/>
    <w:rsid w:val="007422AD"/>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09EA"/>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B0978"/>
    <w:rsid w:val="008C16A9"/>
    <w:rsid w:val="008C322C"/>
    <w:rsid w:val="008D0DD3"/>
    <w:rsid w:val="008D4547"/>
    <w:rsid w:val="008D67FA"/>
    <w:rsid w:val="008E0B4A"/>
    <w:rsid w:val="008E5126"/>
    <w:rsid w:val="008E6222"/>
    <w:rsid w:val="008F15B1"/>
    <w:rsid w:val="008F6ADA"/>
    <w:rsid w:val="00902BCB"/>
    <w:rsid w:val="00912973"/>
    <w:rsid w:val="009141A7"/>
    <w:rsid w:val="00916431"/>
    <w:rsid w:val="009259B7"/>
    <w:rsid w:val="00940B4E"/>
    <w:rsid w:val="009411E3"/>
    <w:rsid w:val="00943E72"/>
    <w:rsid w:val="00952DA2"/>
    <w:rsid w:val="00955D96"/>
    <w:rsid w:val="00963116"/>
    <w:rsid w:val="009631C4"/>
    <w:rsid w:val="009729CC"/>
    <w:rsid w:val="00985155"/>
    <w:rsid w:val="009908C7"/>
    <w:rsid w:val="009A017B"/>
    <w:rsid w:val="009A0187"/>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66"/>
    <w:rsid w:val="00A744BE"/>
    <w:rsid w:val="00A830B9"/>
    <w:rsid w:val="00A84157"/>
    <w:rsid w:val="00A842A0"/>
    <w:rsid w:val="00A84D5A"/>
    <w:rsid w:val="00A854D6"/>
    <w:rsid w:val="00A870A0"/>
    <w:rsid w:val="00A92CF2"/>
    <w:rsid w:val="00A93682"/>
    <w:rsid w:val="00A97B73"/>
    <w:rsid w:val="00AA09DA"/>
    <w:rsid w:val="00AA2E5F"/>
    <w:rsid w:val="00AA46D2"/>
    <w:rsid w:val="00AC51A6"/>
    <w:rsid w:val="00AD4E94"/>
    <w:rsid w:val="00AD6635"/>
    <w:rsid w:val="00AD7AAA"/>
    <w:rsid w:val="00AD7CBE"/>
    <w:rsid w:val="00AE2923"/>
    <w:rsid w:val="00AE7A7C"/>
    <w:rsid w:val="00AF325C"/>
    <w:rsid w:val="00AF3814"/>
    <w:rsid w:val="00AF3CD8"/>
    <w:rsid w:val="00AF53FA"/>
    <w:rsid w:val="00AF541F"/>
    <w:rsid w:val="00AF693D"/>
    <w:rsid w:val="00AF7F82"/>
    <w:rsid w:val="00B01CA7"/>
    <w:rsid w:val="00B04673"/>
    <w:rsid w:val="00B06E1C"/>
    <w:rsid w:val="00B20AF8"/>
    <w:rsid w:val="00B20F9C"/>
    <w:rsid w:val="00B313AD"/>
    <w:rsid w:val="00B36AE3"/>
    <w:rsid w:val="00B41711"/>
    <w:rsid w:val="00B44807"/>
    <w:rsid w:val="00B44DCB"/>
    <w:rsid w:val="00B465EE"/>
    <w:rsid w:val="00B47E7D"/>
    <w:rsid w:val="00B568B2"/>
    <w:rsid w:val="00B70215"/>
    <w:rsid w:val="00B747EF"/>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45504"/>
    <w:rsid w:val="00C50FE4"/>
    <w:rsid w:val="00C52665"/>
    <w:rsid w:val="00C547CB"/>
    <w:rsid w:val="00C5584D"/>
    <w:rsid w:val="00C55E50"/>
    <w:rsid w:val="00C578EF"/>
    <w:rsid w:val="00C651D9"/>
    <w:rsid w:val="00C656D0"/>
    <w:rsid w:val="00C71422"/>
    <w:rsid w:val="00C71E2A"/>
    <w:rsid w:val="00C73F6B"/>
    <w:rsid w:val="00C80FDF"/>
    <w:rsid w:val="00C83356"/>
    <w:rsid w:val="00C91146"/>
    <w:rsid w:val="00C94B78"/>
    <w:rsid w:val="00CA0B74"/>
    <w:rsid w:val="00CA419E"/>
    <w:rsid w:val="00CA4C2A"/>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9411E3"/>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9411E3"/>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hyperlink" Target="https://www.marchofdimes.org/peristats/data?reg=99&amp;top=7&amp;stop=72&amp;lev=1&amp;slev=1&amp;obj=1"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7.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656</TotalTime>
  <Pages>21</Pages>
  <Words>13993</Words>
  <Characters>80463</Characters>
  <Application>Microsoft Office Word</Application>
  <DocSecurity>0</DocSecurity>
  <Lines>2011</Lines>
  <Paragraphs>1180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93276</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344</cp:revision>
  <dcterms:created xsi:type="dcterms:W3CDTF">2025-01-15T21:08:00Z</dcterms:created>
  <dcterms:modified xsi:type="dcterms:W3CDTF">2026-03-27T14:52:00Z</dcterms:modified>
</cp:coreProperties>
</file>