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4660" w14:textId="77777777" w:rsidR="00C150BB" w:rsidRDefault="00000000">
      <w:pPr>
        <w:spacing w:after="80"/>
        <w:jc w:val="center"/>
      </w:pPr>
      <w:r>
        <w:rPr>
          <w:b/>
          <w:bCs/>
          <w:color w:val="1F3864"/>
          <w:sz w:val="36"/>
          <w:szCs w:val="36"/>
        </w:rPr>
        <w:t>Modeling Doxy-PEP Coverage</w:t>
      </w:r>
    </w:p>
    <w:p w14:paraId="6FFB8D90" w14:textId="77777777" w:rsidR="00C150BB" w:rsidRDefault="00000000">
      <w:pPr>
        <w:spacing w:after="80"/>
        <w:jc w:val="center"/>
      </w:pPr>
      <w:r>
        <w:rPr>
          <w:color w:val="404040"/>
          <w:sz w:val="26"/>
          <w:szCs w:val="26"/>
        </w:rPr>
        <w:t>Math Review and Literature-Based Parameter Estimates</w:t>
      </w:r>
    </w:p>
    <w:p w14:paraId="2072D276" w14:textId="77777777" w:rsidR="00C150BB" w:rsidRDefault="00000000">
      <w:pPr>
        <w:pBdr>
          <w:bottom w:val="single" w:sz="6" w:space="8" w:color="2E75B6"/>
        </w:pBdr>
        <w:spacing w:after="240"/>
        <w:jc w:val="center"/>
      </w:pPr>
      <w:r>
        <w:rPr>
          <w:i/>
          <w:iCs/>
          <w:color w:val="666666"/>
          <w:sz w:val="20"/>
          <w:szCs w:val="20"/>
        </w:rPr>
        <w:t>For US MSM population</w:t>
      </w:r>
    </w:p>
    <w:p w14:paraId="7000CA29" w14:textId="77777777" w:rsidR="00C150BB" w:rsidRDefault="00000000">
      <w:pPr>
        <w:pStyle w:val="Heading1"/>
        <w:spacing w:before="320" w:after="160"/>
      </w:pPr>
      <w:r>
        <w:t>Part 1: Coverage Model Math Review</w:t>
      </w:r>
    </w:p>
    <w:p w14:paraId="69588A2B" w14:textId="77777777" w:rsidR="00C150BB" w:rsidRDefault="00000000">
      <w:pPr>
        <w:pStyle w:val="Heading2"/>
        <w:spacing w:before="320"/>
      </w:pPr>
      <w:r>
        <w:t>Simplified Setup</w:t>
      </w:r>
    </w:p>
    <w:p w14:paraId="04B97675" w14:textId="77777777" w:rsidR="00C150BB" w:rsidRDefault="00000000">
      <w:pPr>
        <w:spacing w:after="120"/>
      </w:pPr>
      <w:r>
        <w:t>Definitions:</w:t>
      </w:r>
    </w:p>
    <w:p w14:paraId="5A020A05" w14:textId="77777777" w:rsidR="00C150BB" w:rsidRDefault="00000000" w:rsidP="005B735D">
      <w:pPr>
        <w:pStyle w:val="ListParagraph"/>
        <w:numPr>
          <w:ilvl w:val="0"/>
          <w:numId w:val="2"/>
        </w:numPr>
        <w:spacing w:after="80"/>
      </w:pPr>
      <w:r w:rsidRPr="005B735D">
        <w:rPr>
          <w:b/>
          <w:bCs/>
        </w:rPr>
        <w:t>C</w:t>
      </w:r>
      <w:r w:rsidRPr="005B735D">
        <w:rPr>
          <w:rFonts w:ascii="Segoe UI Symbol" w:hAnsi="Segoe UI Symbol" w:cs="Segoe UI Symbol"/>
          <w:b/>
          <w:bCs/>
        </w:rPr>
        <w:t>ₜ</w:t>
      </w:r>
      <w:r>
        <w:t xml:space="preserve"> = fraction of population on treatment at time t (coverage)</w:t>
      </w:r>
    </w:p>
    <w:p w14:paraId="1B473F68" w14:textId="77777777" w:rsidR="005B735D" w:rsidRDefault="00000000" w:rsidP="005B735D">
      <w:pPr>
        <w:pStyle w:val="ListParagraph"/>
        <w:numPr>
          <w:ilvl w:val="0"/>
          <w:numId w:val="2"/>
        </w:numPr>
        <w:spacing w:after="80"/>
      </w:pPr>
      <w:r w:rsidRPr="005B735D">
        <w:rPr>
          <w:b/>
          <w:bCs/>
        </w:rPr>
        <w:t xml:space="preserve">u </w:t>
      </w:r>
      <w:r>
        <w:t xml:space="preserve">= fraction of </w:t>
      </w:r>
      <w:r w:rsidR="005B735D">
        <w:t xml:space="preserve">eligible </w:t>
      </w:r>
      <w:r>
        <w:t>population starting treatment per year (annual uptake)</w:t>
      </w:r>
      <w:r w:rsidR="005B735D">
        <w:t xml:space="preserve"> </w:t>
      </w:r>
    </w:p>
    <w:p w14:paraId="1758273D" w14:textId="6E78500A" w:rsidR="005B735D" w:rsidRDefault="00000000" w:rsidP="005B735D">
      <w:pPr>
        <w:pStyle w:val="ListParagraph"/>
        <w:numPr>
          <w:ilvl w:val="0"/>
          <w:numId w:val="2"/>
        </w:numPr>
        <w:spacing w:after="80"/>
      </w:pPr>
      <w:r w:rsidRPr="005B735D">
        <w:rPr>
          <w:b/>
          <w:bCs/>
        </w:rPr>
        <w:t>λ</w:t>
      </w:r>
      <w:r>
        <w:t xml:space="preserve"> = discontinuation </w:t>
      </w:r>
      <w:r w:rsidR="00B35D4A">
        <w:t>proportion</w:t>
      </w:r>
      <w:r>
        <w:t xml:space="preserve"> at 1 year (</w:t>
      </w:r>
      <w:r w:rsidR="005B735D" w:rsidRPr="005B735D">
        <w:t>What fraction of people who started the year on treatment have discontinued by year-end</w:t>
      </w:r>
      <w:r w:rsidR="005B735D">
        <w:t>?</w:t>
      </w:r>
      <w:r>
        <w:t>)</w:t>
      </w:r>
      <w:r w:rsidR="005B735D">
        <w:t xml:space="preserve"> [0-1]</w:t>
      </w:r>
    </w:p>
    <w:p w14:paraId="2BE61A51" w14:textId="77777777" w:rsidR="005B735D" w:rsidRPr="005B735D" w:rsidRDefault="005B735D" w:rsidP="005B735D">
      <w:pPr>
        <w:pStyle w:val="ListParagraph"/>
        <w:numPr>
          <w:ilvl w:val="0"/>
          <w:numId w:val="2"/>
        </w:numPr>
        <w:spacing w:after="80"/>
      </w:pPr>
      <w:r w:rsidRPr="005B735D">
        <w:rPr>
          <w:b/>
          <w:bCs/>
        </w:rPr>
        <w:t xml:space="preserve">P </w:t>
      </w:r>
      <w:r w:rsidRPr="005B735D">
        <w:t>= 1-year persistence (fraction still on treatment at 1 year)</w:t>
      </w:r>
    </w:p>
    <w:p w14:paraId="358C5005" w14:textId="77777777" w:rsidR="005B735D" w:rsidRPr="005B735D" w:rsidRDefault="005B735D" w:rsidP="005B735D">
      <w:pPr>
        <w:pStyle w:val="ListParagraph"/>
        <w:numPr>
          <w:ilvl w:val="0"/>
          <w:numId w:val="2"/>
        </w:numPr>
        <w:spacing w:after="80"/>
      </w:pPr>
      <w:r w:rsidRPr="005B735D">
        <w:rPr>
          <w:b/>
          <w:bCs/>
        </w:rPr>
        <w:t xml:space="preserve">r </w:t>
      </w:r>
      <w:r w:rsidRPr="005B735D">
        <w:t>= continuous-time hazard rate of discontinuation (per year)</w:t>
      </w:r>
    </w:p>
    <w:p w14:paraId="62E6AB4D" w14:textId="77777777" w:rsidR="005B735D" w:rsidRDefault="005B735D" w:rsidP="005B735D">
      <w:pPr>
        <w:spacing w:after="80"/>
      </w:pPr>
    </w:p>
    <w:p w14:paraId="4646A0DC" w14:textId="77777777" w:rsidR="005B735D" w:rsidRDefault="005B735D" w:rsidP="005B735D">
      <w:pPr>
        <w:pStyle w:val="Heading2"/>
        <w:spacing w:before="320"/>
      </w:pPr>
      <w:r>
        <w:t>Converting Between Persistence, λ, and Hazard Rate</w:t>
      </w:r>
    </w:p>
    <w:p w14:paraId="1E95E361" w14:textId="77777777" w:rsidR="005B735D" w:rsidRDefault="005B735D" w:rsidP="005B735D">
      <w:pPr>
        <w:spacing w:after="120"/>
      </w:pPr>
      <w:r>
        <w:t>If discontinuation happens continuously throughout the year at a constant hazard rate r, the probability of still being on treatment at time t follows an exponential survival function:</w:t>
      </w:r>
    </w:p>
    <w:p w14:paraId="7740B057" w14:textId="77777777" w:rsidR="005B735D" w:rsidRDefault="005B735D" w:rsidP="005B735D">
      <w:pPr>
        <w:spacing w:before="140" w:after="140"/>
        <w:jc w:val="center"/>
      </w:pPr>
      <w:r>
        <w:rPr>
          <w:rFonts w:ascii="Cambria Math" w:eastAsia="Cambria Math" w:hAnsi="Cambria Math" w:cs="Cambria Math"/>
          <w:b/>
          <w:bCs/>
          <w:sz w:val="24"/>
          <w:szCs w:val="24"/>
        </w:rPr>
        <w:t>S(t) = exp(−r · t)</w:t>
      </w:r>
    </w:p>
    <w:p w14:paraId="07B9EAFA" w14:textId="77777777" w:rsidR="005B735D" w:rsidRDefault="005B735D" w:rsidP="005B735D">
      <w:pPr>
        <w:spacing w:after="120"/>
      </w:pPr>
      <w:r>
        <w:t>At t = 1 year, this gives persistence:</w:t>
      </w:r>
    </w:p>
    <w:p w14:paraId="0278258E" w14:textId="77777777" w:rsidR="005B735D" w:rsidRDefault="005B735D" w:rsidP="005B735D">
      <w:pPr>
        <w:spacing w:before="140" w:after="140"/>
        <w:jc w:val="center"/>
      </w:pPr>
      <w:r>
        <w:rPr>
          <w:rFonts w:ascii="Cambria Math" w:eastAsia="Cambria Math" w:hAnsi="Cambria Math" w:cs="Cambria Math"/>
          <w:b/>
          <w:bCs/>
          <w:sz w:val="24"/>
          <w:szCs w:val="24"/>
        </w:rPr>
        <w:t>P = exp(−r)</w:t>
      </w:r>
    </w:p>
    <w:p w14:paraId="56457CEB" w14:textId="77777777" w:rsidR="005B735D" w:rsidRDefault="005B735D" w:rsidP="005B735D">
      <w:pPr>
        <w:spacing w:before="140" w:after="140"/>
        <w:jc w:val="center"/>
      </w:pPr>
      <w:r>
        <w:rPr>
          <w:rFonts w:ascii="Cambria Math" w:eastAsia="Cambria Math" w:hAnsi="Cambria Math" w:cs="Cambria Math"/>
          <w:b/>
          <w:bCs/>
          <w:sz w:val="24"/>
          <w:szCs w:val="24"/>
        </w:rPr>
        <w:t>λ_annual = 1 − exp(−r) = 1 − P</w:t>
      </w:r>
    </w:p>
    <w:p w14:paraId="42D63663" w14:textId="77777777" w:rsidR="005B735D" w:rsidRPr="005B735D" w:rsidRDefault="005B735D" w:rsidP="005B735D">
      <w:pPr>
        <w:spacing w:before="140" w:after="140"/>
        <w:jc w:val="center"/>
      </w:pPr>
      <w:r>
        <w:rPr>
          <w:rFonts w:ascii="Cambria Math" w:eastAsia="Cambria Math" w:hAnsi="Cambria Math" w:cs="Cambria Math"/>
          <w:b/>
          <w:bCs/>
          <w:sz w:val="24"/>
          <w:szCs w:val="24"/>
        </w:rPr>
        <w:t>r = −ln(P)</w:t>
      </w:r>
    </w:p>
    <w:p w14:paraId="2EF15DD7" w14:textId="77777777" w:rsidR="005B735D" w:rsidRDefault="005B735D" w:rsidP="005B735D">
      <w:pPr>
        <w:pStyle w:val="Heading2"/>
        <w:spacing w:before="320"/>
      </w:pPr>
      <w:r>
        <w:t>Why Discrete λ and Continuous r Are Not Interchangeable</w:t>
      </w:r>
    </w:p>
    <w:p w14:paraId="7CA9CDD4" w14:textId="77777777" w:rsidR="005B735D" w:rsidRDefault="005B735D" w:rsidP="005B735D">
      <w:pPr>
        <w:spacing w:after="120"/>
      </w:pPr>
      <w:r>
        <w:t>At P = 0.28:</w:t>
      </w:r>
    </w:p>
    <w:p w14:paraId="194A3E38" w14:textId="77777777" w:rsidR="005B735D" w:rsidRDefault="005B735D" w:rsidP="005B735D">
      <w:pPr>
        <w:spacing w:after="80"/>
        <w:ind w:left="360" w:hanging="200"/>
      </w:pPr>
      <w:r>
        <w:t>•  λ_annual = 1 − P = 0.72 (annual probability)</w:t>
      </w:r>
    </w:p>
    <w:p w14:paraId="5041BC17" w14:textId="77777777" w:rsidR="005B735D" w:rsidRDefault="005B735D" w:rsidP="005B735D">
      <w:pPr>
        <w:spacing w:after="80"/>
        <w:ind w:left="360" w:hanging="200"/>
      </w:pPr>
      <w:r>
        <w:t>•  r = −ln(0.28) = 1.27 per year (continuous hazard)</w:t>
      </w:r>
    </w:p>
    <w:p w14:paraId="04D99EB8" w14:textId="77777777" w:rsidR="005B735D" w:rsidRDefault="005B735D" w:rsidP="005B735D">
      <w:pPr>
        <w:spacing w:after="120"/>
      </w:pPr>
      <w:r>
        <w:t>These describe the same underlying process but on different scales:</w:t>
      </w:r>
    </w:p>
    <w:p w14:paraId="2BAA9C96" w14:textId="77777777" w:rsidR="005B735D" w:rsidRDefault="005B735D" w:rsidP="005B735D">
      <w:pPr>
        <w:spacing w:after="80"/>
        <w:ind w:left="360" w:hanging="200"/>
      </w:pPr>
      <w:r>
        <w:t>•  λ_annual is a cumulative probability over a 1-year interval, bounded between 0 and 1</w:t>
      </w:r>
    </w:p>
    <w:p w14:paraId="4B45F29E" w14:textId="77777777" w:rsidR="005B735D" w:rsidRDefault="005B735D" w:rsidP="005B735D">
      <w:pPr>
        <w:spacing w:after="80"/>
        <w:ind w:left="360" w:hanging="200"/>
      </w:pPr>
      <w:r>
        <w:t xml:space="preserve">•  r is an instantaneous rate (of exponential distribution) that can exceed 1  </w:t>
      </w:r>
    </w:p>
    <w:p w14:paraId="55798637" w14:textId="77777777" w:rsidR="005B735D" w:rsidRDefault="005B735D" w:rsidP="005B735D">
      <w:pPr>
        <w:spacing w:after="120"/>
        <w:rPr>
          <w:b/>
          <w:bCs/>
        </w:rPr>
      </w:pPr>
      <w:r>
        <w:rPr>
          <w:b/>
          <w:bCs/>
        </w:rPr>
        <w:t xml:space="preserve">For a continuous-time compartmental model, we should use r. </w:t>
      </w:r>
    </w:p>
    <w:p w14:paraId="321EDE9F" w14:textId="77777777" w:rsidR="005B735D" w:rsidRPr="005B735D" w:rsidRDefault="005B735D" w:rsidP="005B735D">
      <w:pPr>
        <w:spacing w:after="120"/>
      </w:pPr>
      <w:r w:rsidRPr="005B735D">
        <w:br w:type="page"/>
      </w:r>
    </w:p>
    <w:p w14:paraId="654F5027" w14:textId="77777777" w:rsidR="005B735D" w:rsidRDefault="005B735D" w:rsidP="005B735D">
      <w:pPr>
        <w:pStyle w:val="Heading2"/>
        <w:spacing w:before="320"/>
      </w:pPr>
      <w:r>
        <w:lastRenderedPageBreak/>
        <w:t>The Compartmental Model (Continuous Time)</w:t>
      </w:r>
    </w:p>
    <w:p w14:paraId="2EC2D291" w14:textId="77777777" w:rsidR="005B735D" w:rsidRPr="005B735D" w:rsidRDefault="005B735D" w:rsidP="005B735D">
      <w:pPr>
        <w:spacing w:after="80"/>
      </w:pPr>
      <w:r w:rsidRPr="005B735D">
        <w:t>In a continuous-time ODE, the discontinuation flow is modeled as a first-order rate:</w:t>
      </w:r>
    </w:p>
    <w:p w14:paraId="0314DBD2" w14:textId="77777777" w:rsidR="005B735D" w:rsidRDefault="00000000" w:rsidP="005B735D">
      <w:pPr>
        <w:spacing w:after="80"/>
        <w:rPr>
          <w:lang w:bidi="fa-IR"/>
        </w:rPr>
      </w:pPr>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=u_ODE-r⋅C</m:t>
          </m:r>
        </m:oMath>
      </m:oMathPara>
    </w:p>
    <w:p w14:paraId="5CDE7902" w14:textId="77777777" w:rsidR="005B735D" w:rsidRDefault="005B735D" w:rsidP="005B735D">
      <w:pPr>
        <w:spacing w:after="80"/>
      </w:pPr>
    </w:p>
    <w:p w14:paraId="5DD52BD3" w14:textId="77777777" w:rsidR="005B735D" w:rsidRPr="005B735D" w:rsidRDefault="005B735D" w:rsidP="005B735D">
      <w:pPr>
        <w:spacing w:after="80"/>
      </w:pPr>
      <w:r w:rsidRPr="005B735D">
        <w:t>where:</w:t>
      </w:r>
    </w:p>
    <w:p w14:paraId="55FF1F48" w14:textId="77777777" w:rsidR="005B735D" w:rsidRDefault="005B735D" w:rsidP="005B735D">
      <w:pPr>
        <w:spacing w:after="80"/>
        <w:ind w:left="360" w:hanging="200"/>
      </w:pPr>
      <w:r>
        <w:t>•  u_ODE = initiation rate (new starters per unit time, as fraction of N_elig)</w:t>
      </w:r>
    </w:p>
    <w:p w14:paraId="376000FF" w14:textId="77777777" w:rsidR="005B735D" w:rsidRDefault="005B735D" w:rsidP="005B735D">
      <w:pPr>
        <w:spacing w:after="80"/>
        <w:ind w:left="360" w:hanging="200"/>
      </w:pPr>
      <w:r>
        <w:t>•  r = continuous discontinuation hazard (per year)</w:t>
      </w:r>
    </w:p>
    <w:p w14:paraId="7913096E" w14:textId="77777777" w:rsidR="005B735D" w:rsidRDefault="005B735D" w:rsidP="005B735D">
      <w:pPr>
        <w:spacing w:after="80"/>
        <w:ind w:left="360" w:hanging="200"/>
      </w:pPr>
      <w:r>
        <w:t>•  r · C = rate of people leaving the compartment at any instant</w:t>
      </w:r>
    </w:p>
    <w:p w14:paraId="6A5DB626" w14:textId="77777777" w:rsidR="005B735D" w:rsidRDefault="005B735D" w:rsidP="005B735D">
      <w:pPr>
        <w:spacing w:after="80"/>
        <w:rPr>
          <w:b/>
          <w:bCs/>
        </w:rPr>
      </w:pPr>
    </w:p>
    <w:p w14:paraId="2821ACF1" w14:textId="77777777" w:rsidR="005B735D" w:rsidRPr="005B735D" w:rsidRDefault="005B735D" w:rsidP="005B735D">
      <w:pPr>
        <w:spacing w:after="120"/>
      </w:pPr>
      <w:r w:rsidRPr="005B735D">
        <w:rPr>
          <w:b/>
          <w:bCs/>
        </w:rPr>
        <w:t>Important</w:t>
      </w:r>
      <w:r w:rsidRPr="005B735D">
        <w:t xml:space="preserve">: u_ODE represents only </w:t>
      </w:r>
      <w:r w:rsidRPr="005B735D">
        <w:rPr>
          <w:u w:val="single"/>
        </w:rPr>
        <w:t>new initiations</w:t>
      </w:r>
      <w:r w:rsidRPr="005B735D">
        <w:t>, not total prescription fills. A person already on doxy who refills does not re-enter the compartment</w:t>
      </w:r>
      <w:r>
        <w:t>,</w:t>
      </w:r>
      <w:r w:rsidRPr="005B735D">
        <w:t xml:space="preserve"> they are already in it.</w:t>
      </w:r>
    </w:p>
    <w:p w14:paraId="2EF46AED" w14:textId="77777777" w:rsidR="005B735D" w:rsidRDefault="005B735D" w:rsidP="005B735D">
      <w:pPr>
        <w:spacing w:after="80"/>
        <w:rPr>
          <w:b/>
          <w:bCs/>
        </w:rPr>
      </w:pPr>
    </w:p>
    <w:p w14:paraId="71B6C39C" w14:textId="77777777" w:rsidR="005B735D" w:rsidRDefault="005B735D" w:rsidP="005B735D">
      <w:pPr>
        <w:pStyle w:val="Heading2"/>
        <w:spacing w:before="320"/>
      </w:pPr>
      <w:r>
        <w:t>Steady State (Continuous Time)</w:t>
      </w:r>
    </w:p>
    <w:p w14:paraId="0B7B3CC0" w14:textId="77777777" w:rsidR="005B735D" w:rsidRDefault="005B735D" w:rsidP="005B735D">
      <w:pPr>
        <w:spacing w:after="120"/>
      </w:pPr>
      <w:r>
        <w:t>Setting dC/dt = 0:</w:t>
      </w:r>
    </w:p>
    <w:p w14:paraId="11D635A5" w14:textId="77777777" w:rsidR="005B735D" w:rsidRDefault="005B735D" w:rsidP="005B735D">
      <w:pPr>
        <w:spacing w:before="140" w:after="140"/>
        <w:jc w:val="center"/>
      </w:pPr>
      <w:r>
        <w:rPr>
          <w:rFonts w:ascii="Cambria Math" w:eastAsia="Cambria Math" w:hAnsi="Cambria Math" w:cs="Cambria Math"/>
          <w:sz w:val="24"/>
          <w:szCs w:val="24"/>
        </w:rPr>
        <w:t>0 = u_ODE − r · C*</w:t>
      </w:r>
    </w:p>
    <w:p w14:paraId="5E029724" w14:textId="3222606C" w:rsidR="0015092C" w:rsidRDefault="005B735D" w:rsidP="0015092C">
      <w:pPr>
        <w:spacing w:before="140" w:after="140"/>
        <w:jc w:val="center"/>
        <w:rPr>
          <w:rFonts w:ascii="Cambria Math" w:eastAsia="Cambria Math" w:hAnsi="Cambria Math" w:cs="Cambria Math"/>
          <w:b/>
          <w:bCs/>
          <w:sz w:val="24"/>
          <w:szCs w:val="24"/>
        </w:rPr>
      </w:pPr>
      <w:r>
        <w:rPr>
          <w:rFonts w:ascii="Cambria Math" w:eastAsia="Cambria Math" w:hAnsi="Cambria Math" w:cs="Cambria Math"/>
          <w:b/>
          <w:bCs/>
          <w:sz w:val="24"/>
          <w:szCs w:val="24"/>
        </w:rPr>
        <w:t>C* = u_ODE / r</w:t>
      </w:r>
    </w:p>
    <w:p w14:paraId="0A8E60C9" w14:textId="77777777" w:rsidR="0016702A" w:rsidRDefault="0016702A" w:rsidP="0015092C">
      <w:pPr>
        <w:spacing w:before="140" w:after="140"/>
        <w:jc w:val="center"/>
        <w:rPr>
          <w:rFonts w:ascii="Cambria Math" w:eastAsia="Cambria Math" w:hAnsi="Cambria Math" w:cs="Cambria Math"/>
          <w:b/>
          <w:bCs/>
          <w:sz w:val="24"/>
          <w:szCs w:val="24"/>
        </w:rPr>
      </w:pPr>
    </w:p>
    <w:p w14:paraId="1D48E3B2" w14:textId="77B58A7A" w:rsidR="0015092C" w:rsidRPr="0016702A" w:rsidRDefault="0015092C" w:rsidP="0015092C">
      <w:pPr>
        <w:spacing w:before="140" w:after="140"/>
        <w:jc w:val="center"/>
        <w:rPr>
          <w:color w:val="C00000"/>
        </w:rPr>
      </w:pPr>
      <w:r w:rsidRPr="0016702A">
        <w:rPr>
          <w:rFonts w:ascii="Cambria Math" w:eastAsia="Cambria Math" w:hAnsi="Cambria Math" w:cs="Cambria Math"/>
          <w:b/>
          <w:bCs/>
          <w:color w:val="C00000"/>
          <w:sz w:val="24"/>
          <w:szCs w:val="24"/>
        </w:rPr>
        <w:t xml:space="preserve">Limitation: the main </w:t>
      </w:r>
      <w:r w:rsidR="00381E84" w:rsidRPr="0016702A">
        <w:rPr>
          <w:rFonts w:ascii="Cambria Math" w:eastAsia="Cambria Math" w:hAnsi="Cambria Math" w:cs="Cambria Math"/>
          <w:b/>
          <w:bCs/>
          <w:color w:val="C00000"/>
          <w:sz w:val="24"/>
          <w:szCs w:val="24"/>
        </w:rPr>
        <w:t>limitation with this approach is that u_ODE assumed that uptake happens among individuals not on Doxy(who are outside of our compartment) where in reality someone who have received Doxy last year can receive it again this year as well</w:t>
      </w:r>
      <w:r w:rsidR="0016702A" w:rsidRPr="0016702A">
        <w:rPr>
          <w:rFonts w:ascii="Cambria Math" w:eastAsia="Cambria Math" w:hAnsi="Cambria Math" w:cs="Cambria Math"/>
          <w:b/>
          <w:bCs/>
          <w:color w:val="C00000"/>
          <w:sz w:val="24"/>
          <w:szCs w:val="24"/>
        </w:rPr>
        <w:t>, and because we cannot track individuals overtime, our best estimates lie on pharmacy records for number of people who are filling your prescription in a year, and we cannot distinguish who is a new initiators and who has been on Doxy in the last year</w:t>
      </w:r>
    </w:p>
    <w:p w14:paraId="2E3EBB8F" w14:textId="707545C5" w:rsidR="00C150BB" w:rsidRPr="0016702A" w:rsidRDefault="005B735D">
      <w:pPr>
        <w:pStyle w:val="Heading2"/>
        <w:spacing w:before="320"/>
        <w:rPr>
          <w:i/>
          <w:iCs/>
          <w:highlight w:val="lightGray"/>
        </w:rPr>
      </w:pPr>
      <w:r w:rsidRPr="0016702A">
        <w:rPr>
          <w:i/>
          <w:iCs/>
          <w:highlight w:val="lightGray"/>
        </w:rPr>
        <w:t>If we use a Discrete-Time Model (annual time step)</w:t>
      </w:r>
    </w:p>
    <w:p w14:paraId="37AE2C4D" w14:textId="77777777" w:rsidR="00C150BB" w:rsidRPr="0016702A" w:rsidRDefault="00000000">
      <w:pPr>
        <w:spacing w:after="120"/>
        <w:rPr>
          <w:i/>
          <w:iCs/>
          <w:highlight w:val="lightGray"/>
        </w:rPr>
      </w:pPr>
      <w:r w:rsidRPr="0016702A">
        <w:rPr>
          <w:i/>
          <w:iCs/>
          <w:highlight w:val="lightGray"/>
        </w:rPr>
        <w:t>Each year, a fraction u initiates treatment, and a fraction (1−λ) of current users persists:</w:t>
      </w:r>
    </w:p>
    <w:p w14:paraId="2FE64729" w14:textId="77777777" w:rsidR="00C150BB" w:rsidRPr="0016702A" w:rsidRDefault="00000000">
      <w:pPr>
        <w:spacing w:before="120" w:after="120"/>
        <w:ind w:left="360"/>
        <w:jc w:val="center"/>
        <w:rPr>
          <w:i/>
          <w:iCs/>
          <w:highlight w:val="lightGray"/>
        </w:rPr>
      </w:pPr>
      <w:r w:rsidRPr="0016702A">
        <w:rPr>
          <w:rFonts w:ascii="Cambria Math" w:eastAsia="Cambria Math" w:hAnsi="Cambria Math" w:cs="Cambria Math"/>
          <w:b/>
          <w:bCs/>
          <w:i/>
          <w:iCs/>
          <w:sz w:val="24"/>
          <w:szCs w:val="24"/>
          <w:highlight w:val="lightGray"/>
        </w:rPr>
        <w:t>Cₜ₊₁ = u + (1 − λ) · Cₜ</w:t>
      </w:r>
    </w:p>
    <w:p w14:paraId="3044CAC9" w14:textId="77777777" w:rsidR="00C150BB" w:rsidRPr="0016702A" w:rsidRDefault="00000000" w:rsidP="005B735D">
      <w:pPr>
        <w:spacing w:after="120"/>
        <w:rPr>
          <w:i/>
          <w:iCs/>
          <w:highlight w:val="lightGray"/>
        </w:rPr>
      </w:pPr>
      <w:r w:rsidRPr="0016702A">
        <w:rPr>
          <w:i/>
          <w:iCs/>
          <w:highlight w:val="lightGray"/>
        </w:rPr>
        <w:t>At steady state, Cₜ₊₁ = Cₜ = C*:</w:t>
      </w:r>
      <w:r w:rsidR="005B735D" w:rsidRPr="0016702A">
        <w:rPr>
          <w:i/>
          <w:iCs/>
          <w:highlight w:val="lightGray"/>
        </w:rPr>
        <w:t xml:space="preserve"> </w:t>
      </w:r>
      <w:r w:rsidRPr="0016702A">
        <w:rPr>
          <w:rFonts w:ascii="Cambria Math" w:eastAsia="Cambria Math" w:hAnsi="Cambria Math" w:cs="Cambria Math"/>
          <w:b/>
          <w:bCs/>
          <w:i/>
          <w:iCs/>
          <w:sz w:val="24"/>
          <w:szCs w:val="24"/>
          <w:highlight w:val="lightGray"/>
        </w:rPr>
        <w:t>C* = u / λ</w:t>
      </w:r>
    </w:p>
    <w:p w14:paraId="5A244128" w14:textId="77777777" w:rsidR="005B735D" w:rsidRPr="0016702A" w:rsidRDefault="005B735D" w:rsidP="005B735D">
      <w:pPr>
        <w:spacing w:after="120"/>
        <w:rPr>
          <w:i/>
          <w:iCs/>
          <w:highlight w:val="lightGray"/>
        </w:rPr>
      </w:pPr>
      <w:r w:rsidRPr="0016702A">
        <w:rPr>
          <w:i/>
          <w:iCs/>
          <w:highlight w:val="lightGray"/>
        </w:rPr>
        <w:t>These give numerically different answers, because they describe different underlying processes:</w:t>
      </w:r>
    </w:p>
    <w:p w14:paraId="3BE487F4" w14:textId="77777777" w:rsidR="005B735D" w:rsidRPr="0016702A" w:rsidRDefault="005B735D" w:rsidP="005B735D">
      <w:pPr>
        <w:spacing w:after="80"/>
        <w:ind w:left="360" w:hanging="200"/>
        <w:rPr>
          <w:i/>
          <w:iCs/>
          <w:highlight w:val="lightGray"/>
        </w:rPr>
      </w:pPr>
      <w:r w:rsidRPr="0016702A">
        <w:rPr>
          <w:i/>
          <w:iCs/>
          <w:highlight w:val="lightGray"/>
        </w:rPr>
        <w:t>•  Discrete: discontinuations occur only at year boundaries</w:t>
      </w:r>
    </w:p>
    <w:p w14:paraId="49406F1C" w14:textId="77777777" w:rsidR="005B735D" w:rsidRPr="0016702A" w:rsidRDefault="005B735D" w:rsidP="005B735D">
      <w:pPr>
        <w:spacing w:after="80"/>
        <w:ind w:left="360" w:hanging="200"/>
        <w:rPr>
          <w:i/>
          <w:iCs/>
          <w:highlight w:val="lightGray"/>
        </w:rPr>
      </w:pPr>
      <w:r w:rsidRPr="0016702A">
        <w:rPr>
          <w:i/>
          <w:iCs/>
          <w:highlight w:val="lightGray"/>
        </w:rPr>
        <w:t>•  Continuous: discontinuations occur continuously throughout the year</w:t>
      </w:r>
    </w:p>
    <w:p w14:paraId="47F36C59" w14:textId="77777777" w:rsidR="005B735D" w:rsidRPr="0016702A" w:rsidRDefault="005B735D" w:rsidP="005B735D">
      <w:pPr>
        <w:spacing w:after="120"/>
        <w:rPr>
          <w:i/>
          <w:iCs/>
          <w:highlight w:val="lightGray"/>
        </w:rPr>
      </w:pPr>
      <w:r w:rsidRPr="0016702A">
        <w:rPr>
          <w:i/>
          <w:iCs/>
          <w:highlight w:val="lightGray"/>
        </w:rPr>
        <w:t>At P = 0.28:</w:t>
      </w:r>
    </w:p>
    <w:p w14:paraId="609070BD" w14:textId="77777777" w:rsidR="005B735D" w:rsidRPr="0016702A" w:rsidRDefault="005B735D" w:rsidP="005B735D">
      <w:pPr>
        <w:spacing w:after="80"/>
        <w:ind w:left="360" w:hanging="200"/>
        <w:rPr>
          <w:i/>
          <w:iCs/>
          <w:highlight w:val="lightGray"/>
        </w:rPr>
      </w:pPr>
      <w:r w:rsidRPr="0016702A">
        <w:rPr>
          <w:i/>
          <w:iCs/>
          <w:highlight w:val="lightGray"/>
        </w:rPr>
        <w:t>•  Discrete: C*/u = 1/0.72 = 1.39</w:t>
      </w:r>
    </w:p>
    <w:p w14:paraId="2041FDC5" w14:textId="77777777" w:rsidR="005B735D" w:rsidRPr="0015092C" w:rsidRDefault="005B735D" w:rsidP="005B735D">
      <w:pPr>
        <w:spacing w:after="80"/>
        <w:ind w:left="360" w:hanging="200"/>
        <w:rPr>
          <w:i/>
          <w:iCs/>
        </w:rPr>
      </w:pPr>
      <w:r w:rsidRPr="0016702A">
        <w:rPr>
          <w:i/>
          <w:iCs/>
          <w:highlight w:val="lightGray"/>
        </w:rPr>
        <w:t>•  Continuous: C*/u = 1/1.27 = 0.79</w:t>
      </w:r>
    </w:p>
    <w:p w14:paraId="0EF4D4D5" w14:textId="4970188F" w:rsidR="005B735D" w:rsidRDefault="0015092C" w:rsidP="005B735D">
      <w:r w:rsidRPr="0016702A">
        <w:rPr>
          <w:i/>
          <w:iCs/>
          <w:highlight w:val="lightGray"/>
        </w:rPr>
        <w:t>This is why we need to use a continues model</w:t>
      </w:r>
      <w:r>
        <w:rPr>
          <w:i/>
          <w:iCs/>
        </w:rPr>
        <w:t xml:space="preserve">. </w:t>
      </w:r>
    </w:p>
    <w:p w14:paraId="0FF0B5A6" w14:textId="77777777" w:rsidR="005B735D" w:rsidRPr="005B735D" w:rsidRDefault="005B735D" w:rsidP="005B735D"/>
    <w:p w14:paraId="20755216" w14:textId="6173D82D" w:rsidR="005B735D" w:rsidRDefault="005B735D" w:rsidP="005B735D">
      <w:pPr>
        <w:pStyle w:val="Heading1"/>
        <w:spacing w:before="320" w:after="160"/>
      </w:pPr>
      <w:r>
        <w:t xml:space="preserve">Part 2: </w:t>
      </w:r>
      <w:r w:rsidR="00276DED">
        <w:t xml:space="preserve">Revising the definition of uptake </w:t>
      </w:r>
      <w:r>
        <w:t>(Connecting Model to Pharmacy Data from MarketScan)</w:t>
      </w:r>
    </w:p>
    <w:p w14:paraId="18DCE1D8" w14:textId="77777777" w:rsidR="005B735D" w:rsidRDefault="005B735D" w:rsidP="005B735D">
      <w:pPr>
        <w:spacing w:after="120"/>
      </w:pPr>
      <w:r>
        <w:lastRenderedPageBreak/>
        <w:t xml:space="preserve">Pharmacy data report </w:t>
      </w:r>
      <w:r>
        <w:rPr>
          <w:b/>
          <w:bCs/>
        </w:rPr>
        <w:t>unique users with ≥1 fill in a year</w:t>
      </w:r>
      <w:r>
        <w:t>: period prevalence over a 1-year window. This is different from point-prevalent coverage C* above.</w:t>
      </w:r>
    </w:p>
    <w:p w14:paraId="6CD0DC34" w14:textId="14B630A8" w:rsidR="005B735D" w:rsidRDefault="005B735D" w:rsidP="005B735D">
      <w:pPr>
        <w:spacing w:after="120"/>
      </w:pPr>
      <w:r>
        <w:t>In a year, anyone who appears in pharmacy data falls into exactly one of two groups:</w:t>
      </w:r>
    </w:p>
    <w:p w14:paraId="239CB4B3" w14:textId="77777777" w:rsidR="005B735D" w:rsidRDefault="005B735D" w:rsidP="005B735D">
      <w:pPr>
        <w:spacing w:after="80"/>
        <w:ind w:left="360" w:hanging="200"/>
      </w:pPr>
      <w:r>
        <w:t>•  Already on doxy at the start of the year (they will refill to maintain supply): fraction = C*</w:t>
      </w:r>
    </w:p>
    <w:p w14:paraId="4DCCE99A" w14:textId="77777777" w:rsidR="005B735D" w:rsidRDefault="005B735D" w:rsidP="005B735D">
      <w:pPr>
        <w:spacing w:after="80"/>
        <w:ind w:left="360" w:hanging="200"/>
      </w:pPr>
      <w:r>
        <w:t>•  Newly initiated doxy during the year: fraction = r · C* (at steady state, inflow = outflow)</w:t>
      </w:r>
    </w:p>
    <w:p w14:paraId="492AAA16" w14:textId="77777777" w:rsidR="005B735D" w:rsidRDefault="005B735D" w:rsidP="005B735D">
      <w:pPr>
        <w:spacing w:after="120"/>
      </w:pPr>
      <w:r>
        <w:t>These groups are mutually exclusive, so:</w:t>
      </w:r>
    </w:p>
    <w:p w14:paraId="04CBF27A" w14:textId="43154AC8" w:rsidR="005B735D" w:rsidRDefault="005B735D" w:rsidP="005B735D">
      <w:pPr>
        <w:spacing w:before="140" w:after="140"/>
        <w:jc w:val="center"/>
        <w:rPr>
          <w:rFonts w:ascii="Cambria Math" w:eastAsia="Cambria Math" w:hAnsi="Cambria Math" w:cs="Cambria Math"/>
          <w:b/>
          <w:bCs/>
          <w:sz w:val="24"/>
          <w:szCs w:val="24"/>
        </w:rPr>
      </w:pPr>
      <w:r>
        <w:rPr>
          <w:rFonts w:ascii="Cambria Math" w:eastAsia="Cambria Math" w:hAnsi="Cambria Math" w:cs="Cambria Math"/>
          <w:b/>
          <w:bCs/>
          <w:sz w:val="24"/>
          <w:szCs w:val="24"/>
        </w:rPr>
        <w:t>u_</w:t>
      </w:r>
      <w:r w:rsidR="00D948D7">
        <w:rPr>
          <w:rFonts w:ascii="Cambria Math" w:eastAsia="Cambria Math" w:hAnsi="Cambria Math" w:cs="Cambria Math"/>
          <w:b/>
          <w:bCs/>
          <w:sz w:val="24"/>
          <w:szCs w:val="24"/>
        </w:rPr>
        <w:t>C</w:t>
      </w:r>
      <w:r>
        <w:rPr>
          <w:rFonts w:ascii="Cambria Math" w:eastAsia="Cambria Math" w:hAnsi="Cambria Math" w:cs="Cambria Math"/>
          <w:b/>
          <w:bCs/>
          <w:sz w:val="24"/>
          <w:szCs w:val="24"/>
        </w:rPr>
        <w:t xml:space="preserve"> = C* + r · C* = (1 + r) · C*</w:t>
      </w:r>
    </w:p>
    <w:p w14:paraId="3BB4CEFB" w14:textId="760832A0" w:rsidR="003048F4" w:rsidRDefault="003048F4" w:rsidP="005B735D">
      <w:pPr>
        <w:spacing w:before="140" w:after="140"/>
        <w:jc w:val="center"/>
      </w:pPr>
      <w:r w:rsidRPr="003048F4">
        <w:rPr>
          <w:rFonts w:ascii="Cambria Math" w:eastAsia="Cambria Math" w:hAnsi="Cambria Math" w:cs="Cambria Math"/>
          <w:b/>
          <w:bCs/>
          <w:sz w:val="24"/>
          <w:szCs w:val="24"/>
          <w:highlight w:val="green"/>
        </w:rPr>
        <w:t>C</w:t>
      </w:r>
      <w:r>
        <w:rPr>
          <w:rFonts w:ascii="Cambria Math" w:eastAsia="Cambria Math" w:hAnsi="Cambria Math" w:cs="Cambria Math"/>
          <w:b/>
          <w:bCs/>
          <w:sz w:val="24"/>
          <w:szCs w:val="24"/>
          <w:highlight w:val="green"/>
        </w:rPr>
        <w:t>*</w:t>
      </w:r>
      <w:r w:rsidRPr="003048F4">
        <w:rPr>
          <w:rFonts w:ascii="Cambria Math" w:eastAsia="Cambria Math" w:hAnsi="Cambria Math" w:cs="Cambria Math"/>
          <w:b/>
          <w:bCs/>
          <w:sz w:val="24"/>
          <w:szCs w:val="24"/>
          <w:highlight w:val="green"/>
        </w:rPr>
        <w:t>=u_C/(1+r)</w:t>
      </w:r>
    </w:p>
    <w:p w14:paraId="1F21D5B0" w14:textId="77777777" w:rsidR="005B735D" w:rsidRDefault="005B735D" w:rsidP="005B735D"/>
    <w:p w14:paraId="202AA78E" w14:textId="3A8F0DA6" w:rsidR="005B735D" w:rsidRDefault="0016702A" w:rsidP="00D948D7">
      <w:pPr>
        <w:jc w:val="center"/>
      </w:pPr>
      <w:r>
        <w:rPr>
          <w:noProof/>
        </w:rPr>
        <mc:AlternateContent>
          <mc:Choice Requires="wpg">
            <w:drawing>
              <wp:inline distT="0" distB="0" distL="0" distR="0" wp14:anchorId="1D0B7D7C" wp14:editId="73D472A4">
                <wp:extent cx="2035096" cy="1312916"/>
                <wp:effectExtent l="12700" t="12700" r="10160" b="8255"/>
                <wp:docPr id="1132072099" name="Group 4"/>
                <wp:cNvGraphicFramePr/>
                <a:graphic xmlns:a="http://schemas.openxmlformats.org/drawingml/2006/main">
                  <a:graphicData uri="http://schemas.microsoft.com/office/word/2010/wordprocessingGroup">
                    <wpg:wgp>
                      <wpg:cNvGrpSpPr/>
                      <wpg:grpSpPr>
                        <a:xfrm>
                          <a:off x="0" y="0"/>
                          <a:ext cx="2035096" cy="1312916"/>
                          <a:chOff x="0" y="0"/>
                          <a:chExt cx="2035096" cy="1312916"/>
                        </a:xfrm>
                      </wpg:grpSpPr>
                      <wps:wsp>
                        <wps:cNvPr id="726111277" name="Rectangle 1"/>
                        <wps:cNvSpPr/>
                        <wps:spPr>
                          <a:xfrm>
                            <a:off x="0" y="451263"/>
                            <a:ext cx="1575583" cy="86165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8B4D10" w14:textId="77777777" w:rsidR="005B735D" w:rsidRPr="005B735D" w:rsidRDefault="005B735D" w:rsidP="005B735D">
                              <w:pPr>
                                <w:jc w:val="center"/>
                                <w:rPr>
                                  <w:sz w:val="20"/>
                                  <w:szCs w:val="20"/>
                                </w:rPr>
                              </w:pPr>
                              <w:r w:rsidRPr="005B735D">
                                <w:rPr>
                                  <w:sz w:val="20"/>
                                  <w:szCs w:val="20"/>
                                </w:rPr>
                                <w:t>C</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268902" name="U-Turn Arrow 4"/>
                        <wps:cNvSpPr/>
                        <wps:spPr>
                          <a:xfrm>
                            <a:off x="522515" y="0"/>
                            <a:ext cx="1061085" cy="454025"/>
                          </a:xfrm>
                          <a:prstGeom prst="uturnArrow">
                            <a:avLst>
                              <a:gd name="adj1" fmla="val 35241"/>
                              <a:gd name="adj2" fmla="val 25000"/>
                              <a:gd name="adj3" fmla="val 25000"/>
                              <a:gd name="adj4" fmla="val 43750"/>
                              <a:gd name="adj5" fmla="val 99326"/>
                            </a:avLst>
                          </a:prstGeom>
                        </wps:spPr>
                        <wps:style>
                          <a:lnRef idx="2">
                            <a:schemeClr val="accent6"/>
                          </a:lnRef>
                          <a:fillRef idx="1">
                            <a:schemeClr val="lt1"/>
                          </a:fillRef>
                          <a:effectRef idx="0">
                            <a:schemeClr val="accent6"/>
                          </a:effectRef>
                          <a:fontRef idx="minor">
                            <a:schemeClr val="dk1"/>
                          </a:fontRef>
                        </wps:style>
                        <wps:txbx>
                          <w:txbxContent>
                            <w:p w14:paraId="5BFF785D" w14:textId="77777777" w:rsidR="005B735D" w:rsidRDefault="005B735D" w:rsidP="005B735D">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4346889" name="U-Turn Arrow 4"/>
                        <wps:cNvSpPr/>
                        <wps:spPr>
                          <a:xfrm rot="5400000">
                            <a:off x="1467522" y="646476"/>
                            <a:ext cx="681124" cy="454025"/>
                          </a:xfrm>
                          <a:prstGeom prst="uturnArrow">
                            <a:avLst>
                              <a:gd name="adj1" fmla="val 35241"/>
                              <a:gd name="adj2" fmla="val 25000"/>
                              <a:gd name="adj3" fmla="val 25000"/>
                              <a:gd name="adj4" fmla="val 43750"/>
                              <a:gd name="adj5" fmla="val 99326"/>
                            </a:avLst>
                          </a:prstGeom>
                        </wps:spPr>
                        <wps:style>
                          <a:lnRef idx="2">
                            <a:schemeClr val="accent6"/>
                          </a:lnRef>
                          <a:fillRef idx="1">
                            <a:schemeClr val="lt1"/>
                          </a:fillRef>
                          <a:effectRef idx="0">
                            <a:schemeClr val="accent6"/>
                          </a:effectRef>
                          <a:fontRef idx="minor">
                            <a:schemeClr val="dk1"/>
                          </a:fontRef>
                        </wps:style>
                        <wps:txbx>
                          <w:txbxContent>
                            <w:p w14:paraId="3B60D703" w14:textId="77777777" w:rsidR="005B735D" w:rsidRDefault="005B735D" w:rsidP="005B735D">
                              <w:pPr>
                                <w:jc w:val="center"/>
                              </w:pPr>
                              <w:r>
                                <w:t>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D0B7D7C" id="Group 4" o:spid="_x0000_s1026" style="width:160.25pt;height:103.4pt;mso-position-horizontal-relative:char;mso-position-vertical-relative:line" coordsize="20350,131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">
                <v:rect id="Rectangle 1" o:spid="_x0000_s1027" style="position:absolute;top:4512;width:15755;height:86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" fillcolor="white [3201]" strokecolor="#4ea72e [3209]" strokeweight="1.5pt">
                  <v:textbox>
                    <w:txbxContent>
                      <w:p w14:paraId="418B4D10" w14:textId="77777777" w:rsidR="005B735D" w:rsidRPr="005B735D" w:rsidRDefault="005B735D" w:rsidP="005B735D">
                        <w:pPr>
                          <w:jc w:val="center"/>
                          <w:rPr>
                            <w:sz w:val="20"/>
                            <w:szCs w:val="20"/>
                          </w:rPr>
                        </w:pPr>
                        <w:r w:rsidRPr="005B735D">
                          <w:rPr>
                            <w:sz w:val="20"/>
                            <w:szCs w:val="20"/>
                          </w:rPr>
                          <w:t>C</w:t>
                        </w:r>
                        <w:r>
                          <w:rPr>
                            <w:sz w:val="20"/>
                            <w:szCs w:val="20"/>
                          </w:rPr>
                          <w:t>*</w:t>
                        </w:r>
                      </w:p>
                    </w:txbxContent>
                  </v:textbox>
                </v:rect>
                <v:shape id="U-Turn Arrow 4" o:spid="_x0000_s1028" style="position:absolute;left:5225;width:10611;height:4540;visibility:visible;mso-wrap-style:square;v-text-anchor:middle" coordsize="1061085,45402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" adj="-11796480,,5400" path="m,454025l,198636c,88932,88932,,198636,l828944,v109704,,198636,88932,198636,198636l1027580,337459r33505,l947579,450965,834073,337459r33504,l867577,198636v,-21336,-17297,-38633,-38633,-38633l198636,160003v-21336,,-38633,17297,-38633,38633l160003,454025,,454025xe" fillcolor="white [3201]" strokecolor="#4ea72e [3209]" strokeweight="1.5pt">
                  <v:stroke joinstyle="miter"/>
                  <v:formulas/>
                  <v:path arrowok="t" o:connecttype="custom" o:connectlocs="0,454025;0,198636;198636,0;828944,0;1027580,198636;1027580,337459;1061085,337459;947579,450965;834073,337459;867577,337459;867577,198636;828944,160003;198636,160003;160003,198636;160003,454025;0,454025" o:connectangles="0,0,0,0,0,0,0,0,0,0,0,0,0,0,0,0" textboxrect="0,0,1061085,454025"/>
                  <v:textbox>
                    <w:txbxContent>
                      <w:p w14:paraId="5BFF785D" w14:textId="77777777" w:rsidR="005B735D" w:rsidRDefault="005B735D" w:rsidP="005B735D">
                        <w:pPr>
                          <w:jc w:val="center"/>
                        </w:pPr>
                        <w:r>
                          <w:t>C*</w:t>
                        </w:r>
                      </w:p>
                    </w:txbxContent>
                  </v:textbox>
                </v:shape>
                <v:shape id="U-Turn Arrow 4" o:spid="_x0000_s1029" style="position:absolute;left:14674;top:6465;width:6811;height:4540;rotation:90;visibility:visible;mso-wrap-style:square;v-text-anchor:middle" coordsize="681124,45402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" adj="-11796480,,5400" path="m,454025l,198636c,88932,88932,,198636,l448983,c558687,,647619,88932,647619,198636r,138823l681124,337459,567618,450965,454112,337459r33504,l487616,198636v,-21336,-17297,-38633,-38633,-38633l198636,160003v-21336,,-38633,17297,-38633,38633l160003,454025,,454025xe" fillcolor="white [3201]" strokecolor="#4ea72e [3209]" strokeweight="1.5pt">
                  <v:stroke joinstyle="miter"/>
                  <v:formulas/>
                  <v:path arrowok="t" o:connecttype="custom" o:connectlocs="0,454025;0,198636;198636,0;448983,0;647619,198636;647619,337459;681124,337459;567618,450965;454112,337459;487616,337459;487616,198636;448983,160003;198636,160003;160003,198636;160003,454025;0,454025" o:connectangles="0,0,0,0,0,0,0,0,0,0,0,0,0,0,0,0" textboxrect="0,0,681124,454025"/>
                  <v:textbox>
                    <w:txbxContent>
                      <w:p w14:paraId="3B60D703" w14:textId="77777777" w:rsidR="005B735D" w:rsidRDefault="005B735D" w:rsidP="005B735D">
                        <w:pPr>
                          <w:jc w:val="center"/>
                        </w:pPr>
                        <w:r>
                          <w:t>r*C*</w:t>
                        </w:r>
                      </w:p>
                    </w:txbxContent>
                  </v:textbox>
                </v:shape>
                <w10:anchorlock/>
              </v:group>
            </w:pict>
          </mc:Fallback>
        </mc:AlternateContent>
      </w:r>
    </w:p>
    <w:p w14:paraId="72B96F69" w14:textId="77777777" w:rsidR="005B735D" w:rsidRDefault="005B735D" w:rsidP="005B735D"/>
    <w:p w14:paraId="6D089E8A" w14:textId="77777777" w:rsidR="005B735D" w:rsidRPr="00AD44AB" w:rsidRDefault="005B735D" w:rsidP="005B735D">
      <w:pPr>
        <w:spacing w:after="80"/>
        <w:ind w:left="360"/>
        <w:rPr>
          <w:b/>
          <w:bCs/>
        </w:rPr>
      </w:pPr>
    </w:p>
    <w:p w14:paraId="7EB6FE87" w14:textId="45795D8C" w:rsidR="005B735D" w:rsidRDefault="005B735D" w:rsidP="005B735D">
      <w:pPr>
        <w:spacing w:after="120"/>
      </w:pPr>
      <w:r w:rsidRPr="00AD44AB">
        <w:rPr>
          <w:b/>
          <w:bCs/>
        </w:rPr>
        <w:t xml:space="preserve">Where u_C is the annual </w:t>
      </w:r>
      <w:r w:rsidR="00AD44AB" w:rsidRPr="00AD44AB">
        <w:rPr>
          <w:b/>
          <w:bCs/>
        </w:rPr>
        <w:t xml:space="preserve">uptake </w:t>
      </w:r>
      <w:r w:rsidRPr="00AD44AB">
        <w:rPr>
          <w:b/>
          <w:bCs/>
        </w:rPr>
        <w:t>(</w:t>
      </w:r>
      <w:r w:rsidR="00BE6812" w:rsidRPr="00AD44AB">
        <w:rPr>
          <w:b/>
          <w:bCs/>
          <w:i/>
          <w:iCs/>
        </w:rPr>
        <w:t>fraction of the total eligible population (</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elig</m:t>
            </m:r>
          </m:sub>
        </m:sSub>
        <m:r>
          <m:rPr>
            <m:sty m:val="bi"/>
          </m:rPr>
          <w:rPr>
            <w:rFonts w:ascii="Cambria Math" w:hAnsi="Cambria Math"/>
          </w:rPr>
          <m:t xml:space="preserve">) </m:t>
        </m:r>
      </m:oMath>
      <w:r w:rsidR="00BE6812" w:rsidRPr="00AD44AB">
        <w:rPr>
          <w:b/>
          <w:bCs/>
          <w:i/>
          <w:iCs/>
        </w:rPr>
        <w:t>that fills a doxy prescription in a year whether newly starting or continuing from last year</w:t>
      </w:r>
      <w:r w:rsidRPr="00AD44AB">
        <w:rPr>
          <w:b/>
          <w:bCs/>
        </w:rPr>
        <w:t>)</w:t>
      </w:r>
      <w:r>
        <w:t>.</w:t>
      </w:r>
    </w:p>
    <w:p w14:paraId="09CE6E26" w14:textId="77777777" w:rsidR="00AA0354" w:rsidRDefault="003048F4" w:rsidP="005B735D">
      <w:pPr>
        <w:spacing w:after="120"/>
      </w:pPr>
      <w:r>
        <w:t xml:space="preserve">This definition works better for our model. </w:t>
      </w:r>
    </w:p>
    <w:p w14:paraId="7BD53E12" w14:textId="6F160E3A" w:rsidR="003048F4" w:rsidRDefault="00AA0354" w:rsidP="00AA0354">
      <w:pPr>
        <w:pStyle w:val="ListParagraph"/>
        <w:numPr>
          <w:ilvl w:val="0"/>
          <w:numId w:val="7"/>
        </w:numPr>
        <w:spacing w:after="120"/>
      </w:pPr>
      <w:r>
        <w:t>I</w:t>
      </w:r>
      <w:r w:rsidR="003048F4">
        <w:t xml:space="preserve">f r=0, </w:t>
      </w:r>
      <w:r>
        <w:t xml:space="preserve">C = u_C: coverage is equal to </w:t>
      </w:r>
      <w:r w:rsidR="003037C6">
        <w:t>uptake: the fraction of population covered by Doxy is essentially the fraction of population filling a prescription in that year because there is no discontinuation</w:t>
      </w:r>
    </w:p>
    <w:p w14:paraId="1A9854C4" w14:textId="006E3246" w:rsidR="003037C6" w:rsidRDefault="003037C6" w:rsidP="00AA0354">
      <w:pPr>
        <w:pStyle w:val="ListParagraph"/>
        <w:numPr>
          <w:ilvl w:val="0"/>
          <w:numId w:val="7"/>
        </w:numPr>
        <w:spacing w:after="120"/>
      </w:pPr>
      <w:r>
        <w:t xml:space="preserve">If r&gt;0: C=u_c/1+r &gt;&gt; </w:t>
      </w:r>
      <w:r w:rsidR="001F72C8">
        <w:t>in this case, the fractional population covered by Doxy is a smaller than the fraction of population filling a prescription for Doxy in that year because there is some discontinuation during the year</w:t>
      </w:r>
    </w:p>
    <w:p w14:paraId="603FE994" w14:textId="77777777" w:rsidR="001F72C8" w:rsidRDefault="001F72C8" w:rsidP="005B735D">
      <w:pPr>
        <w:spacing w:after="120"/>
      </w:pPr>
    </w:p>
    <w:p w14:paraId="7F50F2CA" w14:textId="4BDBB3D1" w:rsidR="005B735D" w:rsidRDefault="005B735D" w:rsidP="005B735D">
      <w:pPr>
        <w:spacing w:after="120"/>
      </w:pPr>
      <w:r>
        <w:t>In absolute counts</w:t>
      </w:r>
      <w:r w:rsidR="001F72C8">
        <w:t xml:space="preserve"> (</w:t>
      </w:r>
      <w:r w:rsidR="00A35D75">
        <w:t>this is the value that the observed from market scan):</w:t>
      </w:r>
    </w:p>
    <w:p w14:paraId="5F7F22D9" w14:textId="77777777" w:rsidR="005B735D" w:rsidRDefault="005B735D" w:rsidP="005B735D">
      <w:pPr>
        <w:spacing w:before="140" w:after="140"/>
        <w:jc w:val="center"/>
      </w:pPr>
      <w:r>
        <w:rPr>
          <w:rFonts w:ascii="Cambria Math" w:eastAsia="Cambria Math" w:hAnsi="Cambria Math" w:cs="Cambria Math"/>
          <w:b/>
          <w:bCs/>
          <w:sz w:val="24"/>
          <w:szCs w:val="24"/>
        </w:rPr>
        <w:t>Annual unique users = u_C · N_elig = (1 + r) · C* · N_elig</w:t>
      </w:r>
    </w:p>
    <w:p w14:paraId="2B68B53A" w14:textId="77777777" w:rsidR="005B735D" w:rsidRDefault="005B735D" w:rsidP="005B735D"/>
    <w:p w14:paraId="6AFD361A" w14:textId="77777777" w:rsidR="005B735D" w:rsidRDefault="005B735D" w:rsidP="005B735D"/>
    <w:p w14:paraId="0F1180F4" w14:textId="77777777" w:rsidR="00BE6812" w:rsidRDefault="00BE6812" w:rsidP="00BE6812">
      <w:pPr>
        <w:pStyle w:val="Heading2"/>
      </w:pPr>
      <w:r>
        <w:t>Converting Observed Pharmacy Data to ODE Parameters</w:t>
      </w:r>
    </w:p>
    <w:p w14:paraId="2D8CCDB5" w14:textId="77777777" w:rsidR="00BE6812" w:rsidRDefault="00BE6812" w:rsidP="00BE6812">
      <w:pPr>
        <w:spacing w:after="120"/>
      </w:pPr>
      <w:r>
        <w:t xml:space="preserve">From data (e.g., MarketScan, KPNC pharmacy fills) we observe u_C directly. To parameterize your ODE, we need u_ODE.  </w:t>
      </w:r>
    </w:p>
    <w:p w14:paraId="0DBC7405" w14:textId="77777777" w:rsidR="00BE6812" w:rsidRPr="00BE6812" w:rsidRDefault="00BE6812" w:rsidP="00BE6812">
      <w:pPr>
        <w:rPr>
          <w:b/>
          <w:bCs/>
        </w:rPr>
      </w:pPr>
      <w:r w:rsidRPr="00BE6812">
        <w:rPr>
          <w:b/>
          <w:bCs/>
        </w:rPr>
        <w:t>The Conversion Formulas</w:t>
      </w:r>
    </w:p>
    <w:p w14:paraId="11BBA070" w14:textId="77777777" w:rsidR="00BE6812" w:rsidRDefault="00BE6812" w:rsidP="00BE6812">
      <w:pPr>
        <w:spacing w:after="120"/>
      </w:pPr>
      <w:r>
        <w:t>From steady state:</w:t>
      </w:r>
    </w:p>
    <w:p w14:paraId="66069A23" w14:textId="77777777" w:rsidR="00BE6812" w:rsidRDefault="00BE6812" w:rsidP="00BE6812">
      <w:pPr>
        <w:spacing w:before="140" w:after="140"/>
        <w:jc w:val="center"/>
      </w:pPr>
      <w:r>
        <w:rPr>
          <w:rFonts w:ascii="Cambria Math" w:eastAsia="Cambria Math" w:hAnsi="Cambria Math" w:cs="Cambria Math"/>
          <w:b/>
          <w:bCs/>
          <w:sz w:val="24"/>
          <w:szCs w:val="24"/>
        </w:rPr>
        <w:t>C* = u_ODE / r</w:t>
      </w:r>
    </w:p>
    <w:p w14:paraId="26542C6C" w14:textId="77777777" w:rsidR="00BE6812" w:rsidRDefault="00BE6812" w:rsidP="00BE6812">
      <w:pPr>
        <w:spacing w:after="120"/>
      </w:pPr>
      <w:r>
        <w:t>From unique-user counting:</w:t>
      </w:r>
    </w:p>
    <w:p w14:paraId="063900CE" w14:textId="77777777" w:rsidR="00BE6812" w:rsidRDefault="00BE6812" w:rsidP="00BE6812">
      <w:pPr>
        <w:spacing w:before="140" w:after="140"/>
        <w:jc w:val="center"/>
      </w:pPr>
      <w:r>
        <w:rPr>
          <w:rFonts w:ascii="Cambria Math" w:eastAsia="Cambria Math" w:hAnsi="Cambria Math" w:cs="Cambria Math"/>
          <w:b/>
          <w:bCs/>
          <w:sz w:val="24"/>
          <w:szCs w:val="24"/>
        </w:rPr>
        <w:t>C* = u_C / (1 + r)</w:t>
      </w:r>
    </w:p>
    <w:p w14:paraId="53E0A2F2" w14:textId="77777777" w:rsidR="00BE6812" w:rsidRDefault="00BE6812" w:rsidP="00BE6812">
      <w:pPr>
        <w:spacing w:after="120"/>
      </w:pPr>
      <w:r>
        <w:t>Setting equal and solving:</w:t>
      </w:r>
    </w:p>
    <w:p w14:paraId="6BD7FC06" w14:textId="77777777" w:rsidR="00BE6812" w:rsidRDefault="00BE6812" w:rsidP="00BE6812">
      <w:pPr>
        <w:spacing w:before="140" w:after="140"/>
        <w:jc w:val="center"/>
      </w:pPr>
      <w:r>
        <w:rPr>
          <w:rFonts w:ascii="Cambria Math" w:eastAsia="Cambria Math" w:hAnsi="Cambria Math" w:cs="Cambria Math"/>
          <w:b/>
          <w:bCs/>
          <w:sz w:val="24"/>
          <w:szCs w:val="24"/>
        </w:rPr>
        <w:t>u_ODE = r · u_C / (1 + r)</w:t>
      </w:r>
    </w:p>
    <w:p w14:paraId="57EC516A" w14:textId="77777777" w:rsidR="00BE6812" w:rsidRDefault="00BE6812" w:rsidP="00BE6812">
      <w:pPr>
        <w:spacing w:before="160"/>
      </w:pPr>
    </w:p>
    <w:p w14:paraId="207FD2C3" w14:textId="77777777" w:rsidR="00BE6812" w:rsidRDefault="00BE6812" w:rsidP="00BE6812">
      <w:pPr>
        <w:pStyle w:val="Heading2"/>
        <w:spacing w:before="320"/>
      </w:pPr>
      <w:r>
        <w:t>Numerical Example</w:t>
      </w:r>
    </w:p>
    <w:p w14:paraId="62C5576F" w14:textId="77777777" w:rsidR="00BE6812" w:rsidRDefault="00BE6812" w:rsidP="00BE6812">
      <w:pPr>
        <w:spacing w:after="120"/>
      </w:pPr>
      <w:r>
        <w:t xml:space="preserve">Base case: </w:t>
      </w:r>
    </w:p>
    <w:p w14:paraId="4FA7A2F6" w14:textId="77777777" w:rsidR="00584A78" w:rsidRDefault="00BE6812" w:rsidP="00BE6812">
      <w:pPr>
        <w:spacing w:after="120"/>
      </w:pPr>
      <w:r>
        <w:t>Let assume</w:t>
      </w:r>
      <w:r w:rsidR="009279CC">
        <w:t xml:space="preserve"> </w:t>
      </w:r>
      <w:r w:rsidR="00584A78">
        <w:t>that 15% of population receiving Doxy continue to use it by the end of the year.</w:t>
      </w:r>
      <w:r>
        <w:t xml:space="preserve"> P = 0.15</w:t>
      </w:r>
    </w:p>
    <w:p w14:paraId="47B819EF" w14:textId="6D239806" w:rsidR="00BE6812" w:rsidRDefault="00584A78" w:rsidP="00BE6812">
      <w:pPr>
        <w:spacing w:after="120"/>
      </w:pPr>
      <w:r>
        <w:t>T</w:t>
      </w:r>
      <w:r w:rsidR="00BE6812">
        <w:t xml:space="preserve">his gives </w:t>
      </w:r>
      <w:r w:rsidR="009279CC">
        <w:t xml:space="preserve">a discontinuation </w:t>
      </w:r>
      <w:r w:rsidR="00BE6812">
        <w:t>r = 1.90 (r= -Ln(P))</w:t>
      </w:r>
    </w:p>
    <w:p w14:paraId="7CC7D324" w14:textId="5713AF61" w:rsidR="00BE6812" w:rsidRDefault="00BE6812" w:rsidP="00BE6812">
      <w:pPr>
        <w:spacing w:after="120"/>
      </w:pPr>
      <w:r>
        <w:t>Marketscan gives observed u_C = 0.20 (20% of eligible</w:t>
      </w:r>
      <w:r w:rsidR="002D00EC">
        <w:t xml:space="preserve"> males</w:t>
      </w:r>
      <w:r>
        <w:t xml:space="preserve"> fill</w:t>
      </w:r>
      <w:r w:rsidR="002D00EC">
        <w:t>ed</w:t>
      </w:r>
      <w:r>
        <w:t xml:space="preserve"> a doxy prescription </w:t>
      </w:r>
      <w:r w:rsidR="002D00EC">
        <w:t xml:space="preserve">in a </w:t>
      </w:r>
      <w:r>
        <w:t>year)</w:t>
      </w:r>
    </w:p>
    <w:p w14:paraId="18FC0CCF" w14:textId="77777777" w:rsidR="00BE6812" w:rsidRPr="00827EA3" w:rsidRDefault="00BE6812" w:rsidP="00BE6812">
      <w:pPr>
        <w:pStyle w:val="ListParagraph"/>
        <w:numPr>
          <w:ilvl w:val="0"/>
          <w:numId w:val="6"/>
        </w:numPr>
        <w:spacing w:after="120"/>
        <w:rPr>
          <w:color w:val="C00000"/>
        </w:rPr>
      </w:pPr>
      <w:commentRangeStart w:id="0"/>
      <w:r w:rsidRPr="00827EA3">
        <w:rPr>
          <w:color w:val="C00000"/>
        </w:rPr>
        <w:t>we can compute u_ODE to use in JHEEM:</w:t>
      </w:r>
    </w:p>
    <w:p w14:paraId="18841713" w14:textId="77777777" w:rsidR="00BE6812" w:rsidRPr="00827EA3" w:rsidRDefault="00BE6812" w:rsidP="00BE6812">
      <w:pPr>
        <w:spacing w:after="80"/>
        <w:ind w:left="360"/>
        <w:rPr>
          <w:color w:val="C00000"/>
        </w:rPr>
      </w:pPr>
      <w:r w:rsidRPr="00827EA3">
        <w:rPr>
          <w:color w:val="C00000"/>
        </w:rPr>
        <w:t>•  u_ODE = 1.90 × 0.20 / (1 + 1.90) = 0.38 / 2.90 ≈ 0.131 per year</w:t>
      </w:r>
    </w:p>
    <w:p w14:paraId="1E75FE62" w14:textId="77777777" w:rsidR="00BE6812" w:rsidRPr="00827EA3" w:rsidRDefault="00BE6812" w:rsidP="00BE6812">
      <w:pPr>
        <w:spacing w:after="80"/>
        <w:ind w:left="360"/>
        <w:rPr>
          <w:color w:val="C00000"/>
        </w:rPr>
      </w:pPr>
      <w:r w:rsidRPr="00827EA3">
        <w:rPr>
          <w:color w:val="C00000"/>
        </w:rPr>
        <w:t>•  C* = u_ODE / r = 0.131 / 1.90 ≈ 0.069 (6.9% point-prevalent coverage)</w:t>
      </w:r>
    </w:p>
    <w:p w14:paraId="2FACBE35" w14:textId="77777777" w:rsidR="00BE6812" w:rsidRPr="00827EA3" w:rsidRDefault="00BE6812" w:rsidP="00BE6812">
      <w:pPr>
        <w:spacing w:after="80"/>
        <w:ind w:left="360"/>
        <w:rPr>
          <w:color w:val="C00000"/>
        </w:rPr>
      </w:pPr>
      <w:r w:rsidRPr="00827EA3">
        <w:rPr>
          <w:color w:val="C00000"/>
        </w:rPr>
        <w:t xml:space="preserve">•  Verify: u_C = (1 + r) · C* = 2.90 × 0.069 = 0.20 </w:t>
      </w:r>
    </w:p>
    <w:p w14:paraId="1109D179" w14:textId="77777777" w:rsidR="00BE6812" w:rsidRPr="00827EA3" w:rsidRDefault="00BE6812" w:rsidP="00BE6812">
      <w:pPr>
        <w:spacing w:after="120"/>
        <w:rPr>
          <w:color w:val="C00000"/>
        </w:rPr>
      </w:pPr>
    </w:p>
    <w:p w14:paraId="40B5B6BF" w14:textId="77777777" w:rsidR="00BE6812" w:rsidRPr="00827EA3" w:rsidRDefault="00BE6812" w:rsidP="00BE6812">
      <w:pPr>
        <w:spacing w:after="120"/>
        <w:rPr>
          <w:color w:val="C00000"/>
        </w:rPr>
      </w:pPr>
      <w:r w:rsidRPr="00827EA3">
        <w:rPr>
          <w:color w:val="C00000"/>
        </w:rPr>
        <w:t>Interpretation: 20% of eligible MSM fill a prescription during the year, but only ~7% are on doxy at any given instant, because people cycle on and off quickly with low persistence.</w:t>
      </w:r>
      <w:commentRangeEnd w:id="0"/>
      <w:r w:rsidR="00827EA3" w:rsidRPr="00827EA3">
        <w:rPr>
          <w:rStyle w:val="CommentReference"/>
          <w:color w:val="C00000"/>
          <w:sz w:val="22"/>
          <w:szCs w:val="22"/>
        </w:rPr>
        <w:commentReference w:id="0"/>
      </w:r>
    </w:p>
    <w:p w14:paraId="1630822C" w14:textId="77777777" w:rsidR="005B735D" w:rsidRDefault="005B735D">
      <w:pPr>
        <w:pStyle w:val="Heading1"/>
        <w:spacing w:before="320" w:after="160"/>
      </w:pPr>
    </w:p>
    <w:p w14:paraId="2ECA90F5" w14:textId="77777777" w:rsidR="0016702A" w:rsidRPr="00827EA3" w:rsidRDefault="00DD2EED" w:rsidP="009A2406">
      <w:pPr>
        <w:pStyle w:val="Heading2"/>
      </w:pPr>
      <w:r w:rsidRPr="00827EA3">
        <w:rPr>
          <w:sz w:val="28"/>
          <w:szCs w:val="28"/>
        </w:rPr>
        <w:t>Doxy-</w:t>
      </w:r>
      <w:r w:rsidR="0016702A" w:rsidRPr="00827EA3">
        <w:t>Validating the Hazard Rate Against Pharmacy Data</w:t>
      </w:r>
    </w:p>
    <w:p w14:paraId="2C27DA53" w14:textId="77777777" w:rsidR="0016702A" w:rsidRPr="00827EA3" w:rsidRDefault="0016702A" w:rsidP="0016702A">
      <w:pPr>
        <w:spacing w:after="120"/>
        <w:rPr>
          <w:color w:val="C00000"/>
        </w:rPr>
      </w:pPr>
      <w:r w:rsidRPr="00827EA3">
        <w:rPr>
          <w:color w:val="C00000"/>
        </w:rPr>
        <w:t xml:space="preserve">A useful property of the continuous model: </w:t>
      </w:r>
    </w:p>
    <w:p w14:paraId="0FEF7B65" w14:textId="77777777" w:rsidR="0016702A" w:rsidRPr="00827EA3" w:rsidRDefault="0016702A" w:rsidP="0016702A">
      <w:pPr>
        <w:spacing w:before="140" w:after="140"/>
        <w:jc w:val="center"/>
        <w:rPr>
          <w:color w:val="C00000"/>
        </w:rPr>
      </w:pPr>
      <w:r w:rsidRPr="00827EA3">
        <w:rPr>
          <w:rFonts w:ascii="Cambria Math" w:eastAsia="Cambria Math" w:hAnsi="Cambria Math" w:cs="Cambria Math"/>
          <w:b/>
          <w:bCs/>
          <w:color w:val="C00000"/>
          <w:sz w:val="24"/>
          <w:szCs w:val="24"/>
        </w:rPr>
        <w:t>Mean duration on treatment = 1 / r</w:t>
      </w:r>
    </w:p>
    <w:p w14:paraId="715D91FA" w14:textId="77777777" w:rsidR="0016702A" w:rsidRPr="00827EA3" w:rsidRDefault="0016702A" w:rsidP="0016702A">
      <w:pPr>
        <w:spacing w:after="120"/>
        <w:rPr>
          <w:color w:val="C00000"/>
        </w:rPr>
      </w:pPr>
      <w:r w:rsidRPr="00827EA3">
        <w:rPr>
          <w:color w:val="C00000"/>
        </w:rPr>
        <w:t>At P = 0.28:</w:t>
      </w:r>
    </w:p>
    <w:p w14:paraId="2DB61E2E" w14:textId="77777777" w:rsidR="0016702A" w:rsidRPr="00827EA3" w:rsidRDefault="0016702A" w:rsidP="0016702A">
      <w:pPr>
        <w:spacing w:after="80"/>
        <w:ind w:left="360" w:hanging="200"/>
        <w:rPr>
          <w:color w:val="C00000"/>
        </w:rPr>
      </w:pPr>
      <w:r w:rsidRPr="00827EA3">
        <w:rPr>
          <w:color w:val="C00000"/>
        </w:rPr>
        <w:t>•  Mean duration = 1 / 1.27 ≈ 0.79 years ≈ 288 days</w:t>
      </w:r>
    </w:p>
    <w:p w14:paraId="3EB09604" w14:textId="77777777" w:rsidR="0016702A" w:rsidRPr="00827EA3" w:rsidRDefault="0016702A" w:rsidP="0016702A">
      <w:pPr>
        <w:spacing w:after="80"/>
        <w:ind w:left="360" w:hanging="200"/>
        <w:rPr>
          <w:color w:val="C00000"/>
        </w:rPr>
      </w:pPr>
      <w:r w:rsidRPr="00827EA3">
        <w:rPr>
          <w:color w:val="C00000"/>
        </w:rPr>
        <w:t xml:space="preserve">•  KPNC refiller mean duration: 291 days (152 days ÷ 0.522). </w:t>
      </w:r>
      <w:r w:rsidRPr="00827EA3">
        <w:rPr>
          <w:rFonts w:ascii="Segoe UI Symbol" w:hAnsi="Segoe UI Symbol" w:cs="Segoe UI Symbol"/>
          <w:color w:val="C00000"/>
        </w:rPr>
        <w:t>✓</w:t>
      </w:r>
      <w:r w:rsidRPr="00827EA3">
        <w:rPr>
          <w:color w:val="C00000"/>
        </w:rPr>
        <w:t xml:space="preserve"> Internally consistent with pharmacy-fill data.</w:t>
      </w:r>
    </w:p>
    <w:p w14:paraId="1777DFFD" w14:textId="77777777" w:rsidR="0016702A" w:rsidRPr="00827EA3" w:rsidRDefault="0016702A" w:rsidP="0016702A">
      <w:pPr>
        <w:spacing w:after="120"/>
        <w:rPr>
          <w:color w:val="C00000"/>
        </w:rPr>
      </w:pPr>
      <w:r w:rsidRPr="00827EA3">
        <w:rPr>
          <w:color w:val="C00000"/>
        </w:rPr>
        <w:t>At P = 0.15 (population-level estimate):</w:t>
      </w:r>
    </w:p>
    <w:p w14:paraId="6CD899CA" w14:textId="77777777" w:rsidR="0016702A" w:rsidRPr="00827EA3" w:rsidRDefault="0016702A" w:rsidP="0016702A">
      <w:pPr>
        <w:spacing w:after="80"/>
        <w:ind w:left="360" w:hanging="200"/>
        <w:rPr>
          <w:color w:val="C00000"/>
        </w:rPr>
      </w:pPr>
      <w:r w:rsidRPr="00827EA3">
        <w:rPr>
          <w:color w:val="C00000"/>
        </w:rPr>
        <w:t>•  r = −ln(0.15) ≈ 1.90 per year</w:t>
      </w:r>
    </w:p>
    <w:p w14:paraId="4C90D304" w14:textId="77777777" w:rsidR="0016702A" w:rsidRPr="00827EA3" w:rsidRDefault="0016702A" w:rsidP="0016702A">
      <w:pPr>
        <w:spacing w:after="80"/>
        <w:ind w:left="360" w:hanging="200"/>
        <w:rPr>
          <w:color w:val="C00000"/>
        </w:rPr>
      </w:pPr>
      <w:r w:rsidRPr="00827EA3">
        <w:rPr>
          <w:color w:val="C00000"/>
        </w:rPr>
        <w:t>•  Mean duration = 1 / 1.90 ≈ 0.53 years ≈ 192 days</w:t>
      </w:r>
    </w:p>
    <w:p w14:paraId="6AFC2B60" w14:textId="77777777" w:rsidR="0016702A" w:rsidRPr="00827EA3" w:rsidRDefault="0016702A" w:rsidP="0016702A">
      <w:pPr>
        <w:spacing w:after="80"/>
        <w:ind w:left="360" w:hanging="200"/>
        <w:rPr>
          <w:color w:val="C00000"/>
        </w:rPr>
      </w:pPr>
      <w:r w:rsidRPr="00827EA3">
        <w:rPr>
          <w:color w:val="C00000"/>
        </w:rPr>
        <w:t>•  Slightly higher than KPNC’s 152 days because the exponential assumption redistributes the mass differently than the mixture model, but in the same ballpark</w:t>
      </w:r>
    </w:p>
    <w:p w14:paraId="6718E36E" w14:textId="77777777" w:rsidR="0016702A" w:rsidRPr="00827EA3" w:rsidRDefault="0016702A" w:rsidP="0016702A">
      <w:pPr>
        <w:spacing w:before="160" w:after="80"/>
        <w:rPr>
          <w:color w:val="C00000"/>
        </w:rPr>
      </w:pPr>
      <w:r w:rsidRPr="00827EA3">
        <w:rPr>
          <w:b/>
          <w:bCs/>
          <w:color w:val="C00000"/>
        </w:rPr>
        <w:t>Base-case parameters for the continuous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900"/>
        <w:gridCol w:w="3260"/>
      </w:tblGrid>
      <w:tr w:rsidR="0016702A" w:rsidRPr="00827EA3" w14:paraId="0C826707" w14:textId="77777777" w:rsidTr="003346BE">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100" w:type="dxa"/>
              <w:left w:w="120" w:type="dxa"/>
              <w:bottom w:w="100" w:type="dxa"/>
              <w:right w:w="120" w:type="dxa"/>
            </w:tcMar>
          </w:tcPr>
          <w:p w14:paraId="40D9DFFB" w14:textId="77777777" w:rsidR="0016702A" w:rsidRPr="00827EA3" w:rsidRDefault="0016702A" w:rsidP="003346BE">
            <w:pPr>
              <w:rPr>
                <w:color w:val="C00000"/>
              </w:rPr>
            </w:pPr>
            <w:r w:rsidRPr="00827EA3">
              <w:rPr>
                <w:b/>
                <w:bCs/>
                <w:color w:val="C00000"/>
                <w:sz w:val="20"/>
                <w:szCs w:val="20"/>
              </w:rPr>
              <w:t>Quantity</w:t>
            </w:r>
          </w:p>
        </w:tc>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100" w:type="dxa"/>
              <w:left w:w="120" w:type="dxa"/>
              <w:bottom w:w="100" w:type="dxa"/>
              <w:right w:w="120" w:type="dxa"/>
            </w:tcMar>
          </w:tcPr>
          <w:p w14:paraId="0172850B" w14:textId="77777777" w:rsidR="0016702A" w:rsidRPr="00827EA3" w:rsidRDefault="0016702A" w:rsidP="003346BE">
            <w:pPr>
              <w:rPr>
                <w:color w:val="C00000"/>
              </w:rPr>
            </w:pPr>
            <w:r w:rsidRPr="00827EA3">
              <w:rPr>
                <w:b/>
                <w:bCs/>
                <w:color w:val="C00000"/>
                <w:sz w:val="20"/>
                <w:szCs w:val="20"/>
              </w:rPr>
              <w:t>Base case</w:t>
            </w:r>
          </w:p>
        </w:tc>
        <w:tc>
          <w:tcPr>
            <w:tcW w:w="1900" w:type="dxa"/>
            <w:tcBorders>
              <w:top w:val="single" w:sz="1" w:space="0" w:color="B0B0B0"/>
              <w:left w:val="single" w:sz="1" w:space="0" w:color="B0B0B0"/>
              <w:bottom w:val="single" w:sz="1" w:space="0" w:color="B0B0B0"/>
              <w:right w:val="single" w:sz="1" w:space="0" w:color="B0B0B0"/>
            </w:tcBorders>
            <w:shd w:val="clear" w:color="auto" w:fill="1F3864"/>
            <w:tcMar>
              <w:top w:w="100" w:type="dxa"/>
              <w:left w:w="120" w:type="dxa"/>
              <w:bottom w:w="100" w:type="dxa"/>
              <w:right w:w="120" w:type="dxa"/>
            </w:tcMar>
          </w:tcPr>
          <w:p w14:paraId="216696D8" w14:textId="77777777" w:rsidR="0016702A" w:rsidRPr="00827EA3" w:rsidRDefault="0016702A" w:rsidP="003346BE">
            <w:pPr>
              <w:rPr>
                <w:color w:val="C00000"/>
              </w:rPr>
            </w:pPr>
            <w:r w:rsidRPr="00827EA3">
              <w:rPr>
                <w:b/>
                <w:bCs/>
                <w:color w:val="C00000"/>
                <w:sz w:val="20"/>
                <w:szCs w:val="20"/>
              </w:rPr>
              <w:t>Range</w:t>
            </w:r>
          </w:p>
        </w:tc>
        <w:tc>
          <w:tcPr>
            <w:tcW w:w="3260" w:type="dxa"/>
            <w:tcBorders>
              <w:top w:val="single" w:sz="1" w:space="0" w:color="B0B0B0"/>
              <w:left w:val="single" w:sz="1" w:space="0" w:color="B0B0B0"/>
              <w:bottom w:val="single" w:sz="1" w:space="0" w:color="B0B0B0"/>
              <w:right w:val="single" w:sz="1" w:space="0" w:color="B0B0B0"/>
            </w:tcBorders>
            <w:shd w:val="clear" w:color="auto" w:fill="1F3864"/>
            <w:tcMar>
              <w:top w:w="100" w:type="dxa"/>
              <w:left w:w="120" w:type="dxa"/>
              <w:bottom w:w="100" w:type="dxa"/>
              <w:right w:w="120" w:type="dxa"/>
            </w:tcMar>
          </w:tcPr>
          <w:p w14:paraId="77B59783" w14:textId="77777777" w:rsidR="0016702A" w:rsidRPr="00827EA3" w:rsidRDefault="0016702A" w:rsidP="003346BE">
            <w:pPr>
              <w:rPr>
                <w:color w:val="C00000"/>
              </w:rPr>
            </w:pPr>
            <w:r w:rsidRPr="00827EA3">
              <w:rPr>
                <w:b/>
                <w:bCs/>
                <w:color w:val="C00000"/>
                <w:sz w:val="20"/>
                <w:szCs w:val="20"/>
              </w:rPr>
              <w:t>Interpretation</w:t>
            </w:r>
          </w:p>
        </w:tc>
      </w:tr>
      <w:tr w:rsidR="0016702A" w:rsidRPr="00827EA3" w14:paraId="08215FF9" w14:textId="77777777" w:rsidTr="003346BE">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01B73F1B" w14:textId="77777777" w:rsidR="0016702A" w:rsidRPr="00827EA3" w:rsidRDefault="0016702A" w:rsidP="003346BE">
            <w:pPr>
              <w:rPr>
                <w:color w:val="C00000"/>
              </w:rPr>
            </w:pPr>
            <w:r w:rsidRPr="00827EA3">
              <w:rPr>
                <w:color w:val="C00000"/>
                <w:sz w:val="20"/>
                <w:szCs w:val="20"/>
              </w:rPr>
              <w:t>P_Doxy (1-year persistence)</w:t>
            </w:r>
          </w:p>
        </w:tc>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6DFC8DD4" w14:textId="77777777" w:rsidR="0016702A" w:rsidRPr="00827EA3" w:rsidRDefault="0016702A" w:rsidP="003346BE">
            <w:pPr>
              <w:rPr>
                <w:color w:val="C00000"/>
              </w:rPr>
            </w:pPr>
            <w:r w:rsidRPr="00827EA3">
              <w:rPr>
                <w:b/>
                <w:bCs/>
                <w:color w:val="C00000"/>
                <w:sz w:val="20"/>
                <w:szCs w:val="20"/>
              </w:rPr>
              <w:t>0.15</w:t>
            </w:r>
          </w:p>
        </w:tc>
        <w:tc>
          <w:tcPr>
            <w:tcW w:w="1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0CD9DF81" w14:textId="77777777" w:rsidR="0016702A" w:rsidRPr="00827EA3" w:rsidRDefault="0016702A" w:rsidP="003346BE">
            <w:pPr>
              <w:rPr>
                <w:color w:val="C00000"/>
              </w:rPr>
            </w:pPr>
            <w:r w:rsidRPr="00827EA3">
              <w:rPr>
                <w:color w:val="C00000"/>
                <w:sz w:val="20"/>
                <w:szCs w:val="20"/>
              </w:rPr>
              <w:t>0.10–0.30</w:t>
            </w:r>
          </w:p>
        </w:tc>
        <w:tc>
          <w:tcPr>
            <w:tcW w:w="3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1D60080B" w14:textId="77777777" w:rsidR="0016702A" w:rsidRPr="00827EA3" w:rsidRDefault="0016702A" w:rsidP="003346BE">
            <w:pPr>
              <w:rPr>
                <w:color w:val="C00000"/>
              </w:rPr>
            </w:pPr>
            <w:r w:rsidRPr="00827EA3">
              <w:rPr>
                <w:color w:val="C00000"/>
                <w:sz w:val="20"/>
                <w:szCs w:val="20"/>
              </w:rPr>
              <w:t>Fraction still on treatment at 1 year</w:t>
            </w:r>
          </w:p>
        </w:tc>
      </w:tr>
      <w:tr w:rsidR="0016702A" w:rsidRPr="00827EA3" w14:paraId="240CCCF3" w14:textId="77777777" w:rsidTr="003346BE">
        <w:tc>
          <w:tcPr>
            <w:tcW w:w="2500" w:type="dxa"/>
            <w:tcBorders>
              <w:top w:val="single" w:sz="1" w:space="0" w:color="B0B0B0"/>
              <w:left w:val="single" w:sz="1" w:space="0" w:color="B0B0B0"/>
              <w:bottom w:val="single" w:sz="1" w:space="0" w:color="B0B0B0"/>
              <w:right w:val="single" w:sz="1" w:space="0" w:color="B0B0B0"/>
            </w:tcBorders>
            <w:shd w:val="clear" w:color="auto" w:fill="F4F7FB"/>
            <w:tcMar>
              <w:top w:w="80" w:type="dxa"/>
              <w:left w:w="120" w:type="dxa"/>
              <w:bottom w:w="80" w:type="dxa"/>
              <w:right w:w="120" w:type="dxa"/>
            </w:tcMar>
          </w:tcPr>
          <w:p w14:paraId="036B7BFF" w14:textId="77777777" w:rsidR="0016702A" w:rsidRPr="00827EA3" w:rsidRDefault="0016702A" w:rsidP="003346BE">
            <w:pPr>
              <w:rPr>
                <w:color w:val="C00000"/>
              </w:rPr>
            </w:pPr>
            <w:r w:rsidRPr="00827EA3">
              <w:rPr>
                <w:color w:val="C00000"/>
                <w:sz w:val="20"/>
                <w:szCs w:val="20"/>
              </w:rPr>
              <w:t>r_Doxy = −ln(P)</w:t>
            </w:r>
          </w:p>
        </w:tc>
        <w:tc>
          <w:tcPr>
            <w:tcW w:w="1700" w:type="dxa"/>
            <w:tcBorders>
              <w:top w:val="single" w:sz="1" w:space="0" w:color="B0B0B0"/>
              <w:left w:val="single" w:sz="1" w:space="0" w:color="B0B0B0"/>
              <w:bottom w:val="single" w:sz="1" w:space="0" w:color="B0B0B0"/>
              <w:right w:val="single" w:sz="1" w:space="0" w:color="B0B0B0"/>
            </w:tcBorders>
            <w:shd w:val="clear" w:color="auto" w:fill="F4F7FB"/>
            <w:tcMar>
              <w:top w:w="80" w:type="dxa"/>
              <w:left w:w="120" w:type="dxa"/>
              <w:bottom w:w="80" w:type="dxa"/>
              <w:right w:w="120" w:type="dxa"/>
            </w:tcMar>
          </w:tcPr>
          <w:p w14:paraId="4D80A361" w14:textId="77777777" w:rsidR="0016702A" w:rsidRPr="00827EA3" w:rsidRDefault="0016702A" w:rsidP="003346BE">
            <w:pPr>
              <w:rPr>
                <w:color w:val="C00000"/>
              </w:rPr>
            </w:pPr>
            <w:r w:rsidRPr="00827EA3">
              <w:rPr>
                <w:b/>
                <w:bCs/>
                <w:color w:val="C00000"/>
                <w:sz w:val="20"/>
                <w:szCs w:val="20"/>
              </w:rPr>
              <w:t>1.90/year</w:t>
            </w:r>
          </w:p>
        </w:tc>
        <w:tc>
          <w:tcPr>
            <w:tcW w:w="1900" w:type="dxa"/>
            <w:tcBorders>
              <w:top w:val="single" w:sz="1" w:space="0" w:color="B0B0B0"/>
              <w:left w:val="single" w:sz="1" w:space="0" w:color="B0B0B0"/>
              <w:bottom w:val="single" w:sz="1" w:space="0" w:color="B0B0B0"/>
              <w:right w:val="single" w:sz="1" w:space="0" w:color="B0B0B0"/>
            </w:tcBorders>
            <w:shd w:val="clear" w:color="auto" w:fill="F4F7FB"/>
            <w:tcMar>
              <w:top w:w="80" w:type="dxa"/>
              <w:left w:w="120" w:type="dxa"/>
              <w:bottom w:w="80" w:type="dxa"/>
              <w:right w:w="120" w:type="dxa"/>
            </w:tcMar>
          </w:tcPr>
          <w:p w14:paraId="5B088D7D" w14:textId="77777777" w:rsidR="0016702A" w:rsidRPr="00827EA3" w:rsidRDefault="0016702A" w:rsidP="003346BE">
            <w:pPr>
              <w:rPr>
                <w:color w:val="C00000"/>
              </w:rPr>
            </w:pPr>
            <w:r w:rsidRPr="00827EA3">
              <w:rPr>
                <w:color w:val="C00000"/>
                <w:sz w:val="20"/>
                <w:szCs w:val="20"/>
              </w:rPr>
              <w:t>1.20–2.30</w:t>
            </w:r>
          </w:p>
        </w:tc>
        <w:tc>
          <w:tcPr>
            <w:tcW w:w="3260" w:type="dxa"/>
            <w:tcBorders>
              <w:top w:val="single" w:sz="1" w:space="0" w:color="B0B0B0"/>
              <w:left w:val="single" w:sz="1" w:space="0" w:color="B0B0B0"/>
              <w:bottom w:val="single" w:sz="1" w:space="0" w:color="B0B0B0"/>
              <w:right w:val="single" w:sz="1" w:space="0" w:color="B0B0B0"/>
            </w:tcBorders>
            <w:shd w:val="clear" w:color="auto" w:fill="F4F7FB"/>
            <w:tcMar>
              <w:top w:w="80" w:type="dxa"/>
              <w:left w:w="120" w:type="dxa"/>
              <w:bottom w:w="80" w:type="dxa"/>
              <w:right w:w="120" w:type="dxa"/>
            </w:tcMar>
          </w:tcPr>
          <w:p w14:paraId="7228D8A9" w14:textId="77777777" w:rsidR="0016702A" w:rsidRPr="00827EA3" w:rsidRDefault="0016702A" w:rsidP="003346BE">
            <w:pPr>
              <w:rPr>
                <w:color w:val="C00000"/>
              </w:rPr>
            </w:pPr>
            <w:r w:rsidRPr="00827EA3">
              <w:rPr>
                <w:color w:val="C00000"/>
                <w:sz w:val="20"/>
                <w:szCs w:val="20"/>
              </w:rPr>
              <w:t>Continuous discontinuation hazard rate</w:t>
            </w:r>
          </w:p>
        </w:tc>
      </w:tr>
      <w:tr w:rsidR="0016702A" w:rsidRPr="00827EA3" w14:paraId="7B885955" w14:textId="77777777" w:rsidTr="003346BE">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1A1F3C01" w14:textId="77777777" w:rsidR="0016702A" w:rsidRPr="00827EA3" w:rsidRDefault="0016702A" w:rsidP="003346BE">
            <w:pPr>
              <w:rPr>
                <w:color w:val="C00000"/>
              </w:rPr>
            </w:pPr>
            <w:r w:rsidRPr="00827EA3">
              <w:rPr>
                <w:color w:val="C00000"/>
                <w:sz w:val="20"/>
                <w:szCs w:val="20"/>
              </w:rPr>
              <w:t>Mean duration (1/r)</w:t>
            </w:r>
          </w:p>
        </w:tc>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3B4DAEE8" w14:textId="77777777" w:rsidR="0016702A" w:rsidRPr="00827EA3" w:rsidRDefault="0016702A" w:rsidP="003346BE">
            <w:pPr>
              <w:rPr>
                <w:color w:val="C00000"/>
              </w:rPr>
            </w:pPr>
            <w:r w:rsidRPr="00827EA3">
              <w:rPr>
                <w:b/>
                <w:bCs/>
                <w:color w:val="C00000"/>
                <w:sz w:val="20"/>
                <w:szCs w:val="20"/>
              </w:rPr>
              <w:t>0.53 years</w:t>
            </w:r>
          </w:p>
        </w:tc>
        <w:tc>
          <w:tcPr>
            <w:tcW w:w="1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2E3BCB21" w14:textId="77777777" w:rsidR="0016702A" w:rsidRPr="00827EA3" w:rsidRDefault="0016702A" w:rsidP="003346BE">
            <w:pPr>
              <w:rPr>
                <w:color w:val="C00000"/>
              </w:rPr>
            </w:pPr>
            <w:r w:rsidRPr="00827EA3">
              <w:rPr>
                <w:color w:val="C00000"/>
                <w:sz w:val="20"/>
                <w:szCs w:val="20"/>
              </w:rPr>
              <w:t>0.43–0.83 years</w:t>
            </w:r>
          </w:p>
        </w:tc>
        <w:tc>
          <w:tcPr>
            <w:tcW w:w="3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46EC8A74" w14:textId="77777777" w:rsidR="0016702A" w:rsidRPr="00827EA3" w:rsidRDefault="0016702A" w:rsidP="003346BE">
            <w:pPr>
              <w:rPr>
                <w:color w:val="C00000"/>
              </w:rPr>
            </w:pPr>
            <w:r w:rsidRPr="00827EA3">
              <w:rPr>
                <w:color w:val="C00000"/>
                <w:sz w:val="20"/>
                <w:szCs w:val="20"/>
              </w:rPr>
              <w:t>Average time on treatment</w:t>
            </w:r>
          </w:p>
        </w:tc>
      </w:tr>
    </w:tbl>
    <w:p w14:paraId="1CBB3C30" w14:textId="38D7FFE0" w:rsidR="00DD2EED" w:rsidRDefault="00DD2EED" w:rsidP="00DD2EED">
      <w:pPr>
        <w:spacing w:after="40"/>
        <w:rPr>
          <w:b/>
          <w:bCs/>
          <w:color w:val="1F3864"/>
          <w:sz w:val="28"/>
          <w:szCs w:val="28"/>
        </w:rPr>
        <w:sectPr w:rsidR="00DD2EED" w:rsidSect="0016702A">
          <w:pgSz w:w="12240" w:h="15840"/>
          <w:pgMar w:top="720" w:right="720" w:bottom="720" w:left="720" w:header="708" w:footer="708" w:gutter="0"/>
          <w:cols w:space="720"/>
          <w:docGrid w:linePitch="360"/>
        </w:sectPr>
      </w:pPr>
    </w:p>
    <w:p w14:paraId="53F0EAD3" w14:textId="77777777" w:rsidR="009A2406" w:rsidRDefault="009A2406" w:rsidP="009A2406">
      <w:pPr>
        <w:pStyle w:val="Heading1"/>
      </w:pPr>
      <w:r>
        <w:lastRenderedPageBreak/>
        <w:t>Part 3: Lit review</w:t>
      </w:r>
    </w:p>
    <w:p w14:paraId="11C9CA36" w14:textId="62C63BD1" w:rsidR="00DD2EED" w:rsidRDefault="00DD2EED" w:rsidP="00DD2EED">
      <w:pPr>
        <w:pBdr>
          <w:bottom w:val="single" w:sz="4" w:space="4" w:color="2E75B6"/>
        </w:pBdr>
        <w:spacing w:after="160"/>
      </w:pPr>
      <w:r>
        <w:t>PEP: Uptake, Eligibility, Syphilis Outcomes, and Persistence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
        <w:gridCol w:w="1695"/>
        <w:gridCol w:w="1892"/>
        <w:gridCol w:w="703"/>
        <w:gridCol w:w="1794"/>
        <w:gridCol w:w="1893"/>
        <w:gridCol w:w="1992"/>
        <w:gridCol w:w="2091"/>
        <w:gridCol w:w="1961"/>
      </w:tblGrid>
      <w:tr w:rsidR="00DD2EED" w14:paraId="75AE878B" w14:textId="77777777" w:rsidTr="003346BE">
        <w:tblPrEx>
          <w:tblCellMar>
            <w:top w:w="0" w:type="dxa"/>
            <w:bottom w:w="0" w:type="dxa"/>
          </w:tblCellMar>
        </w:tblPrEx>
        <w:trPr>
          <w:tblHeader/>
        </w:trPr>
        <w:tc>
          <w:tcPr>
            <w:tcW w:w="379"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055F2634" w14:textId="77777777" w:rsidR="00DD2EED" w:rsidRDefault="00DD2EED" w:rsidP="003346BE">
            <w:r>
              <w:rPr>
                <w:b/>
                <w:bCs/>
                <w:color w:val="FFFFFF"/>
                <w:sz w:val="16"/>
                <w:szCs w:val="16"/>
              </w:rPr>
              <w:t>#</w:t>
            </w:r>
          </w:p>
        </w:tc>
        <w:tc>
          <w:tcPr>
            <w:tcW w:w="1695"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2E494F4A" w14:textId="77777777" w:rsidR="00DD2EED" w:rsidRDefault="00DD2EED" w:rsidP="003346BE">
            <w:r>
              <w:rPr>
                <w:b/>
                <w:bCs/>
                <w:color w:val="FFFFFF"/>
                <w:sz w:val="16"/>
                <w:szCs w:val="16"/>
              </w:rPr>
              <w:t>Study</w:t>
            </w:r>
          </w:p>
        </w:tc>
        <w:tc>
          <w:tcPr>
            <w:tcW w:w="1892"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4D739EC7" w14:textId="77777777" w:rsidR="00DD2EED" w:rsidRDefault="00DD2EED" w:rsidP="003346BE">
            <w:r>
              <w:rPr>
                <w:b/>
                <w:bCs/>
                <w:color w:val="FFFFFF"/>
                <w:sz w:val="16"/>
                <w:szCs w:val="16"/>
              </w:rPr>
              <w:t>Population</w:t>
            </w:r>
          </w:p>
        </w:tc>
        <w:tc>
          <w:tcPr>
            <w:tcW w:w="703"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679F0A6A" w14:textId="77777777" w:rsidR="00DD2EED" w:rsidRDefault="00DD2EED" w:rsidP="003346BE">
            <w:r>
              <w:rPr>
                <w:b/>
                <w:bCs/>
                <w:color w:val="FFFFFF"/>
                <w:sz w:val="16"/>
                <w:szCs w:val="16"/>
              </w:rPr>
              <w:t>N</w:t>
            </w:r>
          </w:p>
        </w:tc>
        <w:tc>
          <w:tcPr>
            <w:tcW w:w="17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5B5F6158" w14:textId="77777777" w:rsidR="00DD2EED" w:rsidRDefault="00DD2EED" w:rsidP="003346BE">
            <w:r>
              <w:rPr>
                <w:b/>
                <w:bCs/>
                <w:color w:val="FFFFFF"/>
                <w:sz w:val="16"/>
                <w:szCs w:val="16"/>
              </w:rPr>
              <w:t>Eligibility</w:t>
            </w:r>
          </w:p>
        </w:tc>
        <w:tc>
          <w:tcPr>
            <w:tcW w:w="1893"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752648D4" w14:textId="77777777" w:rsidR="00DD2EED" w:rsidRDefault="00DD2EED" w:rsidP="003346BE">
            <w:r>
              <w:rPr>
                <w:b/>
                <w:bCs/>
                <w:color w:val="FFFFFF"/>
                <w:sz w:val="16"/>
                <w:szCs w:val="16"/>
              </w:rPr>
              <w:t>Uptake (uᴄ)</w:t>
            </w:r>
          </w:p>
        </w:tc>
        <w:tc>
          <w:tcPr>
            <w:tcW w:w="1992"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58C4E161" w14:textId="77777777" w:rsidR="00DD2EED" w:rsidRDefault="00DD2EED" w:rsidP="003346BE">
            <w:r>
              <w:rPr>
                <w:b/>
                <w:bCs/>
                <w:color w:val="FFFFFF"/>
                <w:sz w:val="16"/>
                <w:szCs w:val="16"/>
              </w:rPr>
              <w:t>Syphilis Change</w:t>
            </w:r>
          </w:p>
        </w:tc>
        <w:tc>
          <w:tcPr>
            <w:tcW w:w="2091"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14072387" w14:textId="77777777" w:rsidR="00DD2EED" w:rsidRDefault="00DD2EED" w:rsidP="003346BE">
            <w:r>
              <w:rPr>
                <w:b/>
                <w:bCs/>
                <w:color w:val="FFFFFF"/>
                <w:sz w:val="16"/>
                <w:szCs w:val="16"/>
              </w:rPr>
              <w:t>Persistence / Duration</w:t>
            </w:r>
          </w:p>
        </w:tc>
        <w:tc>
          <w:tcPr>
            <w:tcW w:w="1961"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70EAAAFC" w14:textId="77777777" w:rsidR="00DD2EED" w:rsidRDefault="00DD2EED" w:rsidP="003346BE">
            <w:r>
              <w:rPr>
                <w:b/>
                <w:bCs/>
                <w:color w:val="FFFFFF"/>
                <w:sz w:val="16"/>
                <w:szCs w:val="16"/>
              </w:rPr>
              <w:t>Setting</w:t>
            </w:r>
          </w:p>
        </w:tc>
      </w:tr>
      <w:tr w:rsidR="00DD2EED" w14:paraId="75771DF1" w14:textId="77777777" w:rsidTr="003346BE">
        <w:tblPrEx>
          <w:tblCellMar>
            <w:top w:w="0" w:type="dxa"/>
            <w:bottom w:w="0" w:type="dxa"/>
          </w:tblCellMar>
        </w:tblPrEx>
        <w:tc>
          <w:tcPr>
            <w:tcW w:w="14400" w:type="dxa"/>
            <w:gridSpan w:val="9"/>
            <w:tcBorders>
              <w:top w:val="single" w:sz="1" w:space="0" w:color="B0B0B0"/>
              <w:left w:val="single" w:sz="1" w:space="0" w:color="B0B0B0"/>
              <w:bottom w:val="single" w:sz="1" w:space="0" w:color="B0B0B0"/>
              <w:right w:val="single" w:sz="1" w:space="0" w:color="B0B0B0"/>
            </w:tcBorders>
            <w:shd w:val="clear" w:color="auto" w:fill="2E5090"/>
            <w:tcMar>
              <w:top w:w="80" w:type="dxa"/>
              <w:left w:w="120" w:type="dxa"/>
              <w:bottom w:w="80" w:type="dxa"/>
              <w:right w:w="120" w:type="dxa"/>
            </w:tcMar>
          </w:tcPr>
          <w:p w14:paraId="4392E565" w14:textId="77777777" w:rsidR="00DD2EED" w:rsidRDefault="00DD2EED" w:rsidP="003346BE">
            <w:r>
              <w:rPr>
                <w:b/>
                <w:bCs/>
                <w:color w:val="FFFFFF"/>
                <w:sz w:val="17"/>
                <w:szCs w:val="17"/>
              </w:rPr>
              <w:t>SECTION A: Real-World Implementation Studies (US)</w:t>
            </w:r>
          </w:p>
        </w:tc>
      </w:tr>
      <w:tr w:rsidR="00DD2EED" w14:paraId="1E5ABCAD"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5C4A6FA" w14:textId="77777777" w:rsidR="00DD2EED" w:rsidRDefault="00DD2EED" w:rsidP="003346BE">
            <w:r>
              <w:rPr>
                <w:b/>
                <w:bCs/>
                <w:sz w:val="15"/>
                <w:szCs w:val="15"/>
              </w:rPr>
              <w:t>1</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446AB8D" w14:textId="77777777" w:rsidR="00DD2EED" w:rsidRDefault="00DD2EED" w:rsidP="003346BE">
            <w:r>
              <w:rPr>
                <w:b/>
                <w:bCs/>
                <w:sz w:val="15"/>
                <w:szCs w:val="15"/>
              </w:rPr>
              <w:t>Traeger 2025 (KPNC) JAMA Intern Med</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62FF4E5" w14:textId="77777777" w:rsidR="00DD2EED" w:rsidRDefault="00DD2EED" w:rsidP="003346BE">
            <w:r>
              <w:rPr>
                <w:sz w:val="15"/>
                <w:szCs w:val="15"/>
              </w:rPr>
              <w:t>HIV PrEP users, 98.9% male, Nov 2022–Dec 2023</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8D2E9A2" w14:textId="77777777" w:rsidR="00DD2EED" w:rsidRDefault="00DD2EED" w:rsidP="003346BE">
            <w:r>
              <w:rPr>
                <w:sz w:val="15"/>
                <w:szCs w:val="15"/>
              </w:rPr>
              <w:t>11,551</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E59A9D1" w14:textId="77777777" w:rsidR="00DD2EED" w:rsidRDefault="00DD2EED" w:rsidP="003346BE">
            <w:r>
              <w:rPr>
                <w:sz w:val="15"/>
                <w:szCs w:val="15"/>
              </w:rPr>
              <w:t>48.6% of doxy recipients had STI in prior yr; f_elig of full cohort not reported</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0D49916" w14:textId="77777777" w:rsidR="00DD2EED" w:rsidRDefault="00DD2EED" w:rsidP="003346BE">
            <w:r>
              <w:rPr>
                <w:b/>
                <w:bCs/>
                <w:sz w:val="15"/>
                <w:szCs w:val="15"/>
              </w:rPr>
              <w:t>19.5% dispensed ≥1 fill</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7019285" w14:textId="77777777" w:rsidR="00DD2EED" w:rsidRDefault="00DD2EED" w:rsidP="003346BE">
            <w:r>
              <w:rPr>
                <w:b/>
                <w:bCs/>
                <w:sz w:val="15"/>
                <w:szCs w:val="15"/>
              </w:rPr>
              <w:t>80% decline (1.7%→0.3%; RR 0.20, 95% CI 0.11–0.37)</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25ED4A1" w14:textId="77777777" w:rsidR="00DD2EED" w:rsidRDefault="00DD2EED" w:rsidP="003346BE">
            <w:r>
              <w:rPr>
                <w:sz w:val="15"/>
                <w:szCs w:val="15"/>
              </w:rPr>
              <w:t>Median 2 fills (IQR 1–3); 6.5 doses/mo; f/u 5.7 mo</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B0FF5F0" w14:textId="77777777" w:rsidR="00DD2EED" w:rsidRDefault="00DD2EED" w:rsidP="003346BE">
            <w:r>
              <w:rPr>
                <w:sz w:val="15"/>
                <w:szCs w:val="15"/>
              </w:rPr>
              <w:t>Integrated health system, CA</w:t>
            </w:r>
          </w:p>
        </w:tc>
      </w:tr>
      <w:tr w:rsidR="00DD2EED" w14:paraId="1CE1B533"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A04ED13" w14:textId="77777777" w:rsidR="00DD2EED" w:rsidRDefault="00DD2EED" w:rsidP="003346BE">
            <w:r>
              <w:rPr>
                <w:b/>
                <w:bCs/>
                <w:sz w:val="15"/>
                <w:szCs w:val="15"/>
              </w:rPr>
              <w:t>2</w:t>
            </w:r>
          </w:p>
        </w:tc>
        <w:tc>
          <w:tcPr>
            <w:tcW w:w="1695"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4A07BC88" w14:textId="77777777" w:rsidR="00DD2EED" w:rsidRDefault="00DD2EED" w:rsidP="003346BE">
            <w:r>
              <w:rPr>
                <w:b/>
                <w:bCs/>
                <w:sz w:val="15"/>
                <w:szCs w:val="15"/>
              </w:rPr>
              <w:t>Sankaran 2025 (SF City Clinic) JAMA Intern Med</w:t>
            </w:r>
          </w:p>
        </w:tc>
        <w:tc>
          <w:tcPr>
            <w:tcW w:w="18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25D883F3" w14:textId="77777777" w:rsidR="00DD2EED" w:rsidRDefault="00DD2EED" w:rsidP="003346BE">
            <w:r>
              <w:rPr>
                <w:sz w:val="15"/>
                <w:szCs w:val="15"/>
              </w:rPr>
              <w:t>MSM/TGW citywide SF, Nov 2022–Nov 2023 (pop-level)</w:t>
            </w:r>
          </w:p>
        </w:tc>
        <w:tc>
          <w:tcPr>
            <w:tcW w:w="70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E4AD33F" w14:textId="77777777" w:rsidR="00DD2EED" w:rsidRDefault="00DD2EED" w:rsidP="003346BE">
            <w:r>
              <w:rPr>
                <w:sz w:val="15"/>
                <w:szCs w:val="15"/>
              </w:rPr>
              <w:t>20,406</w:t>
            </w:r>
          </w:p>
        </w:tc>
        <w:tc>
          <w:tcPr>
            <w:tcW w:w="1794"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7970D27" w14:textId="77777777" w:rsidR="00DD2EED" w:rsidRPr="00C51BF5" w:rsidRDefault="00DD2EED" w:rsidP="003346BE">
            <w:r w:rsidRPr="00C51BF5">
              <w:rPr>
                <w:sz w:val="15"/>
                <w:szCs w:val="15"/>
              </w:rPr>
              <w:t>74% (≥1 STI + ≥1 partner); 60% (≥2 partners, no STI)</w:t>
            </w:r>
          </w:p>
        </w:tc>
        <w:tc>
          <w:tcPr>
            <w:tcW w:w="189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8E04EFD" w14:textId="77777777" w:rsidR="00DD2EED" w:rsidRPr="00C51BF5" w:rsidRDefault="00DD2EED" w:rsidP="003346BE">
            <w:pPr>
              <w:rPr>
                <w:b/>
                <w:bCs/>
              </w:rPr>
            </w:pPr>
            <w:r w:rsidRPr="00C51BF5">
              <w:rPr>
                <w:b/>
                <w:bCs/>
                <w:sz w:val="15"/>
                <w:szCs w:val="15"/>
              </w:rPr>
              <w:t>19.5% initiated doxy-PEP at 3 sentinel clinics (3,974 of 20,406)</w:t>
            </w:r>
          </w:p>
        </w:tc>
        <w:tc>
          <w:tcPr>
            <w:tcW w:w="19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042EDC3" w14:textId="77777777" w:rsidR="00DD2EED" w:rsidRDefault="00DD2EED" w:rsidP="003346BE">
            <w:r>
              <w:rPr>
                <w:b/>
                <w:bCs/>
                <w:sz w:val="15"/>
                <w:szCs w:val="15"/>
              </w:rPr>
              <w:t>51% decline citywide vs projected (95% CI −58% to −43%)</w:t>
            </w:r>
          </w:p>
        </w:tc>
        <w:tc>
          <w:tcPr>
            <w:tcW w:w="209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2A85856"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F51B6E2" w14:textId="77777777" w:rsidR="00DD2EED" w:rsidRDefault="00DD2EED" w:rsidP="003346BE">
            <w:r>
              <w:rPr>
                <w:sz w:val="15"/>
                <w:szCs w:val="15"/>
              </w:rPr>
              <w:t>Pop surveillance, SF</w:t>
            </w:r>
          </w:p>
        </w:tc>
      </w:tr>
      <w:tr w:rsidR="00DD2EED" w14:paraId="76C8DDFF"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9F128BE" w14:textId="77777777" w:rsidR="00DD2EED" w:rsidRDefault="00DD2EED" w:rsidP="003346BE">
            <w:r>
              <w:rPr>
                <w:b/>
                <w:bCs/>
                <w:sz w:val="15"/>
                <w:szCs w:val="15"/>
              </w:rPr>
              <w:t>3</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3B4B1E0" w14:textId="77777777" w:rsidR="00DD2EED" w:rsidRDefault="00DD2EED" w:rsidP="003346BE">
            <w:r>
              <w:rPr>
                <w:b/>
                <w:bCs/>
                <w:sz w:val="15"/>
                <w:szCs w:val="15"/>
              </w:rPr>
              <w:t>Scott 2024 (SF) CROI Abs 126</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618C8B2" w14:textId="77777777" w:rsidR="00DD2EED" w:rsidRDefault="00DD2EED" w:rsidP="003346BE">
            <w:r>
              <w:rPr>
                <w:sz w:val="15"/>
                <w:szCs w:val="15"/>
              </w:rPr>
              <w:t>PrEP clients offered doxy-PEP at SF clinic</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FD84B34" w14:textId="77777777" w:rsidR="00DD2EED" w:rsidRDefault="00DD2EED" w:rsidP="003346BE">
            <w:r>
              <w:rPr>
                <w:sz w:val="15"/>
                <w:szCs w:val="15"/>
              </w:rPr>
              <w:t>3,081</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7C9CB00" w14:textId="77777777" w:rsidR="00DD2EED" w:rsidRDefault="00DD2EED" w:rsidP="003346BE">
            <w:r>
              <w:rPr>
                <w:sz w:val="15"/>
                <w:szCs w:val="15"/>
              </w:rPr>
              <w:t>All PrEP clients offered</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37DB949" w14:textId="77777777" w:rsidR="00DD2EED" w:rsidRDefault="00DD2EED" w:rsidP="003346BE">
            <w:r>
              <w:rPr>
                <w:b/>
                <w:bCs/>
                <w:sz w:val="15"/>
                <w:szCs w:val="15"/>
              </w:rPr>
              <w:t>39% initiated</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939E9C7" w14:textId="77777777" w:rsidR="00DD2EED" w:rsidRDefault="00DD2EED" w:rsidP="003346BE">
            <w:r>
              <w:rPr>
                <w:b/>
                <w:bCs/>
                <w:sz w:val="15"/>
                <w:szCs w:val="15"/>
              </w:rPr>
              <w:t>78% decline pre vs post (p=.001)</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DCA6358"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851D798" w14:textId="77777777" w:rsidR="00DD2EED" w:rsidRDefault="00DD2EED" w:rsidP="003346BE">
            <w:r>
              <w:rPr>
                <w:sz w:val="15"/>
                <w:szCs w:val="15"/>
              </w:rPr>
              <w:t>Sexual health clinic, SF</w:t>
            </w:r>
          </w:p>
        </w:tc>
      </w:tr>
      <w:tr w:rsidR="00DD2EED" w14:paraId="5FB158D7"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2F9828A" w14:textId="77777777" w:rsidR="00DD2EED" w:rsidRDefault="00DD2EED" w:rsidP="003346BE">
            <w:r>
              <w:rPr>
                <w:b/>
                <w:bCs/>
                <w:sz w:val="15"/>
                <w:szCs w:val="15"/>
              </w:rPr>
              <w:t>4</w:t>
            </w:r>
          </w:p>
        </w:tc>
        <w:tc>
          <w:tcPr>
            <w:tcW w:w="1695"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911A833" w14:textId="77777777" w:rsidR="00DD2EED" w:rsidRDefault="00DD2EED" w:rsidP="003346BE">
            <w:r>
              <w:rPr>
                <w:b/>
                <w:bCs/>
                <w:sz w:val="15"/>
                <w:szCs w:val="15"/>
              </w:rPr>
              <w:t>Lewis 2025 (Phila) Sex Transm Dis</w:t>
            </w:r>
          </w:p>
        </w:tc>
        <w:tc>
          <w:tcPr>
            <w:tcW w:w="18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56E6B9F" w14:textId="77777777" w:rsidR="00DD2EED" w:rsidRDefault="00DD2EED" w:rsidP="003346BE">
            <w:r>
              <w:rPr>
                <w:sz w:val="15"/>
                <w:szCs w:val="15"/>
              </w:rPr>
              <w:t>PrEP-eligible MSM, urban public STD clinic, 2019–2023</w:t>
            </w:r>
          </w:p>
        </w:tc>
        <w:tc>
          <w:tcPr>
            <w:tcW w:w="70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82363FD" w14:textId="77777777" w:rsidR="00DD2EED" w:rsidRDefault="00DD2EED" w:rsidP="003346BE">
            <w:r>
              <w:rPr>
                <w:sz w:val="15"/>
                <w:szCs w:val="15"/>
              </w:rPr>
              <w:t>508/416</w:t>
            </w:r>
          </w:p>
        </w:tc>
        <w:tc>
          <w:tcPr>
            <w:tcW w:w="1794"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0BFC7B7" w14:textId="77777777" w:rsidR="00DD2EED" w:rsidRDefault="00DD2EED" w:rsidP="003346BE">
            <w:r>
              <w:rPr>
                <w:sz w:val="15"/>
                <w:szCs w:val="15"/>
              </w:rPr>
              <w:t>508 eligible (≥2 visits); PrEP-eligible MSM</w:t>
            </w:r>
          </w:p>
        </w:tc>
        <w:tc>
          <w:tcPr>
            <w:tcW w:w="189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85D730C" w14:textId="77777777" w:rsidR="00DD2EED" w:rsidRDefault="00DD2EED" w:rsidP="003346BE">
            <w:r>
              <w:rPr>
                <w:b/>
                <w:bCs/>
                <w:sz w:val="15"/>
                <w:szCs w:val="15"/>
              </w:rPr>
              <w:t>82% accepted</w:t>
            </w:r>
          </w:p>
        </w:tc>
        <w:tc>
          <w:tcPr>
            <w:tcW w:w="19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4137CB6" w14:textId="77777777" w:rsidR="00DD2EED" w:rsidRDefault="00DD2EED" w:rsidP="003346BE">
            <w:r>
              <w:rPr>
                <w:sz w:val="15"/>
                <w:szCs w:val="15"/>
              </w:rPr>
              <w:t>HR 0.51 (0.17–1.54) n.s.; IRR 0.52 (0.28–0.98) in crossover</w:t>
            </w:r>
          </w:p>
        </w:tc>
        <w:tc>
          <w:tcPr>
            <w:tcW w:w="209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4AA41FE4" w14:textId="77777777" w:rsidR="00DD2EED" w:rsidRDefault="00DD2EED" w:rsidP="003346BE">
            <w:r>
              <w:rPr>
                <w:sz w:val="15"/>
                <w:szCs w:val="15"/>
              </w:rPr>
              <w:t>54.3% medium; 21.2% low; 24.5% high</w:t>
            </w:r>
          </w:p>
        </w:tc>
        <w:tc>
          <w:tcPr>
            <w:tcW w:w="196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5685C80" w14:textId="77777777" w:rsidR="00DD2EED" w:rsidRDefault="00DD2EED" w:rsidP="003346BE">
            <w:r>
              <w:rPr>
                <w:sz w:val="15"/>
                <w:szCs w:val="15"/>
              </w:rPr>
              <w:t>Public STD clinic, Phila</w:t>
            </w:r>
          </w:p>
        </w:tc>
      </w:tr>
      <w:tr w:rsidR="00DD2EED" w14:paraId="1FE5FE45"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1AA0EBE" w14:textId="77777777" w:rsidR="00DD2EED" w:rsidRDefault="00DD2EED" w:rsidP="003346BE">
            <w:r>
              <w:rPr>
                <w:b/>
                <w:bCs/>
                <w:sz w:val="15"/>
                <w:szCs w:val="15"/>
              </w:rPr>
              <w:t>5</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6404524F" w14:textId="77777777" w:rsidR="00DD2EED" w:rsidRDefault="00DD2EED" w:rsidP="003346BE">
            <w:r>
              <w:rPr>
                <w:b/>
                <w:bCs/>
                <w:sz w:val="15"/>
                <w:szCs w:val="15"/>
              </w:rPr>
              <w:t>Traeger 2024 Sex Transm Dis</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4D67EE3" w14:textId="77777777" w:rsidR="00DD2EED" w:rsidRDefault="00DD2EED" w:rsidP="003346BE">
            <w:r>
              <w:rPr>
                <w:sz w:val="15"/>
                <w:szCs w:val="15"/>
              </w:rPr>
              <w:t>US national GBM via apps, Sept 2023</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3CE8A4F" w14:textId="77777777" w:rsidR="00DD2EED" w:rsidRDefault="00DD2EED" w:rsidP="003346BE">
            <w:r>
              <w:rPr>
                <w:sz w:val="15"/>
                <w:szCs w:val="15"/>
              </w:rPr>
              <w:t>903</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59CA2E3" w14:textId="77777777" w:rsidR="00DD2EED" w:rsidRDefault="00DD2EED" w:rsidP="003346BE">
            <w:r>
              <w:rPr>
                <w:sz w:val="15"/>
                <w:szCs w:val="15"/>
              </w:rPr>
              <w:t>42.5% on PrEP; CDC elig estimated from survey</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5219C0F" w14:textId="77777777" w:rsidR="00DD2EED" w:rsidRDefault="00DD2EED" w:rsidP="003346BE">
            <w:r>
              <w:rPr>
                <w:b/>
                <w:bCs/>
                <w:sz w:val="15"/>
                <w:szCs w:val="15"/>
              </w:rPr>
              <w:t>21% of CDC-eligible prescribed; 25.1% of PrEP users</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56CAAC3" w14:textId="77777777" w:rsidR="00DD2EED" w:rsidRDefault="00DD2EED" w:rsidP="003346BE">
            <w:r>
              <w:rPr>
                <w:sz w:val="15"/>
                <w:szCs w:val="15"/>
              </w:rPr>
              <w:t>Not assessed (cross-sectional)</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64DFE756" w14:textId="77777777" w:rsidR="00DD2EED" w:rsidRDefault="00DD2EED" w:rsidP="003346BE">
            <w:r>
              <w:rPr>
                <w:sz w:val="15"/>
                <w:szCs w:val="15"/>
              </w:rPr>
              <w:t>38% monthly; 10% near-daily; 22% not taken 4 wks</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CBAA8AD" w14:textId="77777777" w:rsidR="00DD2EED" w:rsidRDefault="00DD2EED" w:rsidP="003346BE">
            <w:r>
              <w:rPr>
                <w:sz w:val="15"/>
                <w:szCs w:val="15"/>
              </w:rPr>
              <w:t>National online survey</w:t>
            </w:r>
          </w:p>
        </w:tc>
      </w:tr>
      <w:tr w:rsidR="00DD2EED" w14:paraId="168A8B2D"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55855A3" w14:textId="77777777" w:rsidR="00DD2EED" w:rsidRDefault="00DD2EED" w:rsidP="003346BE">
            <w:r>
              <w:rPr>
                <w:b/>
                <w:bCs/>
                <w:sz w:val="15"/>
                <w:szCs w:val="15"/>
              </w:rPr>
              <w:t>6</w:t>
            </w:r>
          </w:p>
        </w:tc>
        <w:tc>
          <w:tcPr>
            <w:tcW w:w="1695"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38DA2D60" w14:textId="77777777" w:rsidR="00DD2EED" w:rsidRDefault="00DD2EED" w:rsidP="003346BE">
            <w:r>
              <w:rPr>
                <w:b/>
                <w:bCs/>
                <w:sz w:val="15"/>
                <w:szCs w:val="15"/>
              </w:rPr>
              <w:t>Martinson 2025 AIDS</w:t>
            </w:r>
          </w:p>
        </w:tc>
        <w:tc>
          <w:tcPr>
            <w:tcW w:w="18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250B8994" w14:textId="77777777" w:rsidR="00DD2EED" w:rsidRDefault="00DD2EED" w:rsidP="003346BE">
            <w:r>
              <w:rPr>
                <w:sz w:val="15"/>
                <w:szCs w:val="15"/>
              </w:rPr>
              <w:t>MSM with HIV, 46 US states, Oct 2023–Oct 2024</w:t>
            </w:r>
          </w:p>
        </w:tc>
        <w:tc>
          <w:tcPr>
            <w:tcW w:w="70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46A9B41A" w14:textId="77777777" w:rsidR="00DD2EED" w:rsidRDefault="00DD2EED" w:rsidP="003346BE">
            <w:r>
              <w:rPr>
                <w:sz w:val="15"/>
                <w:szCs w:val="15"/>
              </w:rPr>
              <w:t>827</w:t>
            </w:r>
          </w:p>
        </w:tc>
        <w:tc>
          <w:tcPr>
            <w:tcW w:w="1794"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76F3244" w14:textId="77777777" w:rsidR="00DD2EED" w:rsidRDefault="00DD2EED" w:rsidP="003346BE">
            <w:r>
              <w:rPr>
                <w:b/>
                <w:bCs/>
                <w:sz w:val="15"/>
                <w:szCs w:val="15"/>
              </w:rPr>
              <w:t>43.5% CDC-eligible (360/827 had bSTI past yr)</w:t>
            </w:r>
          </w:p>
        </w:tc>
        <w:tc>
          <w:tcPr>
            <w:tcW w:w="189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FE85F53" w14:textId="77777777" w:rsidR="00DD2EED" w:rsidRDefault="00DD2EED" w:rsidP="003346BE">
            <w:r>
              <w:rPr>
                <w:b/>
                <w:bCs/>
                <w:sz w:val="15"/>
                <w:szCs w:val="15"/>
              </w:rPr>
              <w:t>13% currently taking; 20% of CDC-eligible prescribed</w:t>
            </w:r>
          </w:p>
        </w:tc>
        <w:tc>
          <w:tcPr>
            <w:tcW w:w="19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09DE07A" w14:textId="77777777" w:rsidR="00DD2EED" w:rsidRDefault="00DD2EED" w:rsidP="003346BE">
            <w:r>
              <w:rPr>
                <w:sz w:val="15"/>
                <w:szCs w:val="15"/>
              </w:rPr>
              <w:t>Not assessed (cross-sectional)</w:t>
            </w:r>
          </w:p>
        </w:tc>
        <w:tc>
          <w:tcPr>
            <w:tcW w:w="209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3B95C66" w14:textId="77777777" w:rsidR="00DD2EED" w:rsidRDefault="00DD2EED" w:rsidP="003346BE">
            <w:r>
              <w:rPr>
                <w:sz w:val="15"/>
                <w:szCs w:val="15"/>
              </w:rPr>
              <w:t>N/A</w:t>
            </w:r>
          </w:p>
        </w:tc>
        <w:tc>
          <w:tcPr>
            <w:tcW w:w="196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491A71BF" w14:textId="77777777" w:rsidR="00DD2EED" w:rsidRDefault="00DD2EED" w:rsidP="003346BE">
            <w:r>
              <w:rPr>
                <w:sz w:val="15"/>
                <w:szCs w:val="15"/>
              </w:rPr>
              <w:t>National survey (PLWH)</w:t>
            </w:r>
          </w:p>
        </w:tc>
      </w:tr>
      <w:tr w:rsidR="00DD2EED" w14:paraId="2F2C954F"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C09E835" w14:textId="77777777" w:rsidR="00DD2EED" w:rsidRDefault="00DD2EED" w:rsidP="003346BE">
            <w:r>
              <w:rPr>
                <w:b/>
                <w:bCs/>
                <w:sz w:val="15"/>
                <w:szCs w:val="15"/>
              </w:rPr>
              <w:t>7</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31E0F33" w14:textId="77777777" w:rsidR="00DD2EED" w:rsidRDefault="00DD2EED" w:rsidP="003346BE">
            <w:r>
              <w:rPr>
                <w:b/>
                <w:bCs/>
                <w:sz w:val="15"/>
                <w:szCs w:val="15"/>
              </w:rPr>
              <w:t>Perkins 2025 (SF NHBS) AIDS Behav</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339D81E" w14:textId="77777777" w:rsidR="00DD2EED" w:rsidRDefault="00DD2EED" w:rsidP="003346BE">
            <w:r>
              <w:rPr>
                <w:sz w:val="15"/>
                <w:szCs w:val="15"/>
              </w:rPr>
              <w:t>MSM in San Francisco, 2023</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D24C068" w14:textId="77777777" w:rsidR="00DD2EED" w:rsidRDefault="00DD2EED" w:rsidP="003346BE">
            <w:r>
              <w:rPr>
                <w:sz w:val="15"/>
                <w:szCs w:val="15"/>
              </w:rPr>
              <w:t>533</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5F62788" w14:textId="77777777" w:rsidR="00DD2EED" w:rsidRDefault="00DD2EED" w:rsidP="003346BE">
            <w:r>
              <w:rPr>
                <w:sz w:val="15"/>
                <w:szCs w:val="15"/>
              </w:rPr>
              <w:t>Not reported</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F574667" w14:textId="77777777" w:rsidR="00DD2EED" w:rsidRDefault="00DD2EED" w:rsidP="003346BE">
            <w:r>
              <w:rPr>
                <w:b/>
                <w:bCs/>
                <w:sz w:val="15"/>
                <w:szCs w:val="15"/>
              </w:rPr>
              <w:t>19.3% used past yr; 66.6% aware</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234A785" w14:textId="77777777" w:rsidR="00DD2EED" w:rsidRDefault="00DD2EED" w:rsidP="003346BE">
            <w:r>
              <w:rPr>
                <w:sz w:val="15"/>
                <w:szCs w:val="15"/>
              </w:rPr>
              <w:t>Not assessed</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690B8BCE"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AFF4CA7" w14:textId="77777777" w:rsidR="00DD2EED" w:rsidRDefault="00DD2EED" w:rsidP="003346BE">
            <w:r>
              <w:rPr>
                <w:sz w:val="15"/>
                <w:szCs w:val="15"/>
              </w:rPr>
              <w:t>Community surv, SF</w:t>
            </w:r>
          </w:p>
        </w:tc>
      </w:tr>
      <w:tr w:rsidR="00DD2EED" w14:paraId="2A72B96A"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C68CE3D" w14:textId="77777777" w:rsidR="00DD2EED" w:rsidRDefault="00DD2EED" w:rsidP="003346BE">
            <w:r>
              <w:rPr>
                <w:b/>
                <w:bCs/>
                <w:sz w:val="15"/>
                <w:szCs w:val="15"/>
              </w:rPr>
              <w:t>8</w:t>
            </w:r>
          </w:p>
        </w:tc>
        <w:tc>
          <w:tcPr>
            <w:tcW w:w="1695"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3BBCF27F" w14:textId="77777777" w:rsidR="00DD2EED" w:rsidRDefault="00DD2EED" w:rsidP="003346BE">
            <w:r>
              <w:rPr>
                <w:b/>
                <w:bCs/>
                <w:sz w:val="15"/>
                <w:szCs w:val="15"/>
              </w:rPr>
              <w:t>Castel 2025 (DC) CROI Abs 164</w:t>
            </w:r>
          </w:p>
        </w:tc>
        <w:tc>
          <w:tcPr>
            <w:tcW w:w="18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AAFC109" w14:textId="77777777" w:rsidR="00DD2EED" w:rsidRDefault="00DD2EED" w:rsidP="003346BE">
            <w:r>
              <w:rPr>
                <w:sz w:val="15"/>
                <w:szCs w:val="15"/>
              </w:rPr>
              <w:t>PLWH at DC clinic, 2023–2024</w:t>
            </w:r>
          </w:p>
        </w:tc>
        <w:tc>
          <w:tcPr>
            <w:tcW w:w="70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238D5A60" w14:textId="77777777" w:rsidR="00DD2EED" w:rsidRDefault="00DD2EED" w:rsidP="003346BE">
            <w:r>
              <w:rPr>
                <w:sz w:val="15"/>
                <w:szCs w:val="15"/>
              </w:rPr>
              <w:t>~300 elig</w:t>
            </w:r>
          </w:p>
        </w:tc>
        <w:tc>
          <w:tcPr>
            <w:tcW w:w="1794"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0D0E221" w14:textId="77777777" w:rsidR="00DD2EED" w:rsidRDefault="00DD2EED" w:rsidP="003346BE">
            <w:r>
              <w:rPr>
                <w:sz w:val="15"/>
                <w:szCs w:val="15"/>
              </w:rPr>
              <w:t>77–85% of 347 STI dx were doxy-eligible</w:t>
            </w:r>
          </w:p>
        </w:tc>
        <w:tc>
          <w:tcPr>
            <w:tcW w:w="189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687FC9E0" w14:textId="77777777" w:rsidR="00DD2EED" w:rsidRDefault="00DD2EED" w:rsidP="003346BE">
            <w:r>
              <w:rPr>
                <w:b/>
                <w:bCs/>
                <w:sz w:val="15"/>
                <w:szCs w:val="15"/>
              </w:rPr>
              <w:t>15% of eligible prescribed</w:t>
            </w:r>
          </w:p>
        </w:tc>
        <w:tc>
          <w:tcPr>
            <w:tcW w:w="19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97097EE" w14:textId="77777777" w:rsidR="00DD2EED" w:rsidRDefault="00DD2EED" w:rsidP="003346BE">
            <w:r>
              <w:rPr>
                <w:sz w:val="15"/>
                <w:szCs w:val="15"/>
              </w:rPr>
              <w:t>Not reported</w:t>
            </w:r>
          </w:p>
        </w:tc>
        <w:tc>
          <w:tcPr>
            <w:tcW w:w="209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3F814693"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D7D4952" w14:textId="77777777" w:rsidR="00DD2EED" w:rsidRDefault="00DD2EED" w:rsidP="003346BE">
            <w:r>
              <w:rPr>
                <w:sz w:val="15"/>
                <w:szCs w:val="15"/>
              </w:rPr>
              <w:t>HIV clinic, DC</w:t>
            </w:r>
          </w:p>
        </w:tc>
      </w:tr>
      <w:tr w:rsidR="00DD2EED" w14:paraId="1F44091F"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E3FDD32" w14:textId="77777777" w:rsidR="00DD2EED" w:rsidRDefault="00DD2EED" w:rsidP="003346BE">
            <w:r>
              <w:rPr>
                <w:b/>
                <w:bCs/>
                <w:sz w:val="15"/>
                <w:szCs w:val="15"/>
              </w:rPr>
              <w:t>9</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31577CB" w14:textId="77777777" w:rsidR="00DD2EED" w:rsidRDefault="00DD2EED" w:rsidP="003346BE">
            <w:r>
              <w:rPr>
                <w:b/>
                <w:bCs/>
                <w:sz w:val="15"/>
                <w:szCs w:val="15"/>
              </w:rPr>
              <w:t>Osmundson 2025 Open Forum Infect Dis</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9A17C2B" w14:textId="77777777" w:rsidR="00DD2EED" w:rsidRDefault="00DD2EED" w:rsidP="003346BE">
            <w:r>
              <w:rPr>
                <w:sz w:val="15"/>
                <w:szCs w:val="15"/>
              </w:rPr>
              <w:t>MSM + TGW with STI, primary care, 2023</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32533CC" w14:textId="77777777" w:rsidR="00DD2EED" w:rsidRDefault="00DD2EED" w:rsidP="003346BE">
            <w:r>
              <w:rPr>
                <w:sz w:val="15"/>
                <w:szCs w:val="15"/>
              </w:rPr>
              <w:t>117 STI+</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540D919" w14:textId="77777777" w:rsidR="00DD2EED" w:rsidRDefault="00DD2EED" w:rsidP="003346BE">
            <w:r>
              <w:rPr>
                <w:sz w:val="15"/>
                <w:szCs w:val="15"/>
              </w:rPr>
              <w:t>18.7% of 627 MSM/TGW had ≥1 STI</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3D57292" w14:textId="77777777" w:rsidR="00DD2EED" w:rsidRDefault="00DD2EED" w:rsidP="003346BE">
            <w:r>
              <w:rPr>
                <w:b/>
                <w:bCs/>
                <w:sz w:val="15"/>
                <w:szCs w:val="15"/>
              </w:rPr>
              <w:t>39.3% prescribed among STI+</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E990062" w14:textId="77777777" w:rsidR="00DD2EED" w:rsidRDefault="00DD2EED" w:rsidP="003346BE">
            <w:r>
              <w:rPr>
                <w:sz w:val="15"/>
                <w:szCs w:val="15"/>
              </w:rPr>
              <w:t>Not reported</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EB0BC64"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6D382DDB" w14:textId="77777777" w:rsidR="00DD2EED" w:rsidRDefault="00DD2EED" w:rsidP="003346BE">
            <w:r>
              <w:rPr>
                <w:sz w:val="15"/>
                <w:szCs w:val="15"/>
              </w:rPr>
              <w:t>Primary care, Midwest</w:t>
            </w:r>
          </w:p>
        </w:tc>
      </w:tr>
      <w:tr w:rsidR="00DD2EED" w14:paraId="02EF1DD1" w14:textId="77777777" w:rsidTr="003346BE">
        <w:tblPrEx>
          <w:tblCellMar>
            <w:top w:w="0" w:type="dxa"/>
            <w:bottom w:w="0" w:type="dxa"/>
          </w:tblCellMar>
        </w:tblPrEx>
        <w:tc>
          <w:tcPr>
            <w:tcW w:w="14400" w:type="dxa"/>
            <w:gridSpan w:val="9"/>
            <w:tcBorders>
              <w:top w:val="single" w:sz="1" w:space="0" w:color="B0B0B0"/>
              <w:left w:val="single" w:sz="1" w:space="0" w:color="B0B0B0"/>
              <w:bottom w:val="single" w:sz="1" w:space="0" w:color="B0B0B0"/>
              <w:right w:val="single" w:sz="1" w:space="0" w:color="B0B0B0"/>
            </w:tcBorders>
            <w:shd w:val="clear" w:color="auto" w:fill="8B4513"/>
            <w:tcMar>
              <w:top w:w="80" w:type="dxa"/>
              <w:left w:w="120" w:type="dxa"/>
              <w:bottom w:w="80" w:type="dxa"/>
              <w:right w:w="120" w:type="dxa"/>
            </w:tcMar>
          </w:tcPr>
          <w:p w14:paraId="101EA6BB" w14:textId="77777777" w:rsidR="00DD2EED" w:rsidRDefault="00DD2EED" w:rsidP="003346BE">
            <w:r>
              <w:rPr>
                <w:b/>
                <w:bCs/>
                <w:color w:val="FFFFFF"/>
                <w:sz w:val="17"/>
                <w:szCs w:val="17"/>
              </w:rPr>
              <w:t>SECTION B: Randomized Controlled Trials</w:t>
            </w:r>
          </w:p>
        </w:tc>
      </w:tr>
      <w:tr w:rsidR="00DD2EED" w14:paraId="3A3E832E"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2A579226" w14:textId="77777777" w:rsidR="00DD2EED" w:rsidRDefault="00DD2EED" w:rsidP="003346BE">
            <w:r>
              <w:rPr>
                <w:b/>
                <w:bCs/>
                <w:sz w:val="15"/>
                <w:szCs w:val="15"/>
              </w:rPr>
              <w:t>10</w:t>
            </w:r>
          </w:p>
        </w:tc>
        <w:tc>
          <w:tcPr>
            <w:tcW w:w="1695"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7C8E909F" w14:textId="77777777" w:rsidR="00DD2EED" w:rsidRDefault="00DD2EED" w:rsidP="003346BE">
            <w:r>
              <w:rPr>
                <w:b/>
                <w:bCs/>
                <w:sz w:val="15"/>
                <w:szCs w:val="15"/>
              </w:rPr>
              <w:t>Molina 2018 (IPERGAY) Lancet Infect Dis</w:t>
            </w:r>
          </w:p>
        </w:tc>
        <w:tc>
          <w:tcPr>
            <w:tcW w:w="1892"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044F2C49" w14:textId="77777777" w:rsidR="00DD2EED" w:rsidRDefault="00DD2EED" w:rsidP="003346BE">
            <w:r>
              <w:rPr>
                <w:sz w:val="15"/>
                <w:szCs w:val="15"/>
              </w:rPr>
              <w:t>MSM on event-driven HIV PrEP in France; median 10 partners/2 mo</w:t>
            </w:r>
          </w:p>
        </w:tc>
        <w:tc>
          <w:tcPr>
            <w:tcW w:w="703"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6C629E32" w14:textId="77777777" w:rsidR="00DD2EED" w:rsidRDefault="00DD2EED" w:rsidP="003346BE">
            <w:r>
              <w:rPr>
                <w:sz w:val="15"/>
                <w:szCs w:val="15"/>
              </w:rPr>
              <w:t>232</w:t>
            </w:r>
          </w:p>
        </w:tc>
        <w:tc>
          <w:tcPr>
            <w:tcW w:w="1794"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1E5BCE6A" w14:textId="77777777" w:rsidR="00DD2EED" w:rsidRDefault="00DD2EED" w:rsidP="003346BE">
            <w:r>
              <w:rPr>
                <w:sz w:val="15"/>
                <w:szCs w:val="15"/>
              </w:rPr>
              <w:t>100% (enrollment: condomless sex with men + on PrEP)</w:t>
            </w:r>
          </w:p>
        </w:tc>
        <w:tc>
          <w:tcPr>
            <w:tcW w:w="1893"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430A81DD" w14:textId="77777777" w:rsidR="00DD2EED" w:rsidRDefault="00DD2EED" w:rsidP="003346BE">
            <w:r>
              <w:rPr>
                <w:sz w:val="15"/>
                <w:szCs w:val="15"/>
              </w:rPr>
              <w:t>Trial: 1:1 randomization to doxy-PEP vs no PEP</w:t>
            </w:r>
          </w:p>
        </w:tc>
        <w:tc>
          <w:tcPr>
            <w:tcW w:w="1992"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0524CE76" w14:textId="77777777" w:rsidR="00DD2EED" w:rsidRDefault="00DD2EED" w:rsidP="003346BE">
            <w:r>
              <w:rPr>
                <w:b/>
                <w:bCs/>
                <w:sz w:val="15"/>
                <w:szCs w:val="15"/>
              </w:rPr>
              <w:t>73% reduction: HR 0.27 (95% CI 0.07–0.98, p=.047)</w:t>
            </w:r>
          </w:p>
        </w:tc>
        <w:tc>
          <w:tcPr>
            <w:tcW w:w="2091"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701129CE" w14:textId="77777777" w:rsidR="00DD2EED" w:rsidRDefault="00DD2EED" w:rsidP="003346BE">
            <w:r>
              <w:rPr>
                <w:sz w:val="15"/>
                <w:szCs w:val="15"/>
              </w:rPr>
              <w:t>Median 680 mg/mo (IQR 280–1450); f/u 8.7 mo</w:t>
            </w:r>
          </w:p>
        </w:tc>
        <w:tc>
          <w:tcPr>
            <w:tcW w:w="1961"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5D7DB2BA" w14:textId="77777777" w:rsidR="00DD2EED" w:rsidRDefault="00DD2EED" w:rsidP="003346BE">
            <w:r>
              <w:rPr>
                <w:sz w:val="15"/>
                <w:szCs w:val="15"/>
              </w:rPr>
              <w:t>RCT, France</w:t>
            </w:r>
          </w:p>
        </w:tc>
      </w:tr>
      <w:tr w:rsidR="00DD2EED" w14:paraId="7AFA2681"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B3B4DFC" w14:textId="77777777" w:rsidR="00DD2EED" w:rsidRDefault="00DD2EED" w:rsidP="003346BE">
            <w:r>
              <w:rPr>
                <w:b/>
                <w:bCs/>
                <w:sz w:val="15"/>
                <w:szCs w:val="15"/>
              </w:rPr>
              <w:t>11</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D2B80F4" w14:textId="77777777" w:rsidR="00DD2EED" w:rsidRDefault="00DD2EED" w:rsidP="003346BE">
            <w:r>
              <w:rPr>
                <w:b/>
                <w:bCs/>
                <w:sz w:val="15"/>
                <w:szCs w:val="15"/>
              </w:rPr>
              <w:t>Luetkemeyer 2023/2025 (DoxyPEP) NEJM / Lancet ID</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8FF0AA1" w14:textId="77777777" w:rsidR="00DD2EED" w:rsidRDefault="00DD2EED" w:rsidP="003346BE">
            <w:r>
              <w:rPr>
                <w:sz w:val="15"/>
                <w:szCs w:val="15"/>
              </w:rPr>
              <w:t>MSM (96%) + TGW (4%) on PrEP or PLWH with ≥1 STI in past yr, SF/Seattle</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B476AE0" w14:textId="77777777" w:rsidR="00DD2EED" w:rsidRDefault="00DD2EED" w:rsidP="003346BE">
            <w:r>
              <w:rPr>
                <w:sz w:val="15"/>
                <w:szCs w:val="15"/>
              </w:rPr>
              <w:t>501</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DDBE98B" w14:textId="77777777" w:rsidR="00DD2EED" w:rsidRDefault="00DD2EED" w:rsidP="003346BE">
            <w:r>
              <w:rPr>
                <w:sz w:val="15"/>
                <w:szCs w:val="15"/>
              </w:rPr>
              <w:t>100% (enrollment: ≥1 bacterial STI in past yr)</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89B4EFD" w14:textId="77777777" w:rsidR="00DD2EED" w:rsidRDefault="00DD2EED" w:rsidP="003346BE">
            <w:r>
              <w:rPr>
                <w:sz w:val="15"/>
                <w:szCs w:val="15"/>
              </w:rPr>
              <w:t>Trial: 2:1 randomization to doxy-PEP vs standard care</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932236A" w14:textId="77777777" w:rsidR="00DD2EED" w:rsidRDefault="00DD2EED" w:rsidP="003346BE">
            <w:r>
              <w:rPr>
                <w:b/>
                <w:bCs/>
                <w:sz w:val="15"/>
                <w:szCs w:val="15"/>
              </w:rPr>
              <w:t>PrEP cohort: 87% reduction, RR 0.13 (0.03–0.59). PLWH: 77%, RR 0.23 (0.04–1.29, n.s.)</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3857BBD" w14:textId="77777777" w:rsidR="00DD2EED" w:rsidRDefault="00DD2EED" w:rsidP="003346BE">
            <w:r>
              <w:rPr>
                <w:sz w:val="15"/>
                <w:szCs w:val="15"/>
              </w:rPr>
              <w:t>Self-report ~87% of sex acts covered; median 4 doses/mo</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2E8E085" w14:textId="77777777" w:rsidR="00DD2EED" w:rsidRDefault="00DD2EED" w:rsidP="003346BE">
            <w:r>
              <w:rPr>
                <w:sz w:val="15"/>
                <w:szCs w:val="15"/>
              </w:rPr>
              <w:t>RCT, US (SF/Seattle)</w:t>
            </w:r>
          </w:p>
        </w:tc>
      </w:tr>
      <w:tr w:rsidR="00DD2EED" w14:paraId="52B2151B" w14:textId="77777777" w:rsidTr="003346BE">
        <w:tblPrEx>
          <w:tblCellMar>
            <w:top w:w="0" w:type="dxa"/>
            <w:bottom w:w="0" w:type="dxa"/>
          </w:tblCellMar>
        </w:tblPrEx>
        <w:tc>
          <w:tcPr>
            <w:tcW w:w="379"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69A41B0C" w14:textId="77777777" w:rsidR="00DD2EED" w:rsidRDefault="00DD2EED" w:rsidP="003346BE">
            <w:r>
              <w:rPr>
                <w:b/>
                <w:bCs/>
                <w:sz w:val="15"/>
                <w:szCs w:val="15"/>
              </w:rPr>
              <w:t>12</w:t>
            </w:r>
          </w:p>
        </w:tc>
        <w:tc>
          <w:tcPr>
            <w:tcW w:w="1695"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57AE82AF" w14:textId="77777777" w:rsidR="00DD2EED" w:rsidRDefault="00DD2EED" w:rsidP="003346BE">
            <w:r>
              <w:rPr>
                <w:b/>
                <w:bCs/>
                <w:sz w:val="15"/>
                <w:szCs w:val="15"/>
              </w:rPr>
              <w:t>Molina 2024 (DOXYVAC) Lancet Infect Dis</w:t>
            </w:r>
          </w:p>
        </w:tc>
        <w:tc>
          <w:tcPr>
            <w:tcW w:w="1892"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5CD85FEB" w14:textId="77777777" w:rsidR="00DD2EED" w:rsidRDefault="00DD2EED" w:rsidP="003346BE">
            <w:r>
              <w:rPr>
                <w:sz w:val="15"/>
                <w:szCs w:val="15"/>
              </w:rPr>
              <w:t>MSM on HIV PrEP ≥6 mo with ≥1 STI in prior yr, France; 2×2 factorial with 4CMenB</w:t>
            </w:r>
          </w:p>
        </w:tc>
        <w:tc>
          <w:tcPr>
            <w:tcW w:w="703"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73E4AD3C" w14:textId="77777777" w:rsidR="00DD2EED" w:rsidRDefault="00DD2EED" w:rsidP="003346BE">
            <w:r>
              <w:rPr>
                <w:sz w:val="15"/>
                <w:szCs w:val="15"/>
              </w:rPr>
              <w:t>545</w:t>
            </w:r>
          </w:p>
        </w:tc>
        <w:tc>
          <w:tcPr>
            <w:tcW w:w="1794"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26D6C219" w14:textId="77777777" w:rsidR="00DD2EED" w:rsidRDefault="00DD2EED" w:rsidP="003346BE">
            <w:r>
              <w:rPr>
                <w:sz w:val="15"/>
                <w:szCs w:val="15"/>
              </w:rPr>
              <w:t>100% (enrollment: PrEP ≥6 mo + STI in past yr)</w:t>
            </w:r>
          </w:p>
        </w:tc>
        <w:tc>
          <w:tcPr>
            <w:tcW w:w="1893"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17E0F0C2" w14:textId="77777777" w:rsidR="00DD2EED" w:rsidRDefault="00DD2EED" w:rsidP="003346BE">
            <w:r>
              <w:rPr>
                <w:sz w:val="15"/>
                <w:szCs w:val="15"/>
              </w:rPr>
              <w:t>Trial: 2:1 randomization; stopped early for efficacy</w:t>
            </w:r>
          </w:p>
        </w:tc>
        <w:tc>
          <w:tcPr>
            <w:tcW w:w="1992"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2B80F461" w14:textId="77777777" w:rsidR="00DD2EED" w:rsidRDefault="00DD2EED" w:rsidP="003346BE">
            <w:r>
              <w:rPr>
                <w:b/>
                <w:bCs/>
                <w:sz w:val="15"/>
                <w:szCs w:val="15"/>
              </w:rPr>
              <w:t>79% reduction: aHR 0.21 (95% CI 0.09–0.47)</w:t>
            </w:r>
          </w:p>
        </w:tc>
        <w:tc>
          <w:tcPr>
            <w:tcW w:w="2091"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0D2C0608" w14:textId="77777777" w:rsidR="00DD2EED" w:rsidRDefault="00DD2EED" w:rsidP="003346BE">
            <w:r>
              <w:rPr>
                <w:sz w:val="15"/>
                <w:szCs w:val="15"/>
              </w:rPr>
              <w:t>Median f/u 14 mo (IQR 9–18); 3 (0.9%) d/c for AE</w:t>
            </w:r>
          </w:p>
        </w:tc>
        <w:tc>
          <w:tcPr>
            <w:tcW w:w="1961"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6CF01DBF" w14:textId="77777777" w:rsidR="00DD2EED" w:rsidRDefault="00DD2EED" w:rsidP="003346BE">
            <w:r>
              <w:rPr>
                <w:sz w:val="15"/>
                <w:szCs w:val="15"/>
              </w:rPr>
              <w:t>RCT, France</w:t>
            </w:r>
          </w:p>
        </w:tc>
      </w:tr>
    </w:tbl>
    <w:p w14:paraId="6E95460D" w14:textId="77777777" w:rsidR="00E30191" w:rsidRDefault="00E30191" w:rsidP="00DD2EED">
      <w:pPr>
        <w:spacing w:before="200" w:after="60"/>
        <w:rPr>
          <w:b/>
          <w:bCs/>
          <w:sz w:val="20"/>
          <w:szCs w:val="20"/>
        </w:rPr>
      </w:pPr>
    </w:p>
    <w:p w14:paraId="417E740C" w14:textId="77777777" w:rsidR="00E30191" w:rsidRDefault="00E30191" w:rsidP="00DD2EED">
      <w:pPr>
        <w:spacing w:before="200" w:after="60"/>
        <w:rPr>
          <w:b/>
          <w:bCs/>
          <w:sz w:val="20"/>
          <w:szCs w:val="20"/>
        </w:rPr>
        <w:sectPr w:rsidR="00E30191" w:rsidSect="00E30191">
          <w:pgSz w:w="15840" w:h="12226" w:orient="landscape"/>
          <w:pgMar w:top="720" w:right="720" w:bottom="720" w:left="720" w:header="706" w:footer="706" w:gutter="0"/>
          <w:cols w:space="720"/>
          <w:docGrid w:linePitch="360"/>
        </w:sectPr>
      </w:pPr>
    </w:p>
    <w:p w14:paraId="2E0E0773" w14:textId="77777777" w:rsidR="00E30191" w:rsidRDefault="00DD2EED" w:rsidP="00E30191">
      <w:pPr>
        <w:spacing w:before="200" w:after="60"/>
      </w:pPr>
      <w:r>
        <w:rPr>
          <w:b/>
          <w:bCs/>
          <w:sz w:val="20"/>
          <w:szCs w:val="20"/>
        </w:rPr>
        <w:lastRenderedPageBreak/>
        <w:t>Notes</w:t>
      </w:r>
    </w:p>
    <w:p w14:paraId="4D0EF7AB" w14:textId="29531F97" w:rsidR="00E30191" w:rsidRPr="00E30191" w:rsidRDefault="00DD2EED" w:rsidP="00E30191">
      <w:pPr>
        <w:spacing w:before="200" w:after="60"/>
      </w:pPr>
      <w:r>
        <w:rPr>
          <w:sz w:val="20"/>
          <w:szCs w:val="20"/>
        </w:rPr>
        <w:t>Eligibility (</w:t>
      </w:r>
      <w:r w:rsidRPr="00E30191">
        <w:rPr>
          <w:sz w:val="20"/>
          <w:szCs w:val="20"/>
        </w:rPr>
        <w:t>CDC): MSM/TGW with ≥1 bacterial STI in past 12 months.</w:t>
      </w:r>
    </w:p>
    <w:p w14:paraId="0C810D86" w14:textId="4FB968F0" w:rsidR="00E30191" w:rsidRDefault="001B1400" w:rsidP="001B1400">
      <w:pPr>
        <w:spacing w:after="40"/>
      </w:pPr>
      <w:r>
        <w:rPr>
          <w:b/>
          <w:bCs/>
          <w:sz w:val="20"/>
          <w:szCs w:val="20"/>
        </w:rPr>
        <w:t xml:space="preserve">Eligibility: </w:t>
      </w:r>
      <w:r w:rsidR="00DD2EED" w:rsidRPr="001B1400">
        <w:rPr>
          <w:sz w:val="20"/>
          <w:szCs w:val="20"/>
        </w:rPr>
        <w:t xml:space="preserve">Martinson 2025 found 43.5% of MSM with HIV were CDC-eligible; Osmundson found 18.7% in primary </w:t>
      </w:r>
      <w:r w:rsidR="00DD2EED" w:rsidRPr="00E30191">
        <w:rPr>
          <w:sz w:val="20"/>
          <w:szCs w:val="20"/>
        </w:rPr>
        <w:t>care had ≥1 STI.</w:t>
      </w:r>
    </w:p>
    <w:p w14:paraId="5D9C23F2" w14:textId="3BDBD0B5" w:rsidR="004F105F" w:rsidRPr="006C1208" w:rsidRDefault="004F105F" w:rsidP="00E30191">
      <w:pPr>
        <w:spacing w:after="40"/>
        <w:rPr>
          <w:sz w:val="20"/>
          <w:szCs w:val="20"/>
        </w:rPr>
      </w:pPr>
      <w:r w:rsidRPr="004F105F">
        <w:rPr>
          <w:b/>
          <w:bCs/>
          <w:sz w:val="20"/>
          <w:szCs w:val="20"/>
        </w:rPr>
        <w:t xml:space="preserve">Uptake: </w:t>
      </w:r>
      <w:r w:rsidR="00720645" w:rsidRPr="00391BF8">
        <w:rPr>
          <w:sz w:val="20"/>
          <w:szCs w:val="20"/>
        </w:rPr>
        <w:t>median 20% [15% - 40%]</w:t>
      </w:r>
      <w:r w:rsidR="00391BF8" w:rsidRPr="00391BF8">
        <w:rPr>
          <w:sz w:val="20"/>
          <w:szCs w:val="20"/>
        </w:rPr>
        <w:t xml:space="preserve"> up to 80% in a in Philadelphia (Lewis)</w:t>
      </w:r>
    </w:p>
    <w:p w14:paraId="15321F26" w14:textId="77777777" w:rsidR="00D74DD4" w:rsidRDefault="00D74DD4" w:rsidP="006C1208">
      <w:pPr>
        <w:spacing w:after="40"/>
        <w:rPr>
          <w:sz w:val="20"/>
          <w:szCs w:val="20"/>
        </w:rPr>
      </w:pPr>
    </w:p>
    <w:p w14:paraId="206DC73E" w14:textId="64C92F8D" w:rsidR="00DD2EED" w:rsidRDefault="00D74DD4" w:rsidP="006C1208">
      <w:pPr>
        <w:spacing w:after="40"/>
        <w:rPr>
          <w:sz w:val="20"/>
          <w:szCs w:val="20"/>
        </w:rPr>
      </w:pPr>
      <w:r>
        <w:rPr>
          <w:sz w:val="20"/>
          <w:szCs w:val="20"/>
        </w:rPr>
        <w:t>Uptake:</w:t>
      </w:r>
    </w:p>
    <w:tbl>
      <w:tblPr>
        <w:tblStyle w:val="PlainTable5"/>
        <w:tblW w:w="10021" w:type="dxa"/>
        <w:tblLook w:val="04A0" w:firstRow="1" w:lastRow="0" w:firstColumn="1" w:lastColumn="0" w:noHBand="0" w:noVBand="1"/>
      </w:tblPr>
      <w:tblGrid>
        <w:gridCol w:w="2540"/>
        <w:gridCol w:w="3716"/>
        <w:gridCol w:w="3765"/>
      </w:tblGrid>
      <w:tr w:rsidR="00D74DD4" w:rsidRPr="00D74DD4" w14:paraId="306CD626" w14:textId="77777777" w:rsidTr="00D74D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3A20BF" w14:textId="77777777" w:rsidR="00D74DD4" w:rsidRPr="00D74DD4" w:rsidRDefault="00D74DD4" w:rsidP="00D74DD4">
            <w:pPr>
              <w:spacing w:after="40"/>
              <w:jc w:val="left"/>
              <w:rPr>
                <w:b/>
                <w:bCs/>
                <w:sz w:val="20"/>
                <w:szCs w:val="20"/>
              </w:rPr>
            </w:pPr>
            <w:r w:rsidRPr="00D74DD4">
              <w:rPr>
                <w:b/>
                <w:bCs/>
                <w:sz w:val="20"/>
                <w:szCs w:val="20"/>
              </w:rPr>
              <w:t>Stage</w:t>
            </w:r>
          </w:p>
        </w:tc>
        <w:tc>
          <w:tcPr>
            <w:tcW w:w="3716" w:type="dxa"/>
            <w:hideMark/>
          </w:tcPr>
          <w:p w14:paraId="2807175B" w14:textId="77777777" w:rsidR="00D74DD4" w:rsidRPr="00D74DD4" w:rsidRDefault="00D74DD4" w:rsidP="00D74DD4">
            <w:pPr>
              <w:spacing w:after="40"/>
              <w:cnfStyle w:val="100000000000" w:firstRow="1" w:lastRow="0" w:firstColumn="0" w:lastColumn="0" w:oddVBand="0" w:evenVBand="0" w:oddHBand="0" w:evenHBand="0" w:firstRowFirstColumn="0" w:firstRowLastColumn="0" w:lastRowFirstColumn="0" w:lastRowLastColumn="0"/>
              <w:rPr>
                <w:b/>
                <w:bCs/>
                <w:sz w:val="20"/>
                <w:szCs w:val="20"/>
              </w:rPr>
            </w:pPr>
            <w:r w:rsidRPr="00D74DD4">
              <w:rPr>
                <w:b/>
                <w:bCs/>
                <w:sz w:val="20"/>
                <w:szCs w:val="20"/>
              </w:rPr>
              <w:t>Estimate</w:t>
            </w:r>
          </w:p>
        </w:tc>
        <w:tc>
          <w:tcPr>
            <w:tcW w:w="0" w:type="auto"/>
            <w:hideMark/>
          </w:tcPr>
          <w:p w14:paraId="3317BAFA" w14:textId="77777777" w:rsidR="00D74DD4" w:rsidRPr="00D74DD4" w:rsidRDefault="00D74DD4" w:rsidP="00D74DD4">
            <w:pPr>
              <w:spacing w:after="40"/>
              <w:cnfStyle w:val="100000000000" w:firstRow="1" w:lastRow="0" w:firstColumn="0" w:lastColumn="0" w:oddVBand="0" w:evenVBand="0" w:oddHBand="0" w:evenHBand="0" w:firstRowFirstColumn="0" w:firstRowLastColumn="0" w:lastRowFirstColumn="0" w:lastRowLastColumn="0"/>
              <w:rPr>
                <w:b/>
                <w:bCs/>
                <w:sz w:val="20"/>
                <w:szCs w:val="20"/>
              </w:rPr>
            </w:pPr>
            <w:r w:rsidRPr="00D74DD4">
              <w:rPr>
                <w:b/>
                <w:bCs/>
                <w:sz w:val="20"/>
                <w:szCs w:val="20"/>
              </w:rPr>
              <w:t>Source/Context</w:t>
            </w:r>
          </w:p>
        </w:tc>
      </w:tr>
      <w:tr w:rsidR="00D74DD4" w:rsidRPr="00D74DD4" w14:paraId="271EDB0D"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034AA" w14:textId="77777777" w:rsidR="00D74DD4" w:rsidRPr="00D74DD4" w:rsidRDefault="00D74DD4" w:rsidP="00D74DD4">
            <w:pPr>
              <w:spacing w:after="40"/>
              <w:jc w:val="left"/>
              <w:rPr>
                <w:sz w:val="20"/>
                <w:szCs w:val="20"/>
              </w:rPr>
            </w:pPr>
            <w:r w:rsidRPr="00D74DD4">
              <w:rPr>
                <w:b/>
                <w:bCs/>
                <w:sz w:val="20"/>
                <w:szCs w:val="20"/>
              </w:rPr>
              <w:t>Awareness</w:t>
            </w:r>
          </w:p>
        </w:tc>
        <w:tc>
          <w:tcPr>
            <w:tcW w:w="3716" w:type="dxa"/>
            <w:hideMark/>
          </w:tcPr>
          <w:p w14:paraId="37D134D3"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66.6% aware</w:t>
            </w:r>
          </w:p>
        </w:tc>
        <w:tc>
          <w:tcPr>
            <w:tcW w:w="0" w:type="auto"/>
            <w:hideMark/>
          </w:tcPr>
          <w:p w14:paraId="6FE45F09"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General population</w:t>
            </w:r>
          </w:p>
        </w:tc>
      </w:tr>
      <w:tr w:rsidR="00D74DD4" w:rsidRPr="00D74DD4" w14:paraId="20EB007A"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65C64216" w14:textId="77777777" w:rsidR="00D74DD4" w:rsidRPr="00D74DD4" w:rsidRDefault="00D74DD4" w:rsidP="00D74DD4">
            <w:pPr>
              <w:spacing w:after="40"/>
              <w:jc w:val="left"/>
              <w:rPr>
                <w:sz w:val="20"/>
                <w:szCs w:val="20"/>
              </w:rPr>
            </w:pPr>
            <w:r w:rsidRPr="00D74DD4">
              <w:rPr>
                <w:b/>
                <w:bCs/>
                <w:sz w:val="20"/>
                <w:szCs w:val="20"/>
              </w:rPr>
              <w:t>Acceptance</w:t>
            </w:r>
          </w:p>
        </w:tc>
        <w:tc>
          <w:tcPr>
            <w:tcW w:w="3716" w:type="dxa"/>
            <w:hideMark/>
          </w:tcPr>
          <w:p w14:paraId="01E220F6"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82% accepted</w:t>
            </w:r>
          </w:p>
        </w:tc>
        <w:tc>
          <w:tcPr>
            <w:tcW w:w="0" w:type="auto"/>
            <w:hideMark/>
          </w:tcPr>
          <w:p w14:paraId="5B171E1C"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When offered</w:t>
            </w:r>
          </w:p>
        </w:tc>
      </w:tr>
      <w:tr w:rsidR="00D74DD4" w:rsidRPr="00D74DD4" w14:paraId="052C847D"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E0CCD" w14:textId="77777777" w:rsidR="00D74DD4" w:rsidRPr="00D74DD4" w:rsidRDefault="00D74DD4" w:rsidP="00D74DD4">
            <w:pPr>
              <w:spacing w:after="40"/>
              <w:jc w:val="left"/>
              <w:rPr>
                <w:b/>
                <w:bCs/>
                <w:sz w:val="20"/>
                <w:szCs w:val="20"/>
              </w:rPr>
            </w:pPr>
            <w:r w:rsidRPr="00D74DD4">
              <w:rPr>
                <w:b/>
                <w:bCs/>
                <w:sz w:val="20"/>
                <w:szCs w:val="20"/>
              </w:rPr>
              <w:t>Prescribed</w:t>
            </w:r>
          </w:p>
        </w:tc>
        <w:tc>
          <w:tcPr>
            <w:tcW w:w="3716" w:type="dxa"/>
            <w:hideMark/>
          </w:tcPr>
          <w:p w14:paraId="68BE156C"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21% of CDC-eligible prescribed</w:t>
            </w:r>
          </w:p>
        </w:tc>
        <w:tc>
          <w:tcPr>
            <w:tcW w:w="0" w:type="auto"/>
            <w:hideMark/>
          </w:tcPr>
          <w:p w14:paraId="5F48C14D"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Eligible population</w:t>
            </w:r>
          </w:p>
        </w:tc>
      </w:tr>
      <w:tr w:rsidR="00D74DD4" w:rsidRPr="00D74DD4" w14:paraId="08466198"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17E356E6" w14:textId="77777777" w:rsidR="00D74DD4" w:rsidRPr="00D74DD4" w:rsidRDefault="00D74DD4" w:rsidP="00D74DD4">
            <w:pPr>
              <w:spacing w:after="40"/>
              <w:jc w:val="left"/>
              <w:rPr>
                <w:b/>
                <w:bCs/>
                <w:sz w:val="20"/>
                <w:szCs w:val="20"/>
              </w:rPr>
            </w:pPr>
          </w:p>
        </w:tc>
        <w:tc>
          <w:tcPr>
            <w:tcW w:w="3716" w:type="dxa"/>
            <w:hideMark/>
          </w:tcPr>
          <w:p w14:paraId="078984D5"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b/>
                <w:bCs/>
                <w:sz w:val="20"/>
                <w:szCs w:val="20"/>
              </w:rPr>
            </w:pPr>
            <w:r w:rsidRPr="00D74DD4">
              <w:rPr>
                <w:b/>
                <w:bCs/>
                <w:sz w:val="20"/>
                <w:szCs w:val="20"/>
              </w:rPr>
              <w:t>25.1% of PrEP users prescribed</w:t>
            </w:r>
          </w:p>
        </w:tc>
        <w:tc>
          <w:tcPr>
            <w:tcW w:w="0" w:type="auto"/>
            <w:hideMark/>
          </w:tcPr>
          <w:p w14:paraId="41B99999"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b/>
                <w:bCs/>
                <w:sz w:val="20"/>
                <w:szCs w:val="20"/>
              </w:rPr>
            </w:pPr>
            <w:r w:rsidRPr="00D74DD4">
              <w:rPr>
                <w:b/>
                <w:bCs/>
                <w:sz w:val="20"/>
                <w:szCs w:val="20"/>
              </w:rPr>
              <w:t>PrEP users</w:t>
            </w:r>
          </w:p>
        </w:tc>
      </w:tr>
      <w:tr w:rsidR="00D74DD4" w:rsidRPr="00D74DD4" w14:paraId="5DCF4354"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AC3FC" w14:textId="77777777" w:rsidR="00D74DD4" w:rsidRPr="00D74DD4" w:rsidRDefault="00D74DD4" w:rsidP="00D74DD4">
            <w:pPr>
              <w:spacing w:after="40"/>
              <w:jc w:val="left"/>
              <w:rPr>
                <w:b/>
                <w:bCs/>
                <w:sz w:val="20"/>
                <w:szCs w:val="20"/>
              </w:rPr>
            </w:pPr>
          </w:p>
        </w:tc>
        <w:tc>
          <w:tcPr>
            <w:tcW w:w="3716" w:type="dxa"/>
            <w:hideMark/>
          </w:tcPr>
          <w:p w14:paraId="10DD6421"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15% of eligible prescribed</w:t>
            </w:r>
          </w:p>
        </w:tc>
        <w:tc>
          <w:tcPr>
            <w:tcW w:w="0" w:type="auto"/>
            <w:hideMark/>
          </w:tcPr>
          <w:p w14:paraId="185707B4"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Eligible population</w:t>
            </w:r>
          </w:p>
        </w:tc>
      </w:tr>
      <w:tr w:rsidR="00D74DD4" w:rsidRPr="00D74DD4" w14:paraId="46E1B423"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7356DD88" w14:textId="77777777" w:rsidR="00D74DD4" w:rsidRPr="00D74DD4" w:rsidRDefault="00D74DD4" w:rsidP="00D74DD4">
            <w:pPr>
              <w:spacing w:after="40"/>
              <w:jc w:val="left"/>
              <w:rPr>
                <w:b/>
                <w:bCs/>
                <w:sz w:val="20"/>
                <w:szCs w:val="20"/>
              </w:rPr>
            </w:pPr>
          </w:p>
        </w:tc>
        <w:tc>
          <w:tcPr>
            <w:tcW w:w="3716" w:type="dxa"/>
            <w:hideMark/>
          </w:tcPr>
          <w:p w14:paraId="667D9973" w14:textId="77777777" w:rsidR="00D74DD4" w:rsidRPr="005C64BB"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C64BB">
              <w:rPr>
                <w:sz w:val="20"/>
                <w:szCs w:val="20"/>
              </w:rPr>
              <w:t>39.3% prescribed among STI+</w:t>
            </w:r>
          </w:p>
        </w:tc>
        <w:tc>
          <w:tcPr>
            <w:tcW w:w="0" w:type="auto"/>
            <w:hideMark/>
          </w:tcPr>
          <w:p w14:paraId="7B74B21B" w14:textId="77777777" w:rsidR="00D74DD4" w:rsidRPr="005C64BB"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C64BB">
              <w:rPr>
                <w:sz w:val="20"/>
                <w:szCs w:val="20"/>
              </w:rPr>
              <w:t>After STI diagnosis</w:t>
            </w:r>
          </w:p>
        </w:tc>
      </w:tr>
      <w:tr w:rsidR="00D74DD4" w:rsidRPr="00D74DD4" w14:paraId="3998B454"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88625" w14:textId="77777777" w:rsidR="00D74DD4" w:rsidRPr="00D74DD4" w:rsidRDefault="00D74DD4" w:rsidP="00D74DD4">
            <w:pPr>
              <w:spacing w:after="40"/>
              <w:jc w:val="left"/>
              <w:rPr>
                <w:b/>
                <w:bCs/>
                <w:sz w:val="20"/>
                <w:szCs w:val="20"/>
              </w:rPr>
            </w:pPr>
          </w:p>
        </w:tc>
        <w:tc>
          <w:tcPr>
            <w:tcW w:w="3716" w:type="dxa"/>
            <w:hideMark/>
          </w:tcPr>
          <w:p w14:paraId="36CF14B4"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20% of CDC-eligible prescribed</w:t>
            </w:r>
          </w:p>
        </w:tc>
        <w:tc>
          <w:tcPr>
            <w:tcW w:w="0" w:type="auto"/>
            <w:hideMark/>
          </w:tcPr>
          <w:p w14:paraId="415A205F"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Eligible population</w:t>
            </w:r>
          </w:p>
        </w:tc>
      </w:tr>
      <w:tr w:rsidR="00D74DD4" w:rsidRPr="00D74DD4" w14:paraId="4CA8AD49"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324ACFDC" w14:textId="77777777" w:rsidR="00D74DD4" w:rsidRPr="00D74DD4" w:rsidRDefault="00D74DD4" w:rsidP="00D74DD4">
            <w:pPr>
              <w:spacing w:after="40"/>
              <w:jc w:val="left"/>
              <w:rPr>
                <w:sz w:val="20"/>
                <w:szCs w:val="20"/>
              </w:rPr>
            </w:pPr>
            <w:r w:rsidRPr="00D74DD4">
              <w:rPr>
                <w:b/>
                <w:bCs/>
                <w:sz w:val="20"/>
                <w:szCs w:val="20"/>
              </w:rPr>
              <w:t>Initiated</w:t>
            </w:r>
          </w:p>
        </w:tc>
        <w:tc>
          <w:tcPr>
            <w:tcW w:w="3716" w:type="dxa"/>
            <w:hideMark/>
          </w:tcPr>
          <w:p w14:paraId="7B15007D"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19.5% initiated</w:t>
            </w:r>
          </w:p>
        </w:tc>
        <w:tc>
          <w:tcPr>
            <w:tcW w:w="0" w:type="auto"/>
            <w:hideMark/>
          </w:tcPr>
          <w:p w14:paraId="6FC0A5E1"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Sentinel clinics</w:t>
            </w:r>
          </w:p>
        </w:tc>
      </w:tr>
      <w:tr w:rsidR="00D74DD4" w:rsidRPr="00D74DD4" w14:paraId="445C4E0E"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CAFCB" w14:textId="77777777" w:rsidR="00D74DD4" w:rsidRPr="00D74DD4" w:rsidRDefault="00D74DD4" w:rsidP="00D74DD4">
            <w:pPr>
              <w:spacing w:after="40"/>
              <w:jc w:val="left"/>
              <w:rPr>
                <w:sz w:val="20"/>
                <w:szCs w:val="20"/>
              </w:rPr>
            </w:pPr>
          </w:p>
        </w:tc>
        <w:tc>
          <w:tcPr>
            <w:tcW w:w="3716" w:type="dxa"/>
            <w:hideMark/>
          </w:tcPr>
          <w:p w14:paraId="47C0FCA0"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39% initiated</w:t>
            </w:r>
          </w:p>
        </w:tc>
        <w:tc>
          <w:tcPr>
            <w:tcW w:w="0" w:type="auto"/>
            <w:hideMark/>
          </w:tcPr>
          <w:p w14:paraId="51A865F5"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Another setting</w:t>
            </w:r>
          </w:p>
        </w:tc>
      </w:tr>
      <w:tr w:rsidR="00D74DD4" w:rsidRPr="00D74DD4" w14:paraId="2D8D1930"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242B5810" w14:textId="77777777" w:rsidR="00D74DD4" w:rsidRPr="00D74DD4" w:rsidRDefault="00D74DD4" w:rsidP="00D74DD4">
            <w:pPr>
              <w:spacing w:after="40"/>
              <w:jc w:val="left"/>
              <w:rPr>
                <w:sz w:val="20"/>
                <w:szCs w:val="20"/>
              </w:rPr>
            </w:pPr>
            <w:r w:rsidRPr="00D74DD4">
              <w:rPr>
                <w:b/>
                <w:bCs/>
                <w:sz w:val="20"/>
                <w:szCs w:val="20"/>
              </w:rPr>
              <w:t>Current use</w:t>
            </w:r>
          </w:p>
        </w:tc>
        <w:tc>
          <w:tcPr>
            <w:tcW w:w="3716" w:type="dxa"/>
            <w:hideMark/>
          </w:tcPr>
          <w:p w14:paraId="2DDE23A6"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13% currently taking</w:t>
            </w:r>
          </w:p>
        </w:tc>
        <w:tc>
          <w:tcPr>
            <w:tcW w:w="0" w:type="auto"/>
            <w:hideMark/>
          </w:tcPr>
          <w:p w14:paraId="3E0A55DF"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Point prevalence</w:t>
            </w:r>
          </w:p>
        </w:tc>
      </w:tr>
      <w:tr w:rsidR="00D74DD4" w:rsidRPr="00D74DD4" w14:paraId="52DCBE51"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C23BA" w14:textId="77777777" w:rsidR="00D74DD4" w:rsidRPr="00D74DD4" w:rsidRDefault="00D74DD4" w:rsidP="00D74DD4">
            <w:pPr>
              <w:spacing w:after="40"/>
              <w:jc w:val="left"/>
              <w:rPr>
                <w:sz w:val="20"/>
                <w:szCs w:val="20"/>
              </w:rPr>
            </w:pPr>
            <w:r w:rsidRPr="00D74DD4">
              <w:rPr>
                <w:b/>
                <w:bCs/>
                <w:sz w:val="20"/>
                <w:szCs w:val="20"/>
              </w:rPr>
              <w:t>Past year use</w:t>
            </w:r>
          </w:p>
        </w:tc>
        <w:tc>
          <w:tcPr>
            <w:tcW w:w="3716" w:type="dxa"/>
            <w:hideMark/>
          </w:tcPr>
          <w:p w14:paraId="01C34F85"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19.3% used past year</w:t>
            </w:r>
          </w:p>
        </w:tc>
        <w:tc>
          <w:tcPr>
            <w:tcW w:w="0" w:type="auto"/>
            <w:hideMark/>
          </w:tcPr>
          <w:p w14:paraId="3CCE5697"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Period prevalence</w:t>
            </w:r>
          </w:p>
        </w:tc>
      </w:tr>
      <w:tr w:rsidR="00D74DD4" w:rsidRPr="00D74DD4" w14:paraId="19BCDCE4"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797E03A3" w14:textId="77777777" w:rsidR="00D74DD4" w:rsidRPr="00D74DD4" w:rsidRDefault="00D74DD4" w:rsidP="00D74DD4">
            <w:pPr>
              <w:spacing w:after="40"/>
              <w:jc w:val="left"/>
              <w:rPr>
                <w:sz w:val="20"/>
                <w:szCs w:val="20"/>
              </w:rPr>
            </w:pPr>
            <w:r w:rsidRPr="00D74DD4">
              <w:rPr>
                <w:b/>
                <w:bCs/>
                <w:sz w:val="20"/>
                <w:szCs w:val="20"/>
              </w:rPr>
              <w:t>Dispensed</w:t>
            </w:r>
          </w:p>
        </w:tc>
        <w:tc>
          <w:tcPr>
            <w:tcW w:w="3716" w:type="dxa"/>
            <w:hideMark/>
          </w:tcPr>
          <w:p w14:paraId="725E78BA"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19.5% dispensed ≥1 fill</w:t>
            </w:r>
          </w:p>
        </w:tc>
        <w:tc>
          <w:tcPr>
            <w:tcW w:w="0" w:type="auto"/>
            <w:hideMark/>
          </w:tcPr>
          <w:p w14:paraId="2D4A62CB"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Pharmacy data</w:t>
            </w:r>
          </w:p>
        </w:tc>
      </w:tr>
    </w:tbl>
    <w:p w14:paraId="7329B681" w14:textId="77777777" w:rsidR="00D74DD4" w:rsidRDefault="00D74DD4" w:rsidP="006C1208">
      <w:pPr>
        <w:spacing w:after="40"/>
        <w:rPr>
          <w:sz w:val="20"/>
          <w:szCs w:val="20"/>
        </w:rPr>
      </w:pPr>
    </w:p>
    <w:p w14:paraId="019B7800" w14:textId="77777777" w:rsidR="00D74DD4" w:rsidRPr="006C1208" w:rsidRDefault="00D74DD4" w:rsidP="006C1208">
      <w:pPr>
        <w:spacing w:after="40"/>
        <w:rPr>
          <w:sz w:val="20"/>
          <w:szCs w:val="20"/>
        </w:rPr>
      </w:pPr>
    </w:p>
    <w:p w14:paraId="3CF822C0" w14:textId="05B5E667" w:rsidR="005750AC" w:rsidRDefault="005750AC" w:rsidP="005750AC">
      <w:pPr>
        <w:pStyle w:val="Heading2"/>
      </w:pPr>
      <w:r>
        <w:t xml:space="preserve">DOXY effectiveness </w:t>
      </w:r>
    </w:p>
    <w:p w14:paraId="0F7973BD" w14:textId="2BF78236" w:rsidR="005750AC" w:rsidRDefault="005750AC" w:rsidP="005750AC">
      <w:pPr>
        <w:spacing w:after="40"/>
        <w:rPr>
          <w:sz w:val="20"/>
          <w:szCs w:val="20"/>
        </w:rPr>
      </w:pPr>
      <w:r w:rsidRPr="001B1400">
        <w:rPr>
          <w:b/>
          <w:bCs/>
          <w:sz w:val="20"/>
          <w:szCs w:val="20"/>
        </w:rPr>
        <w:t>Efficacy</w:t>
      </w:r>
      <w:r w:rsidRPr="00E30191">
        <w:rPr>
          <w:sz w:val="20"/>
          <w:szCs w:val="20"/>
        </w:rPr>
        <w:t>: Individual-level efficacy from RCTs is 73–87% (RR/HR 0.13–0.27). Real</w:t>
      </w:r>
      <w:r>
        <w:rPr>
          <w:sz w:val="20"/>
          <w:szCs w:val="20"/>
        </w:rPr>
        <w:t>-world KPNC: Population-level 51% decline in SF (Sankaran) and 51% in Philadelphia (Lewis). Gap reflects coverage/uptake.</w:t>
      </w:r>
    </w:p>
    <w:p w14:paraId="010A9EC4" w14:textId="77777777" w:rsidR="005750AC" w:rsidRDefault="005750AC" w:rsidP="005750AC">
      <w:pPr>
        <w:pStyle w:val="Heading2"/>
      </w:pPr>
    </w:p>
    <w:p w14:paraId="609E0488" w14:textId="215E6291" w:rsidR="006C1208" w:rsidRDefault="006C1208" w:rsidP="006C1208">
      <w:pPr>
        <w:pStyle w:val="Heading3"/>
      </w:pPr>
      <w:r>
        <w:t>Molina 2018 (IPERGAY) Lancet Infect Dis</w:t>
      </w:r>
    </w:p>
    <w:p w14:paraId="24C1CD4A" w14:textId="252DED35" w:rsidR="00EC7C1D" w:rsidRPr="006C1208" w:rsidRDefault="001146E7" w:rsidP="006C1208">
      <w:pPr>
        <w:spacing w:after="40"/>
        <w:rPr>
          <w:sz w:val="20"/>
          <w:szCs w:val="20"/>
        </w:rPr>
      </w:pPr>
      <w:r w:rsidRPr="006C1208">
        <w:rPr>
          <w:sz w:val="20"/>
          <w:szCs w:val="20"/>
        </w:rPr>
        <w:t>The occurrence of a first STI in participants taking PEP was lower than in those not taking PEP </w:t>
      </w:r>
      <w:r w:rsidR="0053306E" w:rsidRPr="006C1208">
        <w:rPr>
          <w:b/>
          <w:bCs/>
          <w:sz w:val="20"/>
          <w:szCs w:val="20"/>
        </w:rPr>
        <w:t>(hazar</w:t>
      </w:r>
      <w:r w:rsidR="006C1208">
        <w:rPr>
          <w:b/>
          <w:bCs/>
          <w:sz w:val="20"/>
          <w:szCs w:val="20"/>
        </w:rPr>
        <w:t>d</w:t>
      </w:r>
      <w:r w:rsidR="0053306E" w:rsidRPr="006C1208">
        <w:rPr>
          <w:b/>
          <w:bCs/>
          <w:sz w:val="20"/>
          <w:szCs w:val="20"/>
        </w:rPr>
        <w:t xml:space="preserve"> ratio HR:</w:t>
      </w:r>
      <w:r w:rsidR="0053306E" w:rsidRPr="006C1208">
        <w:rPr>
          <w:b/>
          <w:bCs/>
          <w:sz w:val="20"/>
          <w:szCs w:val="20"/>
        </w:rPr>
        <w:t xml:space="preserve">(0·27; </w:t>
      </w:r>
      <w:r w:rsidR="0053306E" w:rsidRPr="006C1208">
        <w:rPr>
          <w:b/>
          <w:bCs/>
          <w:sz w:val="20"/>
          <w:szCs w:val="20"/>
        </w:rPr>
        <w:t xml:space="preserve">CI </w:t>
      </w:r>
      <w:r w:rsidR="0053306E" w:rsidRPr="006C1208">
        <w:rPr>
          <w:b/>
          <w:bCs/>
          <w:sz w:val="20"/>
          <w:szCs w:val="20"/>
        </w:rPr>
        <w:t>0·07–0·98; p=0·047)</w:t>
      </w:r>
      <w:r w:rsidR="00EC7C1D" w:rsidRPr="006C1208">
        <w:rPr>
          <w:b/>
          <w:bCs/>
          <w:sz w:val="20"/>
          <w:szCs w:val="20"/>
        </w:rPr>
        <w:t xml:space="preserve"> </w:t>
      </w:r>
      <w:r w:rsidR="006C1208">
        <w:rPr>
          <w:sz w:val="20"/>
          <w:szCs w:val="20"/>
        </w:rPr>
        <w:t>.</w:t>
      </w:r>
    </w:p>
    <w:p w14:paraId="353458AF" w14:textId="77777777" w:rsidR="006C1208" w:rsidRDefault="006C1208" w:rsidP="006C1208">
      <w:pPr>
        <w:spacing w:after="40"/>
        <w:rPr>
          <w:sz w:val="20"/>
          <w:szCs w:val="20"/>
        </w:rPr>
      </w:pPr>
    </w:p>
    <w:p w14:paraId="0596F64D" w14:textId="1D17CD86" w:rsidR="00EF078B" w:rsidRPr="006C1208" w:rsidRDefault="00EC7C1D" w:rsidP="006C1208">
      <w:pPr>
        <w:spacing w:after="40"/>
        <w:rPr>
          <w:sz w:val="20"/>
          <w:szCs w:val="20"/>
        </w:rPr>
      </w:pPr>
      <w:r w:rsidRPr="006C1208">
        <w:rPr>
          <w:sz w:val="20"/>
          <w:szCs w:val="20"/>
        </w:rPr>
        <w:t>Hazard ratios (HRs) were estimated by use of Cox </w:t>
      </w:r>
      <w:hyperlink r:id="rId9" w:history="1">
        <w:r w:rsidRPr="006C1208">
          <w:rPr>
            <w:sz w:val="20"/>
            <w:szCs w:val="20"/>
          </w:rPr>
          <w:t>proportional hazards models</w:t>
        </w:r>
      </w:hyperlink>
    </w:p>
    <w:p w14:paraId="59266E48" w14:textId="52AC210D" w:rsidR="00EF078B" w:rsidRPr="006C1208" w:rsidRDefault="00EF078B" w:rsidP="006C1208">
      <w:pPr>
        <w:spacing w:after="40"/>
        <w:rPr>
          <w:sz w:val="20"/>
          <w:szCs w:val="20"/>
        </w:rPr>
      </w:pPr>
      <w:r w:rsidRPr="006C1208">
        <w:rPr>
          <w:sz w:val="20"/>
          <w:szCs w:val="20"/>
        </w:rPr>
        <w:t>Cox model specifies the hazard (instantaneous risk) of an event at time t as:</w:t>
      </w:r>
    </w:p>
    <w:p w14:paraId="13C09997" w14:textId="77777777" w:rsidR="00EF078B" w:rsidRPr="006C1208" w:rsidRDefault="00EF078B" w:rsidP="006C1208">
      <w:pPr>
        <w:spacing w:after="40"/>
        <w:jc w:val="center"/>
        <w:rPr>
          <w:sz w:val="20"/>
          <w:szCs w:val="20"/>
        </w:rPr>
      </w:pPr>
      <w:r w:rsidRPr="006C1208">
        <w:rPr>
          <w:sz w:val="20"/>
          <w:szCs w:val="20"/>
        </w:rPr>
        <w:t>h(t | X) = h</w:t>
      </w:r>
      <w:r w:rsidRPr="006C1208">
        <w:rPr>
          <w:rFonts w:ascii="Cambria Math" w:hAnsi="Cambria Math" w:cs="Cambria Math"/>
          <w:sz w:val="20"/>
          <w:szCs w:val="20"/>
        </w:rPr>
        <w:t>₀</w:t>
      </w:r>
      <w:r w:rsidRPr="006C1208">
        <w:rPr>
          <w:sz w:val="20"/>
          <w:szCs w:val="20"/>
        </w:rPr>
        <w:t>(t) × exp(β × X)</w:t>
      </w:r>
    </w:p>
    <w:p w14:paraId="4373E0AC" w14:textId="45693C43" w:rsidR="00115701" w:rsidRPr="006C1208" w:rsidRDefault="00115701" w:rsidP="006C1208">
      <w:pPr>
        <w:spacing w:after="40"/>
        <w:rPr>
          <w:sz w:val="20"/>
          <w:szCs w:val="20"/>
        </w:rPr>
      </w:pPr>
      <w:r w:rsidRPr="006C1208">
        <w:rPr>
          <w:sz w:val="20"/>
          <w:szCs w:val="20"/>
        </w:rPr>
        <w:t>where</w:t>
      </w:r>
    </w:p>
    <w:p w14:paraId="324B1AA8" w14:textId="77777777" w:rsidR="00115701" w:rsidRPr="006C1208" w:rsidRDefault="00115701" w:rsidP="006C1208">
      <w:pPr>
        <w:tabs>
          <w:tab w:val="num" w:pos="720"/>
        </w:tabs>
        <w:spacing w:after="40"/>
        <w:jc w:val="center"/>
        <w:rPr>
          <w:sz w:val="20"/>
          <w:szCs w:val="20"/>
        </w:rPr>
      </w:pPr>
      <w:r w:rsidRPr="006C1208">
        <w:rPr>
          <w:sz w:val="20"/>
          <w:szCs w:val="20"/>
        </w:rPr>
        <w:t>h(t | X) = hazard of STI at time t given treatment X</w:t>
      </w:r>
    </w:p>
    <w:p w14:paraId="064A7C65" w14:textId="77777777" w:rsidR="00115701" w:rsidRPr="006C1208" w:rsidRDefault="00115701" w:rsidP="006C1208">
      <w:pPr>
        <w:pStyle w:val="ListParagraph"/>
        <w:numPr>
          <w:ilvl w:val="0"/>
          <w:numId w:val="10"/>
        </w:numPr>
        <w:tabs>
          <w:tab w:val="num" w:pos="720"/>
        </w:tabs>
        <w:spacing w:after="40"/>
        <w:rPr>
          <w:sz w:val="20"/>
          <w:szCs w:val="20"/>
        </w:rPr>
      </w:pPr>
      <w:r w:rsidRPr="006C1208">
        <w:rPr>
          <w:sz w:val="20"/>
          <w:szCs w:val="20"/>
        </w:rPr>
        <w:t>h</w:t>
      </w:r>
      <w:r w:rsidRPr="006C1208">
        <w:rPr>
          <w:rFonts w:ascii="Cambria Math" w:hAnsi="Cambria Math" w:cs="Cambria Math"/>
          <w:sz w:val="20"/>
          <w:szCs w:val="20"/>
        </w:rPr>
        <w:t>₀</w:t>
      </w:r>
      <w:r w:rsidRPr="006C1208">
        <w:rPr>
          <w:sz w:val="20"/>
          <w:szCs w:val="20"/>
        </w:rPr>
        <w:t>(t) = baseline hazard (left unspecified — the "semi-parametric" part)</w:t>
      </w:r>
    </w:p>
    <w:p w14:paraId="7292EE9A" w14:textId="77777777" w:rsidR="00115701" w:rsidRPr="006C1208" w:rsidRDefault="00115701" w:rsidP="006C1208">
      <w:pPr>
        <w:pStyle w:val="ListParagraph"/>
        <w:numPr>
          <w:ilvl w:val="0"/>
          <w:numId w:val="10"/>
        </w:numPr>
        <w:tabs>
          <w:tab w:val="num" w:pos="720"/>
        </w:tabs>
        <w:spacing w:after="40"/>
        <w:rPr>
          <w:sz w:val="20"/>
          <w:szCs w:val="20"/>
        </w:rPr>
      </w:pPr>
      <w:r w:rsidRPr="006C1208">
        <w:rPr>
          <w:sz w:val="20"/>
          <w:szCs w:val="20"/>
        </w:rPr>
        <w:t>X = treatment indicator (0 = no PEP, 1 = PEP)</w:t>
      </w:r>
    </w:p>
    <w:p w14:paraId="09D887D4" w14:textId="77777777" w:rsidR="00115701" w:rsidRPr="006C1208" w:rsidRDefault="00115701" w:rsidP="006C1208">
      <w:pPr>
        <w:pStyle w:val="ListParagraph"/>
        <w:numPr>
          <w:ilvl w:val="0"/>
          <w:numId w:val="10"/>
        </w:numPr>
        <w:tabs>
          <w:tab w:val="num" w:pos="720"/>
        </w:tabs>
        <w:spacing w:after="40"/>
        <w:rPr>
          <w:sz w:val="20"/>
          <w:szCs w:val="20"/>
        </w:rPr>
      </w:pPr>
      <w:r w:rsidRPr="006C1208">
        <w:rPr>
          <w:sz w:val="20"/>
          <w:szCs w:val="20"/>
        </w:rPr>
        <w:t>β = log hazard ratio (the parameter being estimated)</w:t>
      </w:r>
    </w:p>
    <w:p w14:paraId="7960EC12" w14:textId="79EB47E4" w:rsidR="00115701" w:rsidRPr="006C1208" w:rsidRDefault="00115701" w:rsidP="006C1208">
      <w:pPr>
        <w:spacing w:after="40"/>
        <w:rPr>
          <w:sz w:val="20"/>
          <w:szCs w:val="20"/>
        </w:rPr>
      </w:pPr>
      <w:r w:rsidRPr="006C1208">
        <w:rPr>
          <w:sz w:val="20"/>
          <w:szCs w:val="20"/>
        </w:rPr>
        <w:t>Then the hazard Ratio is:</w:t>
      </w:r>
    </w:p>
    <w:p w14:paraId="11A72A92" w14:textId="77777777" w:rsidR="00115701" w:rsidRPr="006C1208" w:rsidRDefault="00115701" w:rsidP="006C1208">
      <w:pPr>
        <w:spacing w:after="40"/>
        <w:jc w:val="center"/>
        <w:rPr>
          <w:sz w:val="20"/>
          <w:szCs w:val="20"/>
        </w:rPr>
      </w:pPr>
      <w:r w:rsidRPr="006C1208">
        <w:rPr>
          <w:sz w:val="20"/>
          <w:szCs w:val="20"/>
        </w:rPr>
        <w:t>HR = h(t | X=1) / h(t | X=0)</w:t>
      </w:r>
    </w:p>
    <w:p w14:paraId="5518D77D" w14:textId="599F0280" w:rsidR="00115701" w:rsidRPr="006C1208" w:rsidRDefault="00115701" w:rsidP="006C1208">
      <w:pPr>
        <w:spacing w:after="40"/>
        <w:jc w:val="center"/>
        <w:rPr>
          <w:sz w:val="20"/>
          <w:szCs w:val="20"/>
        </w:rPr>
      </w:pPr>
      <w:r w:rsidRPr="006C1208">
        <w:rPr>
          <w:sz w:val="20"/>
          <w:szCs w:val="20"/>
        </w:rPr>
        <w:t>= [h</w:t>
      </w:r>
      <w:r w:rsidRPr="006C1208">
        <w:rPr>
          <w:rFonts w:ascii="Cambria Math" w:hAnsi="Cambria Math" w:cs="Cambria Math"/>
          <w:sz w:val="20"/>
          <w:szCs w:val="20"/>
        </w:rPr>
        <w:t>₀</w:t>
      </w:r>
      <w:r w:rsidRPr="006C1208">
        <w:rPr>
          <w:sz w:val="20"/>
          <w:szCs w:val="20"/>
        </w:rPr>
        <w:t>(t) × exp(β × 1)] / [h</w:t>
      </w:r>
      <w:r w:rsidRPr="006C1208">
        <w:rPr>
          <w:rFonts w:ascii="Cambria Math" w:hAnsi="Cambria Math" w:cs="Cambria Math"/>
          <w:sz w:val="20"/>
          <w:szCs w:val="20"/>
        </w:rPr>
        <w:t>₀</w:t>
      </w:r>
      <w:r w:rsidRPr="006C1208">
        <w:rPr>
          <w:sz w:val="20"/>
          <w:szCs w:val="20"/>
        </w:rPr>
        <w:t>(t) × exp(β × 0)]</w:t>
      </w:r>
    </w:p>
    <w:p w14:paraId="60AA2ECF" w14:textId="442FC171" w:rsidR="00115701" w:rsidRPr="006C1208" w:rsidRDefault="00115701" w:rsidP="006C1208">
      <w:pPr>
        <w:spacing w:after="40"/>
        <w:jc w:val="center"/>
        <w:rPr>
          <w:sz w:val="20"/>
          <w:szCs w:val="20"/>
        </w:rPr>
      </w:pPr>
      <w:r w:rsidRPr="006C1208">
        <w:rPr>
          <w:sz w:val="20"/>
          <w:szCs w:val="20"/>
        </w:rPr>
        <w:t>= exp(β)</w:t>
      </w:r>
    </w:p>
    <w:p w14:paraId="2AFB922C" w14:textId="77777777" w:rsidR="006C1208" w:rsidRPr="006C1208" w:rsidRDefault="006C1208" w:rsidP="006C1208">
      <w:pPr>
        <w:spacing w:after="40"/>
        <w:rPr>
          <w:sz w:val="20"/>
          <w:szCs w:val="20"/>
        </w:rPr>
      </w:pPr>
    </w:p>
    <w:p w14:paraId="7A712525" w14:textId="77777777" w:rsidR="006C1208" w:rsidRPr="006C1208" w:rsidRDefault="006C1208" w:rsidP="006C1208">
      <w:pPr>
        <w:tabs>
          <w:tab w:val="num" w:pos="720"/>
        </w:tabs>
        <w:spacing w:after="40"/>
        <w:rPr>
          <w:sz w:val="20"/>
          <w:szCs w:val="20"/>
        </w:rPr>
      </w:pPr>
      <w:r w:rsidRPr="006C1208">
        <w:rPr>
          <w:sz w:val="20"/>
          <w:szCs w:val="20"/>
        </w:rPr>
        <w:t>HR = exp(β̂) where β̂ is estimated via partial likelihood</w:t>
      </w:r>
    </w:p>
    <w:p w14:paraId="61AAE617" w14:textId="77777777" w:rsidR="006C1208" w:rsidRPr="006C1208" w:rsidRDefault="006C1208" w:rsidP="006C1208">
      <w:pPr>
        <w:tabs>
          <w:tab w:val="num" w:pos="720"/>
        </w:tabs>
        <w:spacing w:after="40"/>
        <w:rPr>
          <w:sz w:val="20"/>
          <w:szCs w:val="20"/>
        </w:rPr>
      </w:pPr>
      <w:r w:rsidRPr="006C1208">
        <w:rPr>
          <w:sz w:val="20"/>
          <w:szCs w:val="20"/>
        </w:rPr>
        <w:t>HR = 0.27 means the PEP group has 27% the hazard of the non-PEP group (73% reduction)</w:t>
      </w:r>
    </w:p>
    <w:p w14:paraId="43E1DC83" w14:textId="77777777" w:rsidR="006C1208" w:rsidRDefault="006C1208" w:rsidP="006C1208">
      <w:pPr>
        <w:spacing w:after="40"/>
        <w:rPr>
          <w:sz w:val="20"/>
          <w:szCs w:val="20"/>
        </w:rPr>
      </w:pPr>
    </w:p>
    <w:p w14:paraId="0728DFEF" w14:textId="77777777" w:rsidR="00DF03A7" w:rsidRDefault="00DF03A7" w:rsidP="006C1208">
      <w:pPr>
        <w:spacing w:after="40"/>
        <w:rPr>
          <w:sz w:val="20"/>
          <w:szCs w:val="20"/>
        </w:rPr>
      </w:pPr>
    </w:p>
    <w:p w14:paraId="41B0BDB4" w14:textId="77777777" w:rsidR="00087393" w:rsidRDefault="00087393" w:rsidP="00087393">
      <w:pPr>
        <w:pStyle w:val="Heading3"/>
      </w:pPr>
      <w:r w:rsidRPr="00087393">
        <w:t xml:space="preserve">Luetkemeyer 2023/2025 (DoxyPEP) </w:t>
      </w:r>
      <w:r>
        <w:t xml:space="preserve"> </w:t>
      </w:r>
    </w:p>
    <w:p w14:paraId="5E7D0A73" w14:textId="3B422BC8" w:rsidR="00DF03A7" w:rsidRDefault="00087393" w:rsidP="00087393">
      <w:pPr>
        <w:spacing w:after="40"/>
        <w:rPr>
          <w:sz w:val="20"/>
          <w:szCs w:val="20"/>
        </w:rPr>
      </w:pPr>
      <w:r>
        <w:rPr>
          <w:b/>
          <w:bCs/>
          <w:sz w:val="20"/>
          <w:szCs w:val="20"/>
        </w:rPr>
        <w:lastRenderedPageBreak/>
        <w:t xml:space="preserve">RR: </w:t>
      </w:r>
      <w:r w:rsidR="00CC7A1E">
        <w:rPr>
          <w:sz w:val="20"/>
          <w:szCs w:val="20"/>
        </w:rPr>
        <w:t>E</w:t>
      </w:r>
    </w:p>
    <w:p w14:paraId="37A6ED7A" w14:textId="77777777" w:rsidR="00071115" w:rsidRDefault="00071115" w:rsidP="00087393">
      <w:pPr>
        <w:spacing w:after="40"/>
        <w:rPr>
          <w:sz w:val="20"/>
          <w:szCs w:val="20"/>
        </w:rPr>
      </w:pPr>
    </w:p>
    <w:p w14:paraId="091CDC9C" w14:textId="77777777" w:rsidR="00071115" w:rsidRDefault="00071115" w:rsidP="00071115">
      <w:pPr>
        <w:pStyle w:val="Heading3"/>
      </w:pPr>
      <w:r w:rsidRPr="00071115">
        <w:t xml:space="preserve">Molina 2024 (DOXYVAC) </w:t>
      </w:r>
    </w:p>
    <w:p w14:paraId="39EE0338" w14:textId="72AA9A45" w:rsidR="00071115" w:rsidRPr="00E61994" w:rsidRDefault="00071115" w:rsidP="00071115">
      <w:pPr>
        <w:spacing w:after="40"/>
        <w:rPr>
          <w:b/>
          <w:bCs/>
          <w:sz w:val="20"/>
          <w:szCs w:val="20"/>
        </w:rPr>
      </w:pPr>
      <w:r>
        <w:rPr>
          <w:sz w:val="20"/>
          <w:szCs w:val="20"/>
        </w:rPr>
        <w:t>Adjusted HR</w:t>
      </w:r>
      <w:r w:rsidR="00E61994">
        <w:rPr>
          <w:sz w:val="20"/>
          <w:szCs w:val="20"/>
        </w:rPr>
        <w:t xml:space="preserve"> in the Doxy-PEP group compared to no-PEP: </w:t>
      </w:r>
      <w:r w:rsidRPr="00E61994">
        <w:rPr>
          <w:b/>
          <w:bCs/>
          <w:sz w:val="20"/>
          <w:szCs w:val="20"/>
        </w:rPr>
        <w:t>0·21 (0·11–0·41)</w:t>
      </w:r>
    </w:p>
    <w:p w14:paraId="53106CC0" w14:textId="77777777" w:rsidR="00071115" w:rsidRPr="006C1208" w:rsidRDefault="00071115" w:rsidP="00087393">
      <w:pPr>
        <w:spacing w:after="40"/>
        <w:rPr>
          <w:sz w:val="20"/>
          <w:szCs w:val="20"/>
        </w:rPr>
      </w:pPr>
    </w:p>
    <w:p w14:paraId="0D495E91" w14:textId="0943B582" w:rsidR="00E30191" w:rsidRDefault="00E30191" w:rsidP="006C1208">
      <w:pPr>
        <w:spacing w:after="40"/>
        <w:rPr>
          <w:sz w:val="20"/>
          <w:szCs w:val="20"/>
        </w:rPr>
      </w:pPr>
      <w:r w:rsidRPr="006C1208">
        <w:rPr>
          <w:sz w:val="20"/>
          <w:szCs w:val="20"/>
        </w:rPr>
        <w:br w:type="page"/>
      </w:r>
    </w:p>
    <w:p w14:paraId="5205EA72" w14:textId="77777777" w:rsidR="00071115" w:rsidRDefault="00071115" w:rsidP="006C1208">
      <w:pPr>
        <w:spacing w:after="40"/>
        <w:rPr>
          <w:sz w:val="20"/>
          <w:szCs w:val="20"/>
        </w:rPr>
      </w:pPr>
    </w:p>
    <w:p w14:paraId="40D9FC28" w14:textId="77777777" w:rsidR="00071115" w:rsidRDefault="00071115" w:rsidP="006C1208">
      <w:pPr>
        <w:spacing w:after="40"/>
        <w:rPr>
          <w:sz w:val="20"/>
          <w:szCs w:val="20"/>
        </w:rPr>
      </w:pPr>
    </w:p>
    <w:p w14:paraId="2DA093B3" w14:textId="77777777" w:rsidR="00DF03A7" w:rsidRDefault="00DF03A7" w:rsidP="006C1208">
      <w:pPr>
        <w:spacing w:after="40"/>
        <w:rPr>
          <w:sz w:val="20"/>
          <w:szCs w:val="20"/>
        </w:rPr>
      </w:pPr>
    </w:p>
    <w:p w14:paraId="67E546E3" w14:textId="77777777" w:rsidR="00DF03A7" w:rsidRPr="006C1208" w:rsidRDefault="00DF03A7" w:rsidP="006C1208">
      <w:pPr>
        <w:spacing w:after="40"/>
        <w:rPr>
          <w:sz w:val="20"/>
          <w:szCs w:val="20"/>
        </w:rPr>
      </w:pPr>
    </w:p>
    <w:p w14:paraId="2E81507E" w14:textId="3C7FC8DB" w:rsidR="00DD2EED" w:rsidRDefault="00DD2EED" w:rsidP="00DD2EED">
      <w:pPr>
        <w:pStyle w:val="Heading1"/>
        <w:spacing w:after="120"/>
      </w:pPr>
      <w:r>
        <w:t>References</w:t>
      </w:r>
    </w:p>
    <w:p w14:paraId="31F9C9BE" w14:textId="77777777" w:rsidR="00DD2EED" w:rsidRDefault="00DD2EED" w:rsidP="00DD2EED">
      <w:pPr>
        <w:spacing w:after="70"/>
        <w:ind w:left="400" w:hanging="400"/>
      </w:pPr>
      <w:r>
        <w:rPr>
          <w:b/>
          <w:bCs/>
          <w:sz w:val="17"/>
          <w:szCs w:val="17"/>
        </w:rPr>
        <w:t xml:space="preserve">1. </w:t>
      </w:r>
      <w:r>
        <w:rPr>
          <w:sz w:val="17"/>
          <w:szCs w:val="17"/>
        </w:rPr>
        <w:t>Traeger MW, Leyden WA, Volk JE, et al. Doxycycline postexposure prophylaxis and bacterial STIs among individuals using HIV PrEP. JAMA Intern Med. 2025;185(3):273–281.</w:t>
      </w:r>
    </w:p>
    <w:p w14:paraId="56BD3AF0" w14:textId="77777777" w:rsidR="00DD2EED" w:rsidRDefault="00DD2EED" w:rsidP="00DD2EED">
      <w:pPr>
        <w:spacing w:after="70"/>
        <w:ind w:left="400" w:hanging="400"/>
      </w:pPr>
      <w:r>
        <w:rPr>
          <w:b/>
          <w:bCs/>
          <w:sz w:val="17"/>
          <w:szCs w:val="17"/>
        </w:rPr>
        <w:t xml:space="preserve">2. </w:t>
      </w:r>
      <w:r>
        <w:rPr>
          <w:sz w:val="17"/>
          <w:szCs w:val="17"/>
        </w:rPr>
        <w:t>Sankaran M, Glidden DV, Kohn RP, et al. Doxycycline Postexposure Prophylaxis and Sexually Transmitted Infection Trends. JAMA Intern Med. 2025. CROI 2024, Abstract 127.</w:t>
      </w:r>
    </w:p>
    <w:p w14:paraId="348AFCE1" w14:textId="77777777" w:rsidR="00DD2EED" w:rsidRDefault="00DD2EED" w:rsidP="00DD2EED">
      <w:pPr>
        <w:spacing w:after="70"/>
        <w:ind w:left="400" w:hanging="400"/>
      </w:pPr>
      <w:r>
        <w:rPr>
          <w:b/>
          <w:bCs/>
          <w:sz w:val="17"/>
          <w:szCs w:val="17"/>
        </w:rPr>
        <w:t xml:space="preserve">3. </w:t>
      </w:r>
      <w:r>
        <w:rPr>
          <w:sz w:val="17"/>
          <w:szCs w:val="17"/>
        </w:rPr>
        <w:t>Scott H, Roman J, Spinelli MA, et al. Doxycycline PEP: High uptake and significant decline in STIs after clinical implementation. CROI 2024, Abstract 126.</w:t>
      </w:r>
    </w:p>
    <w:p w14:paraId="53140899" w14:textId="77777777" w:rsidR="00DD2EED" w:rsidRDefault="00DD2EED" w:rsidP="00DD2EED">
      <w:pPr>
        <w:spacing w:after="70"/>
        <w:ind w:left="400" w:hanging="400"/>
      </w:pPr>
      <w:r>
        <w:rPr>
          <w:b/>
          <w:bCs/>
          <w:sz w:val="17"/>
          <w:szCs w:val="17"/>
        </w:rPr>
        <w:t xml:space="preserve">4. </w:t>
      </w:r>
      <w:r>
        <w:rPr>
          <w:sz w:val="17"/>
          <w:szCs w:val="17"/>
        </w:rPr>
        <w:t>Lewis FMT, Cope AB, Clark K, et al. Doxycycline PEP Is Effective and Highly Acceptable in an Urban Public STD Clinic: Philadelphia, 2019–2023. Sex Transm Dis. 2025;52(12):734–738.</w:t>
      </w:r>
    </w:p>
    <w:p w14:paraId="429AACA6" w14:textId="77777777" w:rsidR="00DD2EED" w:rsidRDefault="00DD2EED" w:rsidP="00DD2EED">
      <w:pPr>
        <w:spacing w:after="70"/>
        <w:ind w:left="400" w:hanging="400"/>
      </w:pPr>
      <w:r>
        <w:rPr>
          <w:b/>
          <w:bCs/>
          <w:sz w:val="17"/>
          <w:szCs w:val="17"/>
        </w:rPr>
        <w:t xml:space="preserve">5. </w:t>
      </w:r>
      <w:r>
        <w:rPr>
          <w:sz w:val="17"/>
          <w:szCs w:val="17"/>
        </w:rPr>
        <w:t>Traeger MW, Krakower DS, Mayer KH, Jenness SM, Marcus JL. Use of doxycycline and other antibiotics as bacterial STI prophylaxis in a US sample of primarily GBM. Sex Transm Dis. 2024;51(12).</w:t>
      </w:r>
    </w:p>
    <w:p w14:paraId="42DE38B1" w14:textId="77777777" w:rsidR="00DD2EED" w:rsidRDefault="00DD2EED" w:rsidP="00DD2EED">
      <w:pPr>
        <w:spacing w:after="70"/>
        <w:ind w:left="400" w:hanging="400"/>
      </w:pPr>
      <w:r>
        <w:rPr>
          <w:b/>
          <w:bCs/>
          <w:sz w:val="17"/>
          <w:szCs w:val="17"/>
        </w:rPr>
        <w:t xml:space="preserve">6. </w:t>
      </w:r>
      <w:r>
        <w:rPr>
          <w:sz w:val="17"/>
          <w:szCs w:val="17"/>
        </w:rPr>
        <w:t>Martinson T, Heise MJ, et al. Interest and disparities in awareness and uptake of doxyPEP among US MSM with HIV. AIDS. 2025;39(9):1191–1196.</w:t>
      </w:r>
    </w:p>
    <w:p w14:paraId="6231B6B7" w14:textId="77777777" w:rsidR="00DD2EED" w:rsidRDefault="00DD2EED" w:rsidP="00DD2EED">
      <w:pPr>
        <w:spacing w:after="70"/>
        <w:ind w:left="400" w:hanging="400"/>
      </w:pPr>
      <w:r>
        <w:rPr>
          <w:b/>
          <w:bCs/>
          <w:sz w:val="17"/>
          <w:szCs w:val="17"/>
        </w:rPr>
        <w:t xml:space="preserve">7. </w:t>
      </w:r>
      <w:r>
        <w:rPr>
          <w:sz w:val="17"/>
          <w:szCs w:val="17"/>
        </w:rPr>
        <w:t>Perkins R (Moscatelli AAM, et al.). Rapid Diffusion of Awareness and Uptake of Doxy-PEP among MSM in San Francisco. AIDS Behav. 2025;29:2043–2053.</w:t>
      </w:r>
    </w:p>
    <w:p w14:paraId="283B7135" w14:textId="77777777" w:rsidR="00DD2EED" w:rsidRDefault="00DD2EED" w:rsidP="00DD2EED">
      <w:pPr>
        <w:spacing w:after="70"/>
        <w:ind w:left="400" w:hanging="400"/>
      </w:pPr>
      <w:r>
        <w:rPr>
          <w:b/>
          <w:bCs/>
          <w:sz w:val="17"/>
          <w:szCs w:val="17"/>
        </w:rPr>
        <w:t xml:space="preserve">8. </w:t>
      </w:r>
      <w:r>
        <w:rPr>
          <w:sz w:val="17"/>
          <w:szCs w:val="17"/>
        </w:rPr>
        <w:t>Castel AD, et al. DoxyPEP prescribing among PLWH in Washington, DC. CROI 2025, Abstract 164.</w:t>
      </w:r>
    </w:p>
    <w:p w14:paraId="0B72D938" w14:textId="77777777" w:rsidR="00DD2EED" w:rsidRDefault="00DD2EED" w:rsidP="00DD2EED">
      <w:pPr>
        <w:spacing w:after="70"/>
        <w:ind w:left="400" w:hanging="400"/>
      </w:pPr>
      <w:r>
        <w:rPr>
          <w:b/>
          <w:bCs/>
          <w:sz w:val="17"/>
          <w:szCs w:val="17"/>
        </w:rPr>
        <w:t xml:space="preserve">9. </w:t>
      </w:r>
      <w:r>
        <w:rPr>
          <w:sz w:val="17"/>
          <w:szCs w:val="17"/>
        </w:rPr>
        <w:t>Osmundson J, et al. Gap in Doxy PEP Prescription for PLWH vs PrEP Users. Open Forum Infect Dis. 2024;11(Suppl 2). Abstract P-1383.</w:t>
      </w:r>
    </w:p>
    <w:p w14:paraId="50040073" w14:textId="77777777" w:rsidR="00DD2EED" w:rsidRDefault="00DD2EED" w:rsidP="00DD2EED">
      <w:pPr>
        <w:spacing w:after="70"/>
        <w:ind w:left="400" w:hanging="400"/>
      </w:pPr>
      <w:r>
        <w:rPr>
          <w:b/>
          <w:bCs/>
          <w:sz w:val="17"/>
          <w:szCs w:val="17"/>
        </w:rPr>
        <w:t xml:space="preserve">10. </w:t>
      </w:r>
      <w:r>
        <w:rPr>
          <w:sz w:val="17"/>
          <w:szCs w:val="17"/>
        </w:rPr>
        <w:t>Molina JM, Charreau I, Chidiac C, et al. Post-exposure prophylaxis with doxycycline to prevent STIs in MSM: ANRS IPERGAY substudy. Lancet Infect Dis. 2018;18(3):308–317. PMID: 29229440.</w:t>
      </w:r>
    </w:p>
    <w:p w14:paraId="44922414" w14:textId="77777777" w:rsidR="00DD2EED" w:rsidRDefault="00DD2EED" w:rsidP="00DD2EED">
      <w:pPr>
        <w:spacing w:after="70"/>
        <w:ind w:left="400" w:hanging="400"/>
      </w:pPr>
      <w:r>
        <w:rPr>
          <w:b/>
          <w:bCs/>
          <w:sz w:val="17"/>
          <w:szCs w:val="17"/>
        </w:rPr>
        <w:t xml:space="preserve">11. </w:t>
      </w:r>
      <w:r>
        <w:rPr>
          <w:sz w:val="17"/>
          <w:szCs w:val="17"/>
        </w:rPr>
        <w:t>Luetkemeyer AF, Donnell D, Dombrowski JC, et al. Postexposure Doxycycline to Prevent Bacterial STIs. N Engl J Med. 2023;388:1296–1306. Final + OLE: Lancet Infect Dis. 2025;25(8):873–883.</w:t>
      </w:r>
    </w:p>
    <w:p w14:paraId="357EE71D" w14:textId="77777777" w:rsidR="00DD2EED" w:rsidRDefault="00DD2EED" w:rsidP="00DD2EED">
      <w:pPr>
        <w:spacing w:after="70"/>
        <w:ind w:left="400" w:hanging="400"/>
      </w:pPr>
      <w:r>
        <w:rPr>
          <w:b/>
          <w:bCs/>
          <w:sz w:val="17"/>
          <w:szCs w:val="17"/>
        </w:rPr>
        <w:t xml:space="preserve">12. </w:t>
      </w:r>
      <w:r>
        <w:rPr>
          <w:sz w:val="17"/>
          <w:szCs w:val="17"/>
        </w:rPr>
        <w:t>Molina JM, Bercot B, Assoumou L, et al. ANRS 174 DOXYVAC: doxycycline prophylaxis and meningococcal B vaccine to prevent bacterial STIs in France. Lancet Infect Dis. 2024;24(10):1093–1104. PMID: 38797183.</w:t>
      </w:r>
    </w:p>
    <w:p w14:paraId="5DFEA215" w14:textId="3C343305" w:rsidR="00DD2EED" w:rsidRDefault="005B735D">
      <w:r>
        <w:br w:type="page"/>
      </w:r>
    </w:p>
    <w:p w14:paraId="5600B75B" w14:textId="77777777" w:rsidR="00DD2EED" w:rsidRDefault="00DD2EED">
      <w:pPr>
        <w:sectPr w:rsidR="00DD2EED" w:rsidSect="00E30191">
          <w:pgSz w:w="12226" w:h="15840"/>
          <w:pgMar w:top="720" w:right="720" w:bottom="720" w:left="720" w:header="706" w:footer="706" w:gutter="0"/>
          <w:cols w:space="720"/>
          <w:docGrid w:linePitch="360"/>
        </w:sectPr>
      </w:pPr>
    </w:p>
    <w:p w14:paraId="42C5E021" w14:textId="77777777" w:rsidR="005B735D" w:rsidRDefault="005B735D" w:rsidP="00E11EFF">
      <w:pPr>
        <w:rPr>
          <w:b/>
          <w:bCs/>
          <w:color w:val="1F3864"/>
          <w:sz w:val="32"/>
          <w:szCs w:val="32"/>
        </w:rPr>
      </w:pPr>
    </w:p>
    <w:sectPr w:rsidR="005B735D" w:rsidSect="00E30191">
      <w:pgSz w:w="12226" w:h="15840"/>
      <w:pgMar w:top="720" w:right="720" w:bottom="720" w:left="72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astu Kasaie" w:date="2026-04-17T13:46:00Z" w:initials="PK">
    <w:p w14:paraId="059EB311" w14:textId="77777777" w:rsidR="00827EA3" w:rsidRDefault="00827EA3" w:rsidP="00827EA3">
      <w:r>
        <w:rPr>
          <w:rStyle w:val="CommentReference"/>
        </w:rPr>
        <w:annotationRef/>
      </w:r>
      <w:r>
        <w:rPr>
          <w:sz w:val="20"/>
          <w:szCs w:val="20"/>
        </w:rPr>
        <w:t>this part im not 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9EB3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30D49B" w16cex:dateUtc="2026-04-17T1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9EB311" w16cid:durableId="2330D4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0585"/>
    <w:multiLevelType w:val="multilevel"/>
    <w:tmpl w:val="D792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C5C64"/>
    <w:multiLevelType w:val="hybridMultilevel"/>
    <w:tmpl w:val="56266762"/>
    <w:lvl w:ilvl="0" w:tplc="9006DF16">
      <w:start w:val="1"/>
      <w:numFmt w:val="bullet"/>
      <w:lvlText w:val="●"/>
      <w:lvlJc w:val="left"/>
      <w:pPr>
        <w:ind w:left="720" w:hanging="360"/>
      </w:pPr>
    </w:lvl>
    <w:lvl w:ilvl="1" w:tplc="121C1D94">
      <w:start w:val="1"/>
      <w:numFmt w:val="bullet"/>
      <w:lvlText w:val="○"/>
      <w:lvlJc w:val="left"/>
      <w:pPr>
        <w:ind w:left="1440" w:hanging="360"/>
      </w:pPr>
    </w:lvl>
    <w:lvl w:ilvl="2" w:tplc="FA2C094C">
      <w:start w:val="1"/>
      <w:numFmt w:val="bullet"/>
      <w:lvlText w:val="■"/>
      <w:lvlJc w:val="left"/>
      <w:pPr>
        <w:ind w:left="2160" w:hanging="360"/>
      </w:pPr>
    </w:lvl>
    <w:lvl w:ilvl="3" w:tplc="18549E8C">
      <w:start w:val="1"/>
      <w:numFmt w:val="bullet"/>
      <w:lvlText w:val="●"/>
      <w:lvlJc w:val="left"/>
      <w:pPr>
        <w:ind w:left="2880" w:hanging="360"/>
      </w:pPr>
    </w:lvl>
    <w:lvl w:ilvl="4" w:tplc="FBC208B6">
      <w:start w:val="1"/>
      <w:numFmt w:val="bullet"/>
      <w:lvlText w:val="○"/>
      <w:lvlJc w:val="left"/>
      <w:pPr>
        <w:ind w:left="3600" w:hanging="360"/>
      </w:pPr>
    </w:lvl>
    <w:lvl w:ilvl="5" w:tplc="A21471A8">
      <w:start w:val="1"/>
      <w:numFmt w:val="bullet"/>
      <w:lvlText w:val="■"/>
      <w:lvlJc w:val="left"/>
      <w:pPr>
        <w:ind w:left="4320" w:hanging="360"/>
      </w:pPr>
    </w:lvl>
    <w:lvl w:ilvl="6" w:tplc="BA9C6752">
      <w:start w:val="1"/>
      <w:numFmt w:val="bullet"/>
      <w:lvlText w:val="●"/>
      <w:lvlJc w:val="left"/>
      <w:pPr>
        <w:ind w:left="5040" w:hanging="360"/>
      </w:pPr>
    </w:lvl>
    <w:lvl w:ilvl="7" w:tplc="3ADC82CA">
      <w:start w:val="1"/>
      <w:numFmt w:val="bullet"/>
      <w:lvlText w:val="●"/>
      <w:lvlJc w:val="left"/>
      <w:pPr>
        <w:ind w:left="5760" w:hanging="360"/>
      </w:pPr>
    </w:lvl>
    <w:lvl w:ilvl="8" w:tplc="1AF6D9C8">
      <w:start w:val="1"/>
      <w:numFmt w:val="bullet"/>
      <w:lvlText w:val="●"/>
      <w:lvlJc w:val="left"/>
      <w:pPr>
        <w:ind w:left="6480" w:hanging="360"/>
      </w:pPr>
    </w:lvl>
  </w:abstractNum>
  <w:abstractNum w:abstractNumId="2" w15:restartNumberingAfterBreak="0">
    <w:nsid w:val="3C054E9C"/>
    <w:multiLevelType w:val="hybridMultilevel"/>
    <w:tmpl w:val="640225F6"/>
    <w:lvl w:ilvl="0" w:tplc="0E98245C">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4513C5"/>
    <w:multiLevelType w:val="hybridMultilevel"/>
    <w:tmpl w:val="52C49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F4684C"/>
    <w:multiLevelType w:val="multilevel"/>
    <w:tmpl w:val="00B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974A7"/>
    <w:multiLevelType w:val="hybridMultilevel"/>
    <w:tmpl w:val="DCFC2FB0"/>
    <w:lvl w:ilvl="0" w:tplc="0E98245C">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9C5901"/>
    <w:multiLevelType w:val="multilevel"/>
    <w:tmpl w:val="8E02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B67D6"/>
    <w:multiLevelType w:val="hybridMultilevel"/>
    <w:tmpl w:val="98987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904FD8"/>
    <w:multiLevelType w:val="multilevel"/>
    <w:tmpl w:val="8B1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11222"/>
    <w:multiLevelType w:val="hybridMultilevel"/>
    <w:tmpl w:val="B4D6E8CC"/>
    <w:lvl w:ilvl="0" w:tplc="BC823612">
      <w:start w:val="2"/>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034712">
    <w:abstractNumId w:val="1"/>
    <w:lvlOverride w:ilvl="0">
      <w:startOverride w:val="1"/>
    </w:lvlOverride>
  </w:num>
  <w:num w:numId="2" w16cid:durableId="47346524">
    <w:abstractNumId w:val="7"/>
  </w:num>
  <w:num w:numId="3" w16cid:durableId="2113278194">
    <w:abstractNumId w:val="4"/>
  </w:num>
  <w:num w:numId="4" w16cid:durableId="126241281">
    <w:abstractNumId w:val="3"/>
  </w:num>
  <w:num w:numId="5" w16cid:durableId="928346368">
    <w:abstractNumId w:val="8"/>
  </w:num>
  <w:num w:numId="6" w16cid:durableId="1154419033">
    <w:abstractNumId w:val="9"/>
  </w:num>
  <w:num w:numId="7" w16cid:durableId="891040217">
    <w:abstractNumId w:val="2"/>
  </w:num>
  <w:num w:numId="8" w16cid:durableId="1610501075">
    <w:abstractNumId w:val="0"/>
  </w:num>
  <w:num w:numId="9" w16cid:durableId="1458180332">
    <w:abstractNumId w:val="6"/>
  </w:num>
  <w:num w:numId="10" w16cid:durableId="80092766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0BB"/>
    <w:rsid w:val="00071115"/>
    <w:rsid w:val="00087393"/>
    <w:rsid w:val="000877E3"/>
    <w:rsid w:val="001146E7"/>
    <w:rsid w:val="00115701"/>
    <w:rsid w:val="0015092C"/>
    <w:rsid w:val="0016702A"/>
    <w:rsid w:val="001B1400"/>
    <w:rsid w:val="001F72C8"/>
    <w:rsid w:val="00276DED"/>
    <w:rsid w:val="002B6974"/>
    <w:rsid w:val="002D00EC"/>
    <w:rsid w:val="003037C6"/>
    <w:rsid w:val="003048F4"/>
    <w:rsid w:val="00373BCF"/>
    <w:rsid w:val="00381E84"/>
    <w:rsid w:val="00391BF8"/>
    <w:rsid w:val="003E7B38"/>
    <w:rsid w:val="004A1CD4"/>
    <w:rsid w:val="004A6088"/>
    <w:rsid w:val="004D5D26"/>
    <w:rsid w:val="004F105F"/>
    <w:rsid w:val="0053306E"/>
    <w:rsid w:val="00547ED8"/>
    <w:rsid w:val="005750AC"/>
    <w:rsid w:val="00584A78"/>
    <w:rsid w:val="005B735D"/>
    <w:rsid w:val="005C64BB"/>
    <w:rsid w:val="00635C58"/>
    <w:rsid w:val="006C1208"/>
    <w:rsid w:val="00720645"/>
    <w:rsid w:val="00731380"/>
    <w:rsid w:val="00822889"/>
    <w:rsid w:val="00827EA3"/>
    <w:rsid w:val="009279CC"/>
    <w:rsid w:val="009A2406"/>
    <w:rsid w:val="009B5235"/>
    <w:rsid w:val="00A35D75"/>
    <w:rsid w:val="00A72240"/>
    <w:rsid w:val="00AA0354"/>
    <w:rsid w:val="00AB20E5"/>
    <w:rsid w:val="00AD44AB"/>
    <w:rsid w:val="00B03546"/>
    <w:rsid w:val="00B35D4A"/>
    <w:rsid w:val="00BE0F5C"/>
    <w:rsid w:val="00BE6812"/>
    <w:rsid w:val="00C150BB"/>
    <w:rsid w:val="00CC7A1E"/>
    <w:rsid w:val="00D74DD4"/>
    <w:rsid w:val="00D948D7"/>
    <w:rsid w:val="00DD2EED"/>
    <w:rsid w:val="00DF03A7"/>
    <w:rsid w:val="00E06A2A"/>
    <w:rsid w:val="00E11EFF"/>
    <w:rsid w:val="00E30191"/>
    <w:rsid w:val="00E4266A"/>
    <w:rsid w:val="00E61994"/>
    <w:rsid w:val="00EC7C1D"/>
    <w:rsid w:val="00EF078B"/>
    <w:rsid w:val="00FA7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2659B"/>
  <w15:docId w15:val="{B5E147CC-1ABE-DA41-835F-15DF697B0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115"/>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pple-converted-space">
    <w:name w:val="apple-converted-space"/>
    <w:basedOn w:val="DefaultParagraphFont"/>
    <w:rsid w:val="004D5D26"/>
  </w:style>
  <w:style w:type="character" w:styleId="CommentReference">
    <w:name w:val="annotation reference"/>
    <w:basedOn w:val="DefaultParagraphFont"/>
    <w:uiPriority w:val="99"/>
    <w:semiHidden/>
    <w:unhideWhenUsed/>
    <w:rsid w:val="00827EA3"/>
    <w:rPr>
      <w:sz w:val="16"/>
      <w:szCs w:val="16"/>
    </w:rPr>
  </w:style>
  <w:style w:type="paragraph" w:styleId="CommentText">
    <w:name w:val="annotation text"/>
    <w:basedOn w:val="Normal"/>
    <w:link w:val="CommentTextChar"/>
    <w:uiPriority w:val="99"/>
    <w:semiHidden/>
    <w:unhideWhenUsed/>
    <w:rsid w:val="00827EA3"/>
    <w:rPr>
      <w:sz w:val="20"/>
      <w:szCs w:val="20"/>
    </w:rPr>
  </w:style>
  <w:style w:type="character" w:customStyle="1" w:styleId="CommentTextChar">
    <w:name w:val="Comment Text Char"/>
    <w:basedOn w:val="DefaultParagraphFont"/>
    <w:link w:val="CommentText"/>
    <w:uiPriority w:val="99"/>
    <w:semiHidden/>
    <w:rsid w:val="00827EA3"/>
    <w:rPr>
      <w:sz w:val="20"/>
      <w:szCs w:val="20"/>
    </w:rPr>
  </w:style>
  <w:style w:type="paragraph" w:styleId="CommentSubject">
    <w:name w:val="annotation subject"/>
    <w:basedOn w:val="CommentText"/>
    <w:next w:val="CommentText"/>
    <w:link w:val="CommentSubjectChar"/>
    <w:uiPriority w:val="99"/>
    <w:semiHidden/>
    <w:unhideWhenUsed/>
    <w:rsid w:val="00827EA3"/>
    <w:rPr>
      <w:b/>
      <w:bCs/>
    </w:rPr>
  </w:style>
  <w:style w:type="character" w:customStyle="1" w:styleId="CommentSubjectChar">
    <w:name w:val="Comment Subject Char"/>
    <w:basedOn w:val="CommentTextChar"/>
    <w:link w:val="CommentSubject"/>
    <w:uiPriority w:val="99"/>
    <w:semiHidden/>
    <w:rsid w:val="00827EA3"/>
    <w:rPr>
      <w:b/>
      <w:bCs/>
      <w:sz w:val="20"/>
      <w:szCs w:val="20"/>
    </w:rPr>
  </w:style>
  <w:style w:type="table" w:styleId="PlainTable5">
    <w:name w:val="Plain Table 5"/>
    <w:basedOn w:val="TableNormal"/>
    <w:uiPriority w:val="45"/>
    <w:rsid w:val="00D74DD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4D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topics/medicine-and-dentistry/proportional-hazards-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9</Pages>
  <Words>1950</Words>
  <Characters>12155</Characters>
  <Application>Microsoft Office Word</Application>
  <DocSecurity>0</DocSecurity>
  <Lines>270</Lines>
  <Paragraphs>102</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Parastu Kasaie</cp:lastModifiedBy>
  <cp:revision>59</cp:revision>
  <dcterms:created xsi:type="dcterms:W3CDTF">2026-04-16T14:49:00Z</dcterms:created>
  <dcterms:modified xsi:type="dcterms:W3CDTF">2026-04-21T16:15:00Z</dcterms:modified>
</cp:coreProperties>
</file>