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rsidP="009411E3">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0E8444E4" w:rsidR="00240B50" w:rsidRPr="0016531B" w:rsidRDefault="005B0B2C"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Population Proportion (Rate) of New Syphilis Diagnoses in 1970</w:t>
            </w:r>
          </w:p>
        </w:tc>
        <w:tc>
          <w:tcPr>
            <w:tcW w:w="3702" w:type="dxa"/>
          </w:tcPr>
          <w:p w14:paraId="2278820C" w14:textId="008A0FE3"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Sample values for Baltimore City</w:t>
            </w:r>
          </w:p>
          <w:p w14:paraId="73501F93" w14:textId="593A0902" w:rsidR="003E5820"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&amp; Secondary = 5.8e-05</w:t>
            </w:r>
          </w:p>
          <w:p w14:paraId="148ECDC4" w14:textId="3B38AE2F" w:rsidR="005B0B2C"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3659A7">
              <w:rPr>
                <w:rFonts w:asciiTheme="minorBidi" w:hAnsiTheme="minorBidi" w:cstheme="minorBidi"/>
                <w:color w:val="000000" w:themeColor="text1"/>
                <w:sz w:val="18"/>
                <w:szCs w:val="18"/>
              </w:rPr>
              <w:t>8.3e-05</w:t>
            </w:r>
          </w:p>
          <w:p w14:paraId="758418E0" w14:textId="71559092" w:rsidR="005B0B2C" w:rsidRPr="001C45E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 Unknown = 6.3e-05</w:t>
            </w:r>
          </w:p>
        </w:tc>
        <w:tc>
          <w:tcPr>
            <w:tcW w:w="3117" w:type="dxa"/>
          </w:tcPr>
          <w:p w14:paraId="13E2B26C" w14:textId="77777777" w:rsidR="00240B50"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p w14:paraId="67BB495A" w14:textId="16C330F6" w:rsidR="005B0B2C" w:rsidRPr="001C45E7" w:rsidRDefault="005B0B2C"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Estimated based on first year</w:t>
            </w:r>
            <w:r w:rsidR="003659A7">
              <w:rPr>
                <w:rFonts w:asciiTheme="minorBidi" w:hAnsiTheme="minorBidi" w:cstheme="minorBidi"/>
                <w:i/>
                <w:iCs/>
                <w:color w:val="000000" w:themeColor="text1"/>
                <w:sz w:val="18"/>
                <w:szCs w:val="18"/>
              </w:rPr>
              <w:t xml:space="preserve"> of</w:t>
            </w:r>
            <w:r>
              <w:rPr>
                <w:rFonts w:asciiTheme="minorBidi" w:hAnsiTheme="minorBidi" w:cstheme="minorBidi"/>
                <w:i/>
                <w:iCs/>
                <w:color w:val="000000" w:themeColor="text1"/>
                <w:sz w:val="18"/>
                <w:szCs w:val="18"/>
              </w:rPr>
              <w:t xml:space="preserve"> data reporting (1993 in Baltimore city)  </w:t>
            </w:r>
          </w:p>
        </w:tc>
      </w:tr>
      <w:tr w:rsidR="003659A7" w:rsidRPr="001C45E7" w14:paraId="7FD45DA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871E69E" w14:textId="66EB64BA" w:rsidR="003659A7" w:rsidRDefault="003659A7"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Proportion of PS-stage diagnoses that fall into primary stage</w:t>
            </w:r>
          </w:p>
        </w:tc>
        <w:tc>
          <w:tcPr>
            <w:tcW w:w="3702" w:type="dxa"/>
          </w:tcPr>
          <w:p w14:paraId="34A8F3BF" w14:textId="0E40DF48"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25%</w:t>
            </w:r>
          </w:p>
        </w:tc>
        <w:tc>
          <w:tcPr>
            <w:tcW w:w="3117" w:type="dxa"/>
          </w:tcPr>
          <w:p w14:paraId="509BB0A4" w14:textId="46B8E70C"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 xml:space="preserve">Assumed based on duration of primary </w:t>
            </w:r>
            <w:r w:rsidR="00544BC2">
              <w:rPr>
                <w:rFonts w:asciiTheme="minorBidi" w:hAnsiTheme="minorBidi" w:cstheme="minorBidi"/>
                <w:i/>
                <w:iCs/>
                <w:color w:val="000000" w:themeColor="text1"/>
                <w:sz w:val="18"/>
                <w:szCs w:val="18"/>
              </w:rPr>
              <w:t>and</w:t>
            </w:r>
            <w:r>
              <w:rPr>
                <w:rFonts w:asciiTheme="minorBidi" w:hAnsiTheme="minorBidi" w:cstheme="minorBidi"/>
                <w:i/>
                <w:iCs/>
                <w:color w:val="000000" w:themeColor="text1"/>
                <w:sz w:val="18"/>
                <w:szCs w:val="18"/>
              </w:rPr>
              <w:t xml:space="preserve"> secondary stage</w:t>
            </w:r>
            <w:r w:rsidR="00544BC2">
              <w:rPr>
                <w:rFonts w:asciiTheme="minorBidi" w:hAnsiTheme="minorBidi" w:cstheme="minorBidi"/>
                <w:i/>
                <w:iCs/>
                <w:color w:val="000000" w:themeColor="text1"/>
                <w:sz w:val="18"/>
                <w:szCs w:val="18"/>
              </w:rPr>
              <w:t>s</w:t>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6ACE109A"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D685B">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face="superscript"&gt;[2]&lt;/style&gt;&lt;/DisplayText&gt;&lt;record&gt;&lt;rec-number&gt;1277&lt;/rec-number&gt;&lt;foreign-keys&gt;&lt;key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[2]</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C9BF76"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asciiTheme="minorBidi" w:hAnsiTheme="minorBidi" w:cstheme="minorBidi"/>
                <w:i/>
                <w:iCs/>
                <w:color w:val="000000" w:themeColor="text1"/>
                <w:sz w:val="18"/>
                <w:szCs w:val="18"/>
              </w:rPr>
              <w:instrText xml:space="preserve"> ADDIN EN.CITE </w:instrText>
            </w:r>
            <w:r w:rsidR="001D685B">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asciiTheme="minorBidi" w:hAnsiTheme="minorBidi" w:cstheme="minorBidi"/>
                <w:i/>
                <w:iCs/>
                <w:color w:val="000000" w:themeColor="text1"/>
                <w:sz w:val="18"/>
                <w:szCs w:val="18"/>
              </w:rPr>
              <w:instrText xml:space="preserve"> ADDIN EN.CITE.DATA </w:instrText>
            </w:r>
            <w:r w:rsidR="001D685B">
              <w:rPr>
                <w:rFonts w:asciiTheme="minorBidi" w:hAnsiTheme="minorBidi" w:cstheme="minorBidi"/>
                <w:i/>
                <w:iCs/>
                <w:color w:val="000000" w:themeColor="text1"/>
                <w:sz w:val="18"/>
                <w:szCs w:val="18"/>
              </w:rPr>
            </w:r>
            <w:r w:rsidR="001D685B">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[3-7]</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507AF3F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[5, 7, 8]</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77B4F03C"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[8]</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09C51293"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r w:rsidR="00DC7778">
              <w:rPr>
                <w:rFonts w:asciiTheme="minorBidi" w:hAnsiTheme="minorBidi" w:cstheme="minorBidi"/>
                <w:b w:val="0"/>
                <w:bCs w:val="0"/>
                <w:color w:val="000000" w:themeColor="text1"/>
                <w:sz w:val="18"/>
                <w:szCs w:val="18"/>
              </w:rPr>
              <w:t>CNS</w:t>
            </w:r>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r w:rsidRPr="003B7782">
              <w:rPr>
                <w:rFonts w:asciiTheme="minorBidi" w:hAnsiTheme="minorBidi" w:cstheme="minorBidi"/>
                <w:color w:val="000000" w:themeColor="text1"/>
                <w:sz w:val="18"/>
                <w:szCs w:val="18"/>
              </w:rPr>
              <w:t xml:space="preserve">Proportion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43A803C0"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4E31E5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4CBB4F6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[4, 10, 11]</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5E19A883"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t xml:space="preserve">To estimate the 95% confidence interval range, we use the normal </w:t>
            </w:r>
            <w:r w:rsidRPr="00735900">
              <w:rPr>
                <w:rFonts w:asciiTheme="minorBidi" w:hAnsiTheme="minorBidi" w:cstheme="minorBidi"/>
                <w:color w:val="000000" w:themeColor="text1"/>
                <w:sz w:val="18"/>
                <w:szCs w:val="18"/>
              </w:rPr>
              <w:lastRenderedPageBreak/>
              <w:t>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0.00094]</w:t>
            </w:r>
          </w:p>
        </w:tc>
        <w:tc>
          <w:tcPr>
            <w:tcW w:w="3117" w:type="dxa"/>
          </w:tcPr>
          <w:p w14:paraId="0A618127" w14:textId="24E4963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06546033"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w:t>
            </w:r>
            <w:proofErr w:type="spellStart"/>
            <w:r w:rsidRPr="001C45E7">
              <w:rPr>
                <w:rFonts w:asciiTheme="minorBidi" w:hAnsiTheme="minorBidi" w:cstheme="minorBidi"/>
                <w:color w:val="000000" w:themeColor="text1"/>
                <w:sz w:val="18"/>
                <w:szCs w:val="18"/>
              </w:rPr>
              <w:t>sypes</w:t>
            </w:r>
            <w:proofErr w:type="spellEnd"/>
            <w:r w:rsidRPr="001C45E7">
              <w:rPr>
                <w:rFonts w:asciiTheme="minorBidi" w:hAnsiTheme="minorBidi" w:cstheme="minorBidi"/>
                <w:color w:val="000000" w:themeColor="text1"/>
                <w:sz w:val="18"/>
                <w:szCs w:val="18"/>
              </w:rPr>
              <w:t xml:space="preserve">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66C9E8D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face="superscript"&gt;[13]&lt;/style&gt;&lt;/DisplayText&gt;&lt;record&gt;&lt;rec-number&gt;1248&lt;/rec-number&gt;&lt;foreign-keys&gt;&lt;key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r w:rsidRPr="000B113F">
              <w:rPr>
                <w:rFonts w:asciiTheme="minorBidi" w:hAnsiTheme="minorBidi" w:cstheme="minorBidi"/>
                <w:b w:val="0"/>
                <w:bCs w:val="0"/>
                <w:color w:val="000000" w:themeColor="text1"/>
                <w:sz w:val="18"/>
                <w:szCs w:val="18"/>
                <w:highlight w:val="yellow"/>
              </w:rPr>
              <w:t>Transmissibility from Early Latent versus primary/secondary syphilis</w:t>
            </w:r>
          </w:p>
        </w:tc>
        <w:tc>
          <w:tcPr>
            <w:tcW w:w="3702" w:type="dxa"/>
          </w:tcPr>
          <w:p w14:paraId="474DE3C7" w14:textId="293A6ECC"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0.25</w:t>
            </w:r>
          </w:p>
        </w:tc>
        <w:tc>
          <w:tcPr>
            <w:tcW w:w="3117" w:type="dxa"/>
          </w:tcPr>
          <w:p w14:paraId="12281772" w14:textId="495910A2"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718CA71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D685B">
              <w:instrText xml:space="preserve"> ADDIN EN.CITE </w:instrText>
            </w:r>
            <w:r w:rsidR="001D685B">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D685B">
              <w:instrText xml:space="preserve"> ADDIN EN.CITE.DATA </w:instrText>
            </w:r>
            <w:r w:rsidR="001D685B">
              <w:fldChar w:fldCharType="end"/>
            </w:r>
            <w:r>
              <w:fldChar w:fldCharType="separate"/>
            </w:r>
            <w:r w:rsidR="001D685B" w:rsidRPr="001D685B">
              <w:rPr>
                <w:noProof/>
                <w:vertAlign w:val="superscript"/>
              </w:rPr>
              <w:t>[14-17]</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21619729"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25EC03B"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65F6ABE1"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face="superscript"&gt;[19]&lt;/style&gt;&lt;/DisplayText&gt;&lt;record&gt;&lt;rec-number&gt;1262&lt;/rec-number&gt;&lt;foreign-keys&gt;&lt;key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[19]</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76446AD8"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3546D4">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face="superscript"&gt;[20]&lt;/style&gt;&lt;/DisplayText&gt;&lt;record&gt;&lt;rec-number&gt;1256&lt;/rec-number&gt;&lt;foreign-keys&gt;&lt;key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28461AC9"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[21-26]</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lastRenderedPageBreak/>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3EF8237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face="superscript"&gt;[22]&lt;/style&gt;&lt;/DisplayText&gt;&lt;record&gt;&lt;rec-number&gt;1265&lt;/rec-number&gt;&lt;foreign-keys&gt;&lt;key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[22]</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0"/>
            <w:r>
              <w:rPr>
                <w:rFonts w:asciiTheme="minorBidi" w:hAnsiTheme="minorBidi" w:cstheme="minorBidi"/>
                <w:b w:val="0"/>
                <w:bCs w:val="0"/>
                <w:color w:val="000000" w:themeColor="text1"/>
                <w:sz w:val="18"/>
                <w:szCs w:val="18"/>
              </w:rPr>
              <w:t xml:space="preserve">Mortality from untreated tertiary syphilis </w:t>
            </w:r>
            <w:commentRangeEnd w:id="0"/>
            <w:r w:rsidR="00094FB8">
              <w:rPr>
                <w:rStyle w:val="CommentReference"/>
                <w:rFonts w:asciiTheme="minorHAnsi" w:eastAsiaTheme="minorHAnsi" w:hAnsiTheme="minorHAnsi" w:cstheme="minorBidi"/>
                <w:b w:val="0"/>
                <w:bCs w:val="0"/>
              </w:rPr>
              <w:commentReference w:id="0"/>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07C7D8F1" w14:textId="57017C8D" w:rsidR="009411E3" w:rsidRDefault="009411E3" w:rsidP="009411E3">
      <w:pPr>
        <w:pStyle w:val="Heading1"/>
      </w:pPr>
      <w:r>
        <w:t>Estimating the size of initial infection in 19</w:t>
      </w:r>
      <w:r>
        <w:t>70</w:t>
      </w:r>
    </w:p>
    <w:p w14:paraId="1688CC54" w14:textId="77777777" w:rsidR="009411E3" w:rsidRPr="009411E3" w:rsidRDefault="009411E3" w:rsidP="009411E3">
      <w:r w:rsidRPr="009411E3">
        <w:t>Because the true sizes of the infected compartments are unknown, we approximate them using the number of new diagnoses. Multipliers are then applied to tune the true compartment sizes during model calibration.</w:t>
      </w:r>
    </w:p>
    <w:p w14:paraId="191368EB" w14:textId="100DEECB" w:rsidR="009411E3" w:rsidRPr="009411E3" w:rsidRDefault="009411E3" w:rsidP="009411E3">
      <w:r w:rsidRPr="009411E3">
        <w:t>First, we estimate the </w:t>
      </w:r>
      <w:r w:rsidRPr="009411E3">
        <w:rPr>
          <w:b/>
          <w:bCs/>
        </w:rPr>
        <w:t xml:space="preserve">population proportion (rate) of </w:t>
      </w:r>
      <w:r>
        <w:rPr>
          <w:b/>
          <w:bCs/>
        </w:rPr>
        <w:t xml:space="preserve">syphilis </w:t>
      </w:r>
      <w:r w:rsidRPr="009411E3">
        <w:rPr>
          <w:b/>
          <w:bCs/>
        </w:rPr>
        <w:t>diagnosis</w:t>
      </w:r>
      <w:r w:rsidRPr="009411E3">
        <w:t> in 1970, defined as the number of diagnoses divided by the total population size.</w:t>
      </w:r>
    </w:p>
    <w:p w14:paraId="18ACADE7" w14:textId="77777777" w:rsidR="009411E3" w:rsidRPr="009411E3" w:rsidRDefault="009411E3" w:rsidP="009411E3">
      <w:r w:rsidRPr="009411E3">
        <w:lastRenderedPageBreak/>
        <w:t>Since diagnosis data are not available for 1970, we approximate this rate using data from a later year. Specifically, we use the first year in which diagnosis data are reported (1993 for Baltimore; this may differ for other cities).</w:t>
      </w:r>
    </w:p>
    <w:p w14:paraId="7436E177" w14:textId="77777777" w:rsidR="009411E3" w:rsidRPr="009411E3" w:rsidRDefault="009411E3" w:rsidP="009411E3">
      <w:r w:rsidRPr="009411E3">
        <w:t>Finally, we introduce six calibration parameters to scale the infected population sizes—multipliers for primary/secondary (</w:t>
      </w:r>
      <w:proofErr w:type="spellStart"/>
      <w:r w:rsidRPr="009411E3">
        <w:t>ps</w:t>
      </w:r>
      <w:proofErr w:type="spellEnd"/>
      <w:r w:rsidRPr="009411E3">
        <w:t>), early latent (</w:t>
      </w:r>
      <w:proofErr w:type="spellStart"/>
      <w:r w:rsidRPr="009411E3">
        <w:t>el</w:t>
      </w:r>
      <w:proofErr w:type="spellEnd"/>
      <w:r w:rsidRPr="009411E3">
        <w:t>), and late latent (</w:t>
      </w:r>
      <w:proofErr w:type="spellStart"/>
      <w:r w:rsidRPr="009411E3">
        <w:t>lu</w:t>
      </w:r>
      <w:proofErr w:type="spellEnd"/>
      <w:r w:rsidRPr="009411E3">
        <w:t>) stages, stratified by MSM and heterosexual populations.</w:t>
      </w:r>
    </w:p>
    <w:p w14:paraId="1110663E" w14:textId="1EF6D4C8" w:rsidR="009411E3" w:rsidRPr="009411E3" w:rsidRDefault="009411E3" w:rsidP="009411E3">
      <w:r>
        <w:t xml:space="preserve">We assume that 25% of </w:t>
      </w:r>
      <w:r w:rsidR="003568AC">
        <w:t>PS</w:t>
      </w:r>
      <w:r w:rsidR="003568AC">
        <w:t>-stage diagnoses correspond to individuals</w:t>
      </w:r>
      <w:r>
        <w:t xml:space="preserve"> in the</w:t>
      </w:r>
      <w:r w:rsidR="003568AC">
        <w:t xml:space="preserve"> primary</w:t>
      </w:r>
      <w:r>
        <w:t xml:space="preserve"> stage</w:t>
      </w:r>
      <w:r w:rsidR="003568AC">
        <w:t>.</w:t>
      </w:r>
    </w:p>
    <w:p w14:paraId="69D9A0E1" w14:textId="77777777" w:rsidR="009411E3" w:rsidRDefault="009411E3" w:rsidP="009411E3">
      <w:r w:rsidRPr="009411E3">
        <w:t>We assume that all infected cases at baseline are undiagnosed and untreated.</w:t>
      </w:r>
    </w:p>
    <w:p w14:paraId="6C14E963" w14:textId="77777777" w:rsidR="008D0DD3" w:rsidRPr="00783D78" w:rsidRDefault="008D0DD3" w:rsidP="004831E4"/>
    <w:p w14:paraId="26267997" w14:textId="25F7230F" w:rsidR="00131835" w:rsidRPr="009A65AE" w:rsidRDefault="00131835" w:rsidP="009411E3">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79D1E52C"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05289A">
        <w:rPr>
          <w:rFonts w:cstheme="minorBidi"/>
          <w:i/>
          <w:iCs/>
          <w:szCs w:val="20"/>
        </w:rPr>
        <w:fldChar w:fldCharType="separate"/>
      </w:r>
      <w:r w:rsidR="001D685B" w:rsidRPr="001D685B">
        <w:rPr>
          <w:rFonts w:cstheme="minorBidi"/>
          <w:i/>
          <w:iCs/>
          <w:noProof/>
          <w:szCs w:val="20"/>
          <w:vertAlign w:val="superscript"/>
        </w:rPr>
        <w:t>[3, 4]</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 </w:instrText>
      </w:r>
      <w:r w:rsidR="001D685B">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EN.CITE.DATA </w:instrText>
      </w:r>
      <w:r w:rsidR="001D685B">
        <w:rPr>
          <w:rFonts w:cstheme="minorBidi"/>
          <w:szCs w:val="20"/>
        </w:rPr>
      </w:r>
      <w:r w:rsidR="001D685B">
        <w:rPr>
          <w:rFonts w:cstheme="minorBidi"/>
          <w:szCs w:val="20"/>
        </w:rPr>
        <w:fldChar w:fldCharType="end"/>
      </w:r>
      <w:r w:rsidRPr="0005289A">
        <w:rPr>
          <w:rFonts w:cstheme="minorBidi"/>
          <w:szCs w:val="20"/>
        </w:rPr>
        <w:fldChar w:fldCharType="separate"/>
      </w:r>
      <w:r w:rsidR="001D685B" w:rsidRPr="001D685B">
        <w:rPr>
          <w:rFonts w:cstheme="minorBidi"/>
          <w:noProof/>
          <w:szCs w:val="20"/>
          <w:vertAlign w:val="superscript"/>
        </w:rPr>
        <w:t>[5, 6]</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D685B" w:rsidRPr="001D685B">
        <w:rPr>
          <w:rFonts w:cstheme="minorBidi"/>
          <w:noProof/>
          <w:szCs w:val="20"/>
          <w:vertAlign w:val="superscript"/>
        </w:rPr>
        <w:t>[7]</w:t>
      </w:r>
      <w:r w:rsidRPr="0005289A">
        <w:rPr>
          <w:rFonts w:cstheme="minorBidi"/>
          <w:szCs w:val="20"/>
        </w:rPr>
        <w:fldChar w:fldCharType="end"/>
      </w:r>
      <w:r w:rsidR="0015279B" w:rsidRPr="0005289A">
        <w:rPr>
          <w:rFonts w:cstheme="minorBidi"/>
          <w:szCs w:val="20"/>
        </w:rPr>
        <w:t xml:space="preserve">  </w:t>
      </w:r>
    </w:p>
    <w:p w14:paraId="099831A7" w14:textId="62AEC69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15279B">
        <w:rPr>
          <w:rFonts w:cstheme="minorBidi"/>
          <w:i/>
          <w:iCs/>
          <w:szCs w:val="20"/>
        </w:rPr>
        <w:fldChar w:fldCharType="separate"/>
      </w:r>
      <w:r w:rsidR="001D685B" w:rsidRPr="001D685B">
        <w:rPr>
          <w:rFonts w:cstheme="minorBidi"/>
          <w:i/>
          <w:iCs/>
          <w:noProof/>
          <w:szCs w:val="20"/>
          <w:vertAlign w:val="superscript"/>
        </w:rPr>
        <w:t>[3, 4]</w:t>
      </w:r>
      <w:r w:rsidRPr="0015279B">
        <w:rPr>
          <w:rFonts w:cstheme="minorBidi"/>
          <w:i/>
          <w:iCs/>
          <w:szCs w:val="20"/>
        </w:rPr>
        <w:fldChar w:fldCharType="end"/>
      </w:r>
      <w:r>
        <w:rPr>
          <w:rFonts w:cstheme="minorBidi"/>
          <w:i/>
          <w:iCs/>
          <w:szCs w:val="20"/>
        </w:rPr>
        <w:t>- excluded from our model</w:t>
      </w:r>
    </w:p>
    <w:p w14:paraId="2EB597B4" w14:textId="3B2A69CB"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D685B">
        <w:rPr>
          <w:rFonts w:cstheme="minorBidi"/>
          <w:i/>
          <w:iCs/>
          <w:szCs w:val="20"/>
        </w:rPr>
        <w:instrText xml:space="preserve"> ADDIN EN.CITE &lt;EndNote&gt;&lt;Cite&gt;&lt;Author&gt;Mercuri&lt;/Author&gt;&lt;Year&gt;2022&lt;/Year&gt;&lt;RecNum&gt;12&lt;/RecNum&gt;&lt;DisplayText&gt;&lt;style face="superscript"&gt;[3]&lt;/style&gt;&lt;/DisplayText&gt;&lt;record&gt;&lt;rec-number&gt;12&lt;/rec-number&gt;&lt;foreign-keys&gt;&lt;key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D685B" w:rsidRPr="001D685B">
        <w:rPr>
          <w:rFonts w:cstheme="minorBidi"/>
          <w:i/>
          <w:iCs/>
          <w:noProof/>
          <w:szCs w:val="20"/>
          <w:vertAlign w:val="superscript"/>
        </w:rPr>
        <w:t>[3]</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1BD8F1C8"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 </w:instrText>
      </w:r>
      <w:r w:rsidR="001D685B">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EN.CITE.DATA </w:instrText>
      </w:r>
      <w:r w:rsidR="001D685B">
        <w:rPr>
          <w:rFonts w:cstheme="minorBidi"/>
          <w:b/>
          <w:bCs/>
          <w:i/>
          <w:iCs/>
          <w:color w:val="A02B93" w:themeColor="accent5"/>
          <w:szCs w:val="20"/>
          <w:u w:val="single"/>
        </w:rPr>
      </w:r>
      <w:r w:rsidR="001D685B">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fldChar w:fldCharType="separate"/>
      </w:r>
      <w:r w:rsidR="001D685B" w:rsidRPr="001D685B">
        <w:rPr>
          <w:rFonts w:cstheme="minorBidi"/>
          <w:b/>
          <w:bCs/>
          <w:i/>
          <w:iCs/>
          <w:noProof/>
          <w:color w:val="A02B93" w:themeColor="accent5"/>
          <w:szCs w:val="20"/>
          <w:u w:val="single"/>
          <w:vertAlign w:val="superscript"/>
        </w:rPr>
        <w:t>[3-7]</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7E6047D"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w:t>
      </w:r>
      <w:proofErr w:type="gramStart"/>
      <w:r w:rsidRPr="009A65AE">
        <w:rPr>
          <w:rFonts w:cstheme="minorBidi"/>
          <w:szCs w:val="20"/>
        </w:rPr>
        <w:t>Similar to</w:t>
      </w:r>
      <w:proofErr w:type="gramEnd"/>
      <w:r w:rsidRPr="009A65AE">
        <w:rPr>
          <w:rFonts w:cstheme="minorBidi"/>
          <w:szCs w:val="20"/>
        </w:rPr>
        <w:t xml:space="preserve">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D685B">
        <w:rPr>
          <w:rFonts w:cstheme="minorBidi"/>
          <w:szCs w:val="20"/>
        </w:rPr>
        <w:instrText xml:space="preserve"> ADDIN EN.CITE &lt;EndNote&gt;&lt;Cite&gt;&lt;Author&gt;Hicks&lt;/Author&gt;&lt;Year&gt;2021&lt;/Year&gt;&lt;RecNum&gt;3&lt;/RecNum&gt;&lt;DisplayText&gt;&lt;style face="superscript"&gt;[5]&lt;/style&gt;&lt;/DisplayText&gt;&lt;record&gt;&lt;rec-number&gt;3&lt;/rec-number&gt;&lt;foreign-keys&gt;&lt;key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[5]</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[7]</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t>
      </w:r>
      <w:proofErr w:type="spellStart"/>
      <w:r w:rsidRPr="0058307D">
        <w:rPr>
          <w:rFonts w:cstheme="minorBidi"/>
          <w:i/>
          <w:iCs/>
          <w:szCs w:val="20"/>
        </w:rPr>
        <w:t>wk</w:t>
      </w:r>
      <w:proofErr w:type="spellEnd"/>
      <w:r w:rsidRPr="0058307D">
        <w:rPr>
          <w:rFonts w:cstheme="minorBidi"/>
          <w:i/>
          <w:iCs/>
          <w:szCs w:val="20"/>
        </w:rPr>
        <w:t xml:space="preserve"> (2 </w:t>
      </w:r>
      <w:proofErr w:type="spellStart"/>
      <w:r w:rsidRPr="0058307D">
        <w:rPr>
          <w:rFonts w:cstheme="minorBidi"/>
          <w:i/>
          <w:iCs/>
          <w:szCs w:val="20"/>
        </w:rPr>
        <w:t>wk</w:t>
      </w:r>
      <w:proofErr w:type="spellEnd"/>
      <w:r w:rsidRPr="0058307D">
        <w:rPr>
          <w:rFonts w:cstheme="minorBidi"/>
          <w:i/>
          <w:iCs/>
          <w:szCs w:val="20"/>
        </w:rPr>
        <w:t xml:space="preserve">–6 </w:t>
      </w:r>
      <w:proofErr w:type="spellStart"/>
      <w:r w:rsidRPr="0058307D">
        <w:rPr>
          <w:rFonts w:cstheme="minorBidi"/>
          <w:i/>
          <w:iCs/>
          <w:szCs w:val="20"/>
        </w:rPr>
        <w:t>mos</w:t>
      </w:r>
      <w:proofErr w:type="spellEnd"/>
      <w:r w:rsidRPr="0058307D">
        <w:rPr>
          <w:rFonts w:cstheme="minorBidi"/>
          <w:i/>
          <w:iCs/>
          <w:szCs w:val="20"/>
        </w:rPr>
        <w:t xml:space="preserve">) </w:t>
      </w:r>
      <w:r w:rsidRPr="0058307D">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D685B" w:rsidRPr="001D685B">
        <w:rPr>
          <w:rFonts w:cstheme="minorBidi"/>
          <w:i/>
          <w:iCs/>
          <w:noProof/>
          <w:szCs w:val="20"/>
          <w:vertAlign w:val="superscript"/>
        </w:rPr>
        <w:t>[8]</w:t>
      </w:r>
      <w:r w:rsidRPr="0058307D">
        <w:rPr>
          <w:rFonts w:cstheme="minorBidi"/>
          <w:i/>
          <w:iCs/>
          <w:szCs w:val="20"/>
        </w:rPr>
        <w:fldChar w:fldCharType="end"/>
      </w:r>
    </w:p>
    <w:p w14:paraId="6210D340" w14:textId="51FC8397"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 </w:instrText>
      </w:r>
      <w:r w:rsidR="001D685B">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EN.CITE.DATA </w:instrText>
      </w:r>
      <w:r w:rsidR="001D685B">
        <w:rPr>
          <w:rFonts w:cstheme="minorBidi"/>
          <w:b/>
          <w:bCs/>
          <w:color w:val="A02B93" w:themeColor="accent5"/>
          <w:szCs w:val="20"/>
          <w:u w:val="single"/>
        </w:rPr>
      </w:r>
      <w:r w:rsidR="001D685B">
        <w:rPr>
          <w:rFonts w:cstheme="minorBidi"/>
          <w:b/>
          <w:bCs/>
          <w:color w:val="A02B93" w:themeColor="accent5"/>
          <w:szCs w:val="20"/>
          <w:u w:val="single"/>
        </w:rPr>
        <w:fldChar w:fldCharType="end"/>
      </w:r>
      <w:r w:rsidRPr="0058307D">
        <w:rPr>
          <w:rFonts w:cstheme="minorBidi"/>
          <w:b/>
          <w:bCs/>
          <w:color w:val="A02B93" w:themeColor="accent5"/>
          <w:szCs w:val="20"/>
          <w:u w:val="single"/>
        </w:rPr>
        <w:fldChar w:fldCharType="separate"/>
      </w:r>
      <w:r w:rsidR="001D685B" w:rsidRPr="001D685B">
        <w:rPr>
          <w:rFonts w:cstheme="minorBidi"/>
          <w:b/>
          <w:bCs/>
          <w:noProof/>
          <w:color w:val="A02B93" w:themeColor="accent5"/>
          <w:szCs w:val="20"/>
          <w:u w:val="single"/>
          <w:vertAlign w:val="superscript"/>
        </w:rPr>
        <w:t>[5, 7, 8]</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lastRenderedPageBreak/>
        <w:t xml:space="preserve"> </w:t>
      </w:r>
    </w:p>
    <w:p w14:paraId="1306ABB6" w14:textId="1FA53FD9" w:rsidR="00591E65" w:rsidRPr="008F15B1" w:rsidRDefault="00AD6635" w:rsidP="00D64182">
      <w:pPr>
        <w:pStyle w:val="Heading2"/>
      </w:pPr>
      <w:r>
        <w:t>Relapse EL to Secondary</w:t>
      </w:r>
    </w:p>
    <w:p w14:paraId="4F0ADD46" w14:textId="77777777" w:rsidR="00DA3A8F" w:rsidRPr="009A65AE" w:rsidRDefault="00DA3A8F" w:rsidP="00D64182">
      <w:pPr>
        <w:pStyle w:val="Heading2"/>
      </w:pPr>
      <w:r w:rsidRPr="009A65AE">
        <w:t>Early Latent</w:t>
      </w:r>
    </w:p>
    <w:p w14:paraId="51952598" w14:textId="170153C1"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D685B" w:rsidRPr="001D685B">
        <w:rPr>
          <w:rFonts w:cstheme="minorBidi"/>
          <w:i/>
          <w:iCs/>
          <w:noProof/>
          <w:szCs w:val="20"/>
          <w:vertAlign w:val="superscript"/>
        </w:rPr>
        <w:t>[8]</w:t>
      </w:r>
      <w:r w:rsidR="00633631" w:rsidRPr="00633631">
        <w:rPr>
          <w:rFonts w:cstheme="minorBidi"/>
          <w:i/>
          <w:iCs/>
          <w:szCs w:val="20"/>
        </w:rPr>
        <w:fldChar w:fldCharType="end"/>
      </w:r>
    </w:p>
    <w:p w14:paraId="2467D191" w14:textId="22DE6AD4"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D685B">
        <w:rPr>
          <w:rFonts w:cstheme="minorBidi"/>
          <w:b/>
          <w:bCs/>
          <w:color w:val="7030A0"/>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D685B" w:rsidRPr="001D685B">
        <w:rPr>
          <w:rFonts w:cstheme="minorBidi"/>
          <w:b/>
          <w:bCs/>
          <w:noProof/>
          <w:color w:val="7030A0"/>
          <w:szCs w:val="20"/>
          <w:vertAlign w:val="superscript"/>
        </w:rPr>
        <w:t>[8]</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6E5F16D2"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476542F8"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w:t>
      </w:r>
      <w:proofErr w:type="gramStart"/>
      <w:r>
        <w:rPr>
          <w:rFonts w:cs="Calibri"/>
          <w:szCs w:val="20"/>
        </w:rPr>
        <w:t>syphilis,  7</w:t>
      </w:r>
      <w:proofErr w:type="gramEnd"/>
      <w:r>
        <w:rPr>
          <w:rFonts w:cs="Calibri"/>
          <w:szCs w:val="20"/>
        </w:rPr>
        <w:t xml:space="preserve"> of whom were diagnosed at walk-in STI clinic </w:t>
      </w:r>
      <w:r>
        <w:rPr>
          <w:rFonts w:cs="Calibri"/>
          <w:i/>
          <w:iCs/>
          <w:szCs w:val="20"/>
        </w:rPr>
        <w:t>between</w:t>
      </w:r>
      <w:r>
        <w:rPr>
          <w:rFonts w:cs="Calibri"/>
          <w:szCs w:val="20"/>
        </w:rPr>
        <w:t xml:space="preserve"> PrEP appointments </w:t>
      </w:r>
    </w:p>
    <w:p w14:paraId="229EAFE4" w14:textId="2C1874D4"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62DD9A4F"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proofErr w:type="spellStart"/>
      <w:r w:rsidR="00614E87" w:rsidRPr="00614E87">
        <w:rPr>
          <w:rFonts w:cs="Calibri"/>
          <w:szCs w:val="20"/>
        </w:rPr>
        <w:t>Berzkalns</w:t>
      </w:r>
      <w:proofErr w:type="spellEnd"/>
      <w:r w:rsidR="00614E87" w:rsidRPr="00614E87">
        <w:rPr>
          <w:rFonts w:cs="Calibri"/>
          <w:szCs w:val="20"/>
        </w:rPr>
        <w:t>,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D685B">
        <w:rPr>
          <w:rFonts w:cs="Calibri"/>
          <w:szCs w:val="20"/>
        </w:rPr>
        <w:instrText xml:space="preserve"> ADDIN EN.CITE &lt;EndNote&gt;&lt;Cite&gt;&lt;Author&gt;Kerani&lt;/Author&gt;&lt;Year&gt;2024&lt;/Year&gt;&lt;RecNum&gt;1268&lt;/RecNum&gt;&lt;DisplayText&gt;&lt;style face="superscript"&gt;[25]&lt;/style&gt;&lt;/DisplayText&gt;&lt;record&gt;&lt;rec-number&gt;1268&lt;/rec-number&gt;&lt;foreign-keys&gt;&lt;key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D685B" w:rsidRPr="001D685B">
        <w:rPr>
          <w:rFonts w:cs="Calibri"/>
          <w:noProof/>
          <w:szCs w:val="20"/>
          <w:vertAlign w:val="superscript"/>
        </w:rPr>
        <w:t>[25]</w:t>
      </w:r>
      <w:r w:rsidR="00614E87">
        <w:rPr>
          <w:rFonts w:cs="Calibri"/>
          <w:szCs w:val="20"/>
        </w:rPr>
        <w:fldChar w:fldCharType="end"/>
      </w:r>
      <w:r w:rsidR="00F20E11" w:rsidRPr="00F20E11">
        <w:rPr>
          <w:rFonts w:cs="Calibri"/>
          <w:szCs w:val="20"/>
        </w:rPr>
        <w:t xml:space="preserve">. Among women, </w:t>
      </w:r>
      <w:proofErr w:type="gramStart"/>
      <w:r w:rsidR="00F20E11" w:rsidRPr="00F20E11">
        <w:rPr>
          <w:rFonts w:cs="Calibri"/>
          <w:szCs w:val="20"/>
        </w:rPr>
        <w:t>the majority of</w:t>
      </w:r>
      <w:proofErr w:type="gramEnd"/>
      <w:r w:rsidR="00F20E11" w:rsidRPr="00F20E11">
        <w:rPr>
          <w:rFonts w:cs="Calibri"/>
          <w:szCs w:val="20"/>
        </w:rPr>
        <w:t xml:space="preserve">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 xml:space="preserve">Assuming that these recent infections were missed due to the lack of symptoms, we estimated the total number of early infections (including both </w:t>
      </w:r>
      <w:proofErr w:type="gramStart"/>
      <w:r w:rsidRPr="00F20E11">
        <w:rPr>
          <w:rFonts w:cs="Calibri"/>
          <w:szCs w:val="20"/>
        </w:rPr>
        <w:t>early stage</w:t>
      </w:r>
      <w:proofErr w:type="gramEnd"/>
      <w:r w:rsidRPr="00F20E11">
        <w:rPr>
          <w:rFonts w:cs="Calibri"/>
          <w:szCs w:val="20"/>
        </w:rPr>
        <w:t xml:space="preserv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proofErr w:type="spellStart"/>
      <w:r w:rsidRPr="009A65AE">
        <w:rPr>
          <w:rFonts w:cstheme="minorBidi"/>
          <w:i/>
          <w:iCs/>
          <w:szCs w:val="20"/>
        </w:rPr>
        <w:t>tabes</w:t>
      </w:r>
      <w:proofErr w:type="spellEnd"/>
      <w:r w:rsidRPr="009A65AE">
        <w:rPr>
          <w:rFonts w:cstheme="minorBidi"/>
          <w:i/>
          <w:iCs/>
          <w:szCs w:val="20"/>
        </w:rPr>
        <w:t xml:space="preserve">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xml:space="preserve">, which involves progressive cognitive decline, personality changes, psychosis, and motor deficits. Furthermore, ocular and </w:t>
      </w:r>
      <w:proofErr w:type="spellStart"/>
      <w:r w:rsidRPr="009A65AE">
        <w:rPr>
          <w:rFonts w:cstheme="minorBidi"/>
          <w:szCs w:val="20"/>
        </w:rPr>
        <w:t>otic</w:t>
      </w:r>
      <w:proofErr w:type="spellEnd"/>
      <w:r w:rsidRPr="009A65AE">
        <w:rPr>
          <w:rFonts w:cstheme="minorBidi"/>
          <w:szCs w:val="20"/>
        </w:rPr>
        <w:t xml:space="preserve">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w:t>
      </w:r>
      <w:proofErr w:type="spellStart"/>
      <w:r w:rsidR="004653FF" w:rsidRPr="0028131A">
        <w:t>gummatous</w:t>
      </w:r>
      <w:proofErr w:type="spellEnd"/>
      <w:r w:rsidR="004653FF" w:rsidRPr="0028131A">
        <w:t xml:space="preserve"> disease (granulomatous disease of the skin and subcutaneous tissues, bones, or viscera) or neurologic involvement. Appearance of these presentations is dependent on where </w:t>
      </w:r>
      <w:proofErr w:type="spellStart"/>
      <w:proofErr w:type="gramStart"/>
      <w:r w:rsidR="004653FF" w:rsidRPr="0028131A">
        <w:t>T.Palldium</w:t>
      </w:r>
      <w:proofErr w:type="spellEnd"/>
      <w:proofErr w:type="gramEnd"/>
      <w:r w:rsidR="004653FF" w:rsidRPr="0028131A">
        <w:t xml:space="preserve"> dissemination occurs within the body</w:t>
      </w:r>
      <w:r w:rsidR="0028131A">
        <w:t xml:space="preserve">. </w:t>
      </w:r>
    </w:p>
    <w:p w14:paraId="759FA8CD" w14:textId="2F475781"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proofErr w:type="spellStart"/>
      <w:r w:rsidRPr="009A65AE">
        <w:rPr>
          <w:rFonts w:cstheme="minorBidi"/>
          <w:szCs w:val="20"/>
        </w:rPr>
        <w:t>Gummatous</w:t>
      </w:r>
      <w:proofErr w:type="spellEnd"/>
      <w:r w:rsidRPr="009A65AE">
        <w:rPr>
          <w:rFonts w:cstheme="minorBidi"/>
          <w:szCs w:val="20"/>
        </w:rPr>
        <w:t xml:space="preserve">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D685B" w:rsidRPr="001D685B">
        <w:rPr>
          <w:rFonts w:cstheme="minorBidi"/>
          <w:noProof/>
          <w:szCs w:val="20"/>
          <w:vertAlign w:val="superscript"/>
        </w:rPr>
        <w:t>[7]</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w:t>
      </w:r>
      <w:proofErr w:type="spellStart"/>
      <w:r w:rsidRPr="009A65AE">
        <w:rPr>
          <w:rFonts w:cstheme="minorBidi"/>
          <w:szCs w:val="20"/>
        </w:rPr>
        <w:t>tabes</w:t>
      </w:r>
      <w:proofErr w:type="spellEnd"/>
      <w:r w:rsidRPr="009A65AE">
        <w:rPr>
          <w:rFonts w:cstheme="minorBidi"/>
          <w:szCs w:val="20"/>
        </w:rPr>
        <w:t xml:space="preserve">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4D2A18FB"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D685B">
        <w:rPr>
          <w:rFonts w:cs="Calibri"/>
          <w:b/>
          <w:bCs/>
          <w:szCs w:val="20"/>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D685B" w:rsidRPr="001D685B">
        <w:rPr>
          <w:rFonts w:cs="Calibri"/>
          <w:b/>
          <w:bCs/>
          <w:noProof/>
          <w:szCs w:val="20"/>
          <w:vertAlign w:val="superscript"/>
        </w:rPr>
        <w:t>[10]</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1-.003))</w:t>
      </w:r>
      <w:proofErr w:type="gramStart"/>
      <w:r>
        <w:rPr>
          <w:rFonts w:cs="Calibri"/>
          <w:szCs w:val="20"/>
        </w:rPr>
        <w:t>/(</w:t>
      </w:r>
      <w:proofErr w:type="gramEnd"/>
      <w:r>
        <w:rPr>
          <w:rFonts w:cs="Calibri"/>
          <w:szCs w:val="20"/>
        </w:rPr>
        <w:t xml:space="preserve">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1-.011))</w:t>
      </w:r>
      <w:proofErr w:type="gramStart"/>
      <w:r>
        <w:rPr>
          <w:rFonts w:cs="Calibri"/>
          <w:szCs w:val="20"/>
        </w:rPr>
        <w:t>/(</w:t>
      </w:r>
      <w:proofErr w:type="gramEnd"/>
      <w:r>
        <w:rPr>
          <w:rFonts w:cs="Calibri"/>
          <w:szCs w:val="20"/>
        </w:rPr>
        <w:t>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1-.008))</w:t>
      </w:r>
      <w:proofErr w:type="gramStart"/>
      <w:r>
        <w:rPr>
          <w:rFonts w:cs="Calibri"/>
          <w:szCs w:val="20"/>
        </w:rPr>
        <w:t>/(</w:t>
      </w:r>
      <w:proofErr w:type="gramEnd"/>
      <w:r>
        <w:rPr>
          <w:rFonts w:cs="Calibri"/>
          <w:szCs w:val="20"/>
        </w:rPr>
        <w:t>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34380A16" w:rsidR="00A854D6" w:rsidRPr="00A854D6" w:rsidRDefault="00A854D6" w:rsidP="00A854D6">
      <w:pPr>
        <w:rPr>
          <w:color w:val="7030A0"/>
          <w:u w:val="single"/>
        </w:rPr>
      </w:pPr>
      <w:r w:rsidRPr="00952DA2">
        <w:rPr>
          <w:b/>
          <w:bCs/>
        </w:rPr>
        <w:t>Golden (2003) &amp; Kent (2008)</w:t>
      </w:r>
      <w:r w:rsidRPr="00952DA2">
        <w:t xml:space="preserve"> estimate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w:t>
      </w:r>
      <w:proofErr w:type="gramStart"/>
      <w:r w:rsidR="00B313AD" w:rsidRPr="00BA5B67">
        <w:rPr>
          <w:rFonts w:cs="Calibri"/>
          <w:szCs w:val="20"/>
        </w:rPr>
        <w:t xml:space="preserve">stages </w:t>
      </w:r>
      <w:r w:rsidRPr="00A854D6">
        <w:rPr>
          <w:color w:val="7030A0"/>
          <w:u w:val="single"/>
        </w:rPr>
        <w:t xml:space="preserve"> =</w:t>
      </w:r>
      <w:proofErr w:type="gramEnd"/>
      <w:r w:rsidRPr="00A854D6">
        <w:rPr>
          <w:color w:val="7030A0"/>
          <w:u w:val="single"/>
        </w:rPr>
        <w:t xml:space="preserve"> 5%* [25-60</w:t>
      </w:r>
      <w:proofErr w:type="gramStart"/>
      <w:r w:rsidRPr="00A854D6">
        <w:rPr>
          <w:color w:val="7030A0"/>
          <w:u w:val="single"/>
        </w:rPr>
        <w:t>%]=</w:t>
      </w:r>
      <w:proofErr w:type="gramEnd"/>
      <w:r w:rsidRPr="00A854D6">
        <w:rPr>
          <w:color w:val="7030A0"/>
          <w:u w:val="single"/>
        </w:rPr>
        <w:t xml:space="preserve">[1.25–3%] </w:t>
      </w:r>
      <w:r w:rsidRPr="00A854D6">
        <w:rPr>
          <w:color w:val="7030A0"/>
          <w:u w:val="single"/>
        </w:rPr>
        <w:fldChar w:fldCharType="begin">
          <w:fldData xml:space="preserve">PEVuZE5vdGU+PENpdGU+PEF1dGhvcj5Hb2xkZW48L0F1dGhvcj48WWVhcj4yMDAzPC9ZZWFyPjxS
ZWNOdW0+MTQ8L1JlY051bT48RGlzcGxheVRleHQ+PHN0eWxlIGZhY2U9InN1cGVyc2NyaXB0Ij5b
NCwgMTFdPC9zdHlsZT48L0Rpc3BsYXlUZXh0PjxyZWNvcmQ+PHJlYy1udW1iZXI+MTQ8L3JlYy1u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D685B">
        <w:rPr>
          <w:color w:val="7030A0"/>
          <w:u w:val="single"/>
        </w:rPr>
        <w:instrText xml:space="preserve"> ADDIN EN.CITE </w:instrText>
      </w:r>
      <w:r w:rsidR="001D685B">
        <w:rPr>
          <w:color w:val="7030A0"/>
          <w:u w:val="single"/>
        </w:rPr>
        <w:fldChar w:fldCharType="begin">
          <w:fldData xml:space="preserve">PEVuZE5vdGU+PENpdGU+PEF1dGhvcj5Hb2xkZW48L0F1dGhvcj48WWVhcj4yMDAzPC9ZZWFyPjxS
ZWNOdW0+MTQ8L1JlY051bT48RGlzcGxheVRleHQ+PHN0eWxlIGZhY2U9InN1cGVyc2NyaXB0Ij5b
NCwgMTFdPC9zdHlsZT48L0Rpc3BsYXlUZXh0PjxyZWNvcmQ+PHJlYy1udW1iZXI+MTQ8L3JlYy1u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D685B">
        <w:rPr>
          <w:color w:val="7030A0"/>
          <w:u w:val="single"/>
        </w:rPr>
        <w:instrText xml:space="preserve"> ADDIN EN.CITE.DATA </w:instrText>
      </w:r>
      <w:r w:rsidR="001D685B">
        <w:rPr>
          <w:color w:val="7030A0"/>
          <w:u w:val="single"/>
        </w:rPr>
      </w:r>
      <w:r w:rsidR="001D685B">
        <w:rPr>
          <w:color w:val="7030A0"/>
          <w:u w:val="single"/>
        </w:rPr>
        <w:fldChar w:fldCharType="end"/>
      </w:r>
      <w:r w:rsidRPr="00A854D6">
        <w:rPr>
          <w:color w:val="7030A0"/>
          <w:u w:val="single"/>
        </w:rPr>
        <w:fldChar w:fldCharType="separate"/>
      </w:r>
      <w:r w:rsidR="001D685B" w:rsidRPr="001D685B">
        <w:rPr>
          <w:noProof/>
          <w:color w:val="7030A0"/>
          <w:u w:val="single"/>
          <w:vertAlign w:val="superscript"/>
        </w:rPr>
        <w:t>[4, 11]</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w:t>
      </w:r>
      <w:proofErr w:type="gramStart"/>
      <w:r w:rsidR="00FA0950" w:rsidRPr="0019013F">
        <w:rPr>
          <w:rFonts w:cs="Calibri"/>
          <w:b/>
          <w:bCs/>
          <w:szCs w:val="20"/>
        </w:rPr>
        <w:t>ln(</w:t>
      </w:r>
      <w:proofErr w:type="gramEnd"/>
      <w:r w:rsidR="00FA0950" w:rsidRPr="0019013F">
        <w:rPr>
          <w:rFonts w:cs="Calibri"/>
          <w:b/>
          <w:bCs/>
          <w:szCs w:val="20"/>
        </w:rPr>
        <w:t>1-.0125))</w:t>
      </w:r>
      <w:proofErr w:type="gramStart"/>
      <w:r w:rsidR="00FA0950" w:rsidRPr="0019013F">
        <w:rPr>
          <w:rFonts w:cs="Calibri"/>
          <w:b/>
          <w:bCs/>
          <w:szCs w:val="20"/>
        </w:rPr>
        <w:t>/(</w:t>
      </w:r>
      <w:proofErr w:type="gramEnd"/>
      <w:r w:rsidR="00FA0950" w:rsidRPr="0019013F">
        <w:rPr>
          <w:rFonts w:cs="Calibri"/>
          <w:b/>
          <w:bCs/>
          <w:szCs w:val="20"/>
        </w:rPr>
        <w:t>4/</w:t>
      </w:r>
      <w:proofErr w:type="gramStart"/>
      <w:r w:rsidR="00FA0950" w:rsidRPr="0019013F">
        <w:rPr>
          <w:rFonts w:cs="Calibri"/>
          <w:b/>
          <w:bCs/>
          <w:szCs w:val="20"/>
        </w:rPr>
        <w:t>12)</w:t>
      </w:r>
      <w:r w:rsidR="00034D05" w:rsidRPr="0019013F">
        <w:rPr>
          <w:rFonts w:cs="Calibri"/>
          <w:b/>
          <w:bCs/>
          <w:szCs w:val="20"/>
        </w:rPr>
        <w:t>=</w:t>
      </w:r>
      <w:proofErr w:type="gramEnd"/>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034D05" w:rsidRPr="0019013F">
        <w:rPr>
          <w:rFonts w:cs="Calibri"/>
          <w:b/>
          <w:bCs/>
          <w:szCs w:val="20"/>
        </w:rPr>
        <w:t>r</w:t>
      </w:r>
      <w:r>
        <w:rPr>
          <w:rFonts w:cs="Calibri"/>
          <w:b/>
          <w:bCs/>
          <w:szCs w:val="20"/>
        </w:rPr>
        <w:t>a</w:t>
      </w:r>
      <w:r w:rsidR="00034D05" w:rsidRPr="0019013F">
        <w:rPr>
          <w:rFonts w:cs="Calibri"/>
          <w:b/>
          <w:bCs/>
          <w:szCs w:val="20"/>
        </w:rPr>
        <w:t>te UB= (-</w:t>
      </w:r>
      <w:proofErr w:type="gramStart"/>
      <w:r w:rsidR="00034D05" w:rsidRPr="0019013F">
        <w:rPr>
          <w:rFonts w:cs="Calibri"/>
          <w:b/>
          <w:bCs/>
          <w:szCs w:val="20"/>
        </w:rPr>
        <w:t>ln(</w:t>
      </w:r>
      <w:proofErr w:type="gramEnd"/>
      <w:r w:rsidR="00034D05" w:rsidRPr="0019013F">
        <w:rPr>
          <w:rFonts w:cs="Calibri"/>
          <w:b/>
          <w:bCs/>
          <w:szCs w:val="20"/>
        </w:rPr>
        <w:t>1-.03))</w:t>
      </w:r>
      <w:proofErr w:type="gramStart"/>
      <w:r w:rsidR="00034D05" w:rsidRPr="0019013F">
        <w:rPr>
          <w:rFonts w:cs="Calibri"/>
          <w:b/>
          <w:bCs/>
          <w:szCs w:val="20"/>
        </w:rPr>
        <w:t>/(</w:t>
      </w:r>
      <w:proofErr w:type="gramEnd"/>
      <w:r w:rsidR="00034D05" w:rsidRPr="0019013F">
        <w:rPr>
          <w:rFonts w:cs="Calibri"/>
          <w:b/>
          <w:bCs/>
          <w:szCs w:val="20"/>
        </w:rPr>
        <w:t>4/</w:t>
      </w:r>
      <w:proofErr w:type="gramStart"/>
      <w:r w:rsidR="00034D05" w:rsidRPr="0019013F">
        <w:rPr>
          <w:rFonts w:cs="Calibri"/>
          <w:b/>
          <w:bCs/>
          <w:szCs w:val="20"/>
        </w:rPr>
        <w:t>12)=</w:t>
      </w:r>
      <w:proofErr w:type="gramEnd"/>
      <w:r w:rsidR="00034D05" w:rsidRPr="0019013F">
        <w:rPr>
          <w:rFonts w:cs="Calibri"/>
          <w:b/>
          <w:bCs/>
          <w:szCs w:val="20"/>
        </w:rPr>
        <w:t>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3D6ED5F1"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cs="Calibri"/>
          <w:b/>
          <w:bCs/>
          <w:szCs w:val="20"/>
          <w:highlight w:val="yellow"/>
        </w:rPr>
        <w:instrText xml:space="preserve"> ADDIN EN.CITE </w:instrText>
      </w:r>
      <w:r w:rsidR="001D685B">
        <w:rPr>
          <w:rFonts w:cs="Calibri"/>
          <w:b/>
          <w:bCs/>
          <w:szCs w:val="20"/>
          <w:highlight w:val="yellow"/>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cs="Calibri"/>
          <w:b/>
          <w:bCs/>
          <w:szCs w:val="20"/>
          <w:highlight w:val="yellow"/>
        </w:rPr>
        <w:instrText xml:space="preserve"> ADDIN EN.CITE.DATA </w:instrText>
      </w:r>
      <w:r w:rsidR="001D685B">
        <w:rPr>
          <w:rFonts w:cs="Calibri"/>
          <w:b/>
          <w:bCs/>
          <w:szCs w:val="20"/>
          <w:highlight w:val="yellow"/>
        </w:rPr>
      </w:r>
      <w:r w:rsidR="001D685B">
        <w:rPr>
          <w:rFonts w:cs="Calibri"/>
          <w:b/>
          <w:bCs/>
          <w:szCs w:val="20"/>
          <w:highlight w:val="yellow"/>
        </w:rPr>
        <w:fldChar w:fldCharType="end"/>
      </w:r>
      <w:r w:rsidRPr="0019013F">
        <w:rPr>
          <w:rFonts w:cs="Calibri"/>
          <w:b/>
          <w:bCs/>
          <w:szCs w:val="20"/>
          <w:highlight w:val="yellow"/>
        </w:rPr>
        <w:fldChar w:fldCharType="separate"/>
      </w:r>
      <w:r w:rsidR="001D685B" w:rsidRPr="001D685B">
        <w:rPr>
          <w:rFonts w:cs="Calibri"/>
          <w:b/>
          <w:bCs/>
          <w:noProof/>
          <w:szCs w:val="20"/>
          <w:highlight w:val="yellow"/>
          <w:vertAlign w:val="superscript"/>
        </w:rPr>
        <w:t>[4, 10, 11]</w:t>
      </w:r>
      <w:r w:rsidRPr="0019013F">
        <w:rPr>
          <w:rFonts w:cs="Calibri"/>
          <w:b/>
          <w:bCs/>
          <w:szCs w:val="20"/>
          <w:highlight w:val="yellow"/>
        </w:rPr>
        <w:fldChar w:fldCharType="end"/>
      </w:r>
    </w:p>
    <w:p w14:paraId="0146CF87" w14:textId="6F2B331F"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D685B">
        <w:rPr>
          <w:rFonts w:cs="Calibri"/>
          <w:b/>
          <w:bCs/>
          <w:szCs w:val="20"/>
          <w:highlight w:val="yellow"/>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D685B" w:rsidRPr="001D685B">
        <w:rPr>
          <w:rFonts w:cs="Calibri"/>
          <w:b/>
          <w:bCs/>
          <w:noProof/>
          <w:szCs w:val="20"/>
          <w:highlight w:val="yellow"/>
          <w:vertAlign w:val="superscript"/>
        </w:rPr>
        <w:t>[10]</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546A4179"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D685B">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D685B" w:rsidRPr="001D685B">
        <w:rPr>
          <w:noProof/>
          <w:vertAlign w:val="superscript"/>
        </w:rPr>
        <w:t>[12]</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tabes.dorsalis</w:t>
            </w:r>
            <w:proofErr w:type="spellEnd"/>
            <w:proofErr w:type="gramEnd"/>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proofErr w:type="spellStart"/>
            <w:proofErr w:type="gramStart"/>
            <w:r w:rsidRPr="008146E3">
              <w:rPr>
                <w:b w:val="0"/>
                <w:bCs w:val="0"/>
                <w:sz w:val="16"/>
                <w:szCs w:val="16"/>
              </w:rPr>
              <w:lastRenderedPageBreak/>
              <w:t>tabes.dorsalis</w:t>
            </w:r>
            <w:proofErr w:type="spellEnd"/>
            <w:proofErr w:type="gramEnd"/>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9534D30"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D685B">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D685B" w:rsidRPr="001D685B">
        <w:rPr>
          <w:noProof/>
          <w:vertAlign w:val="superscript"/>
        </w:rPr>
        <w:t>[12]</w:t>
      </w:r>
      <w:r>
        <w:fldChar w:fldCharType="end"/>
      </w:r>
      <w:r>
        <w:t xml:space="preserve">. We first compute the rate of developing late benign and cardiovascular </w:t>
      </w:r>
      <w:proofErr w:type="gramStart"/>
      <w:r>
        <w:t>syphilis, and</w:t>
      </w:r>
      <w:proofErr w:type="gramEnd"/>
      <w:r>
        <w:t xml:space="preserve">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4D44BB13">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493810FF"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D685B">
        <w:rPr>
          <w:rFonts w:ascii="Georgia" w:hAnsi="Georgia"/>
          <w:color w:val="1F1F1F"/>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D685B" w:rsidRPr="001D685B">
        <w:rPr>
          <w:rFonts w:ascii="Georgia" w:hAnsi="Georgia"/>
          <w:noProof/>
          <w:color w:val="1F1F1F"/>
          <w:vertAlign w:val="superscript"/>
        </w:rPr>
        <w:t>[12]</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rate.male.benign.late.est</w:t>
      </w:r>
      <w:proofErr w:type="spellEnd"/>
      <w:r w:rsidRPr="00256546">
        <w:rPr>
          <w:rFonts w:cstheme="minorBidi"/>
          <w:szCs w:val="20"/>
        </w:rPr>
        <w:t>:  0.005</w:t>
      </w:r>
      <w:r w:rsidR="00E02FA0" w:rsidRPr="00256546">
        <w:rPr>
          <w:rFonts w:cstheme="minorBidi"/>
          <w:szCs w:val="20"/>
        </w:rPr>
        <w:t>58</w:t>
      </w:r>
      <w:r w:rsidRPr="00256546">
        <w:rPr>
          <w:rFonts w:cstheme="minorBidi"/>
          <w:szCs w:val="20"/>
        </w:rPr>
        <w:t xml:space="preserve"> [</w:t>
      </w:r>
      <w:proofErr w:type="spellStart"/>
      <w:r w:rsidRPr="00256546">
        <w:rPr>
          <w:rFonts w:cstheme="minorBidi"/>
          <w:szCs w:val="20"/>
        </w:rPr>
        <w:t>sd</w:t>
      </w:r>
      <w:proofErr w:type="spellEnd"/>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rate.female.benign.late.est</w:t>
      </w:r>
      <w:proofErr w:type="spellEnd"/>
      <w:r w:rsidRPr="00256546">
        <w:rPr>
          <w:rFonts w:cstheme="minorBidi"/>
          <w:szCs w:val="20"/>
        </w:rPr>
        <w:t>:  0.0075</w:t>
      </w:r>
      <w:r w:rsidR="00DA47A7" w:rsidRPr="00256546">
        <w:rPr>
          <w:rFonts w:cstheme="minorBidi"/>
          <w:szCs w:val="20"/>
        </w:rPr>
        <w:t>1</w:t>
      </w:r>
      <w:r w:rsidRPr="00256546">
        <w:rPr>
          <w:rFonts w:cstheme="minorBidi"/>
          <w:szCs w:val="20"/>
        </w:rPr>
        <w:t>[</w:t>
      </w:r>
      <w:proofErr w:type="spellStart"/>
      <w:r w:rsidRPr="00256546">
        <w:rPr>
          <w:rFonts w:cstheme="minorBidi"/>
          <w:szCs w:val="20"/>
        </w:rPr>
        <w:t>s</w:t>
      </w:r>
      <w:r w:rsidR="00DA47A7" w:rsidRPr="00256546">
        <w:rPr>
          <w:rFonts w:cstheme="minorBidi"/>
          <w:szCs w:val="20"/>
        </w:rPr>
        <w:t>d</w:t>
      </w:r>
      <w:proofErr w:type="spellEnd"/>
      <w:r w:rsidR="00DA47A7" w:rsidRPr="00256546">
        <w:rPr>
          <w:rFonts w:cstheme="minorBidi"/>
          <w:szCs w:val="20"/>
        </w:rPr>
        <w:t>=</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w:t>
      </w:r>
      <w:proofErr w:type="spellStart"/>
      <w:r w:rsidRPr="00FD76E3">
        <w:t>agegroup</w:t>
      </w:r>
      <w:proofErr w:type="spellEnd"/>
      <w:r w:rsidRPr="00FD76E3">
        <w:t xml:space="preserve">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w:t>
      </w:r>
      <w:proofErr w:type="gramStart"/>
      <w:r w:rsidR="00715D04" w:rsidRPr="00CB0F2B">
        <w:rPr>
          <w:rFonts w:cstheme="minorBidi"/>
          <w:szCs w:val="20"/>
        </w:rPr>
        <w:t xml:space="preserve">age </w:t>
      </w:r>
      <w:r w:rsidR="00B01CA7" w:rsidRPr="00CB0F2B">
        <w:rPr>
          <w:rFonts w:cstheme="minorBidi"/>
          <w:szCs w:val="20"/>
        </w:rPr>
        <w:t>.</w:t>
      </w:r>
      <w:proofErr w:type="gramEnd"/>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34EEEE9D">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68663AE9">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t>
      </w:r>
      <w:proofErr w:type="gramStart"/>
      <w:r w:rsidRPr="00CB0F2B">
        <w:rPr>
          <w:rFonts w:cstheme="minorBidi"/>
          <w:szCs w:val="20"/>
        </w:rPr>
        <w:t>women</w:t>
      </w:r>
      <w:r w:rsidR="00B01CA7" w:rsidRPr="00CB0F2B">
        <w:rPr>
          <w:rFonts w:cstheme="minorBidi"/>
          <w:szCs w:val="20"/>
        </w:rPr>
        <w:t>, and</w:t>
      </w:r>
      <w:proofErr w:type="gramEnd"/>
      <w:r w:rsidR="00B01CA7" w:rsidRPr="00CB0F2B">
        <w:rPr>
          <w:rFonts w:cstheme="minorBidi"/>
          <w:szCs w:val="20"/>
        </w:rPr>
        <w:t xml:space="preserve"> estimate the duration of </w:t>
      </w:r>
      <w:r w:rsidR="00280516" w:rsidRPr="00CB0F2B">
        <w:rPr>
          <w:rFonts w:cstheme="minorBidi"/>
          <w:szCs w:val="20"/>
        </w:rPr>
        <w:t xml:space="preserve">infection at diagnosis from Figure 10. Note that this is not the duration to onset of </w:t>
      </w:r>
      <w:proofErr w:type="spellStart"/>
      <w:r w:rsidR="00280516" w:rsidRPr="00CB0F2B">
        <w:rPr>
          <w:rFonts w:cstheme="minorBidi"/>
          <w:szCs w:val="20"/>
        </w:rPr>
        <w:t>sypmpthoms</w:t>
      </w:r>
      <w:proofErr w:type="spellEnd"/>
      <w:r w:rsidR="00280516" w:rsidRPr="00CB0F2B">
        <w:rPr>
          <w:rFonts w:cstheme="minorBidi"/>
          <w:szCs w:val="20"/>
        </w:rPr>
        <w:t xml:space="preserve">.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proofErr w:type="spellStart"/>
      <w:proofErr w:type="gramStart"/>
      <w:r w:rsidRPr="00256546">
        <w:rPr>
          <w:highlight w:val="yellow"/>
        </w:rPr>
        <w:t>rate.male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proofErr w:type="spellStart"/>
      <w:proofErr w:type="gramStart"/>
      <w:r w:rsidRPr="00256546">
        <w:rPr>
          <w:highlight w:val="yellow"/>
        </w:rPr>
        <w:t>rate.female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9411E3">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xml:space="preserve">. The risk remains elevated in secondary syphilis, characterized by mucocutaneous rashes and </w:t>
      </w:r>
      <w:proofErr w:type="spellStart"/>
      <w:r w:rsidRPr="005D61C9">
        <w:rPr>
          <w:rFonts w:cstheme="minorBidi"/>
          <w:szCs w:val="20"/>
        </w:rPr>
        <w:t>condylomata</w:t>
      </w:r>
      <w:proofErr w:type="spellEnd"/>
      <w:r w:rsidRPr="005D61C9">
        <w:rPr>
          <w:rFonts w:cstheme="minorBidi"/>
          <w:szCs w:val="20"/>
        </w:rPr>
        <w:t xml:space="preserve"> </w:t>
      </w:r>
      <w:proofErr w:type="spellStart"/>
      <w:r w:rsidRPr="005D61C9">
        <w:rPr>
          <w:rFonts w:cstheme="minorBidi"/>
          <w:szCs w:val="20"/>
        </w:rPr>
        <w:t>lata</w:t>
      </w:r>
      <w:proofErr w:type="spellEnd"/>
      <w:r w:rsidRPr="005D61C9">
        <w:rPr>
          <w:rFonts w:cstheme="minorBidi"/>
          <w:szCs w:val="20"/>
        </w:rPr>
        <w:t>, both rich in bacteria and highly transmissible. However, despite these suggestions in the literature, we could not find a study directly linking a relative increase in infectiousness across stages.</w:t>
      </w:r>
    </w:p>
    <w:p w14:paraId="7713733E" w14:textId="46D10613"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D685B">
        <w:rPr>
          <w:rFonts w:cs="Calibri"/>
          <w:szCs w:val="20"/>
        </w:rPr>
        <w:instrText xml:space="preserve"> ADDIN EN.CITE &lt;EndNote&gt;&lt;Cite&gt;&lt;Author&gt;Alexander&lt;/Author&gt;&lt;Year&gt;1949&lt;/Year&gt;&lt;RecNum&gt;1248&lt;/RecNum&gt;&lt;DisplayText&gt;&lt;style face="superscript"&gt;[13]&lt;/style&gt;&lt;/DisplayText&gt;&lt;record&gt;&lt;rec-number&gt;1248&lt;/rec-number&gt;&lt;foreign-keys&gt;&lt;key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D685B" w:rsidRPr="001D685B">
        <w:rPr>
          <w:rFonts w:cs="Calibri"/>
          <w:noProof/>
          <w:szCs w:val="20"/>
          <w:vertAlign w:val="superscript"/>
        </w:rPr>
        <w:t>[13]</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9411E3">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w:t>
      </w:r>
      <w:proofErr w:type="spellStart"/>
      <w:r>
        <w:t>multibirths</w:t>
      </w:r>
      <w:proofErr w:type="spellEnd"/>
      <w:r>
        <w:t xml:space="preserve"> </w:t>
      </w:r>
    </w:p>
    <w:p w14:paraId="48E3A9C7" w14:textId="7DB8A659" w:rsidR="00847F38" w:rsidRDefault="00847F38" w:rsidP="00847F38">
      <w:r>
        <w:t>In the United States in 2023, 96.9% of all live births were singleton births and 3.1% were multiple births.</w:t>
      </w:r>
      <w:r w:rsidR="0056198A">
        <w:fldChar w:fldCharType="begin"/>
      </w:r>
      <w:r w:rsidR="003546D4">
        <w:instrText xml:space="preserve"> ADDIN EN.CITE &lt;EndNote&gt;&lt;Cite&gt;&lt;Author&gt;March of Dimes&lt;/Author&gt;&lt;Year&gt;2023&lt;/Year&gt;&lt;RecNum&gt;1256&lt;/RecNum&gt;&lt;DisplayText&gt;&lt;style face="superscript"&gt;[20]&lt;/style&gt;&lt;/DisplayText&gt;&lt;record&gt;&lt;rec-number&gt;1256&lt;/rec-number&gt;&lt;foreign-keys&gt;&lt;key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D685B" w:rsidRPr="001D685B">
        <w:rPr>
          <w:noProof/>
          <w:vertAlign w:val="superscript"/>
        </w:rPr>
        <w:t>[20]</w:t>
      </w:r>
      <w:r w:rsidR="0056198A">
        <w:fldChar w:fldCharType="end"/>
      </w:r>
    </w:p>
    <w:p w14:paraId="7090F88A" w14:textId="56AAE8C3" w:rsidR="00C268A5" w:rsidRPr="00C268A5" w:rsidRDefault="00C268A5" w:rsidP="00C268A5">
      <w:r>
        <w:t xml:space="preserve">Race specific estimates if we need them </w:t>
      </w:r>
      <w:proofErr w:type="gramStart"/>
      <w:r>
        <w:t>later on</w:t>
      </w:r>
      <w:proofErr w:type="gramEnd"/>
      <w:r>
        <w:t xml:space="preserve">: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3D14B934" w:rsidR="005971F9" w:rsidRDefault="005971F9" w:rsidP="00537214">
      <w:pPr>
        <w:pStyle w:val="ListParagraph"/>
        <w:numPr>
          <w:ilvl w:val="0"/>
          <w:numId w:val="22"/>
        </w:numPr>
      </w:pPr>
      <w:r>
        <w:t xml:space="preserve">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w:t>
      </w:r>
      <w:proofErr w:type="gramStart"/>
      <w:r>
        <w:t>full term</w:t>
      </w:r>
      <w:proofErr w:type="gramEnd"/>
      <w:r>
        <w:t xml:space="preserve">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D685B">
        <w:instrText xml:space="preserve"> ADDIN EN.CITE &lt;EndNote&gt;&lt;Cite&gt;&lt;Author&gt;Ingraham Jr&lt;/Author&gt;&lt;Year&gt;1950&lt;/Year&gt;&lt;RecNum&gt;1255&lt;/RecNum&gt;&lt;DisplayText&gt;&lt;style face="superscript"&gt;[17]&lt;/style&gt;&lt;/DisplayText&gt;&lt;record&gt;&lt;rec-number&gt;1255&lt;/rec-number&gt;&lt;foreign-keys&gt;&lt;key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D685B" w:rsidRPr="001D685B">
        <w:rPr>
          <w:noProof/>
          <w:vertAlign w:val="superscript"/>
        </w:rPr>
        <w:t>[17]</w:t>
      </w:r>
      <w:r w:rsidR="001810EC">
        <w:fldChar w:fldCharType="end"/>
      </w:r>
    </w:p>
    <w:p w14:paraId="2AE50D5E" w14:textId="573FED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D685B">
        <w:instrText xml:space="preserve"> ADDIN EN.CITE &lt;EndNote&gt;&lt;Cite&gt;&lt;Author&gt;Fiumara&lt;/Author&gt;&lt;Year&gt;1952&lt;/Year&gt;&lt;RecNum&gt;1252&lt;/RecNum&gt;&lt;DisplayText&gt;&lt;style face="superscript"&gt;[15]&lt;/style&gt;&lt;/DisplayText&gt;&lt;record&gt;&lt;rec-number&gt;1252&lt;/rec-number&gt;&lt;foreign-keys&gt;&lt;key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D685B" w:rsidRPr="001D685B">
        <w:rPr>
          <w:noProof/>
          <w:vertAlign w:val="superscript"/>
        </w:rPr>
        <w:t>[15]</w:t>
      </w:r>
      <w:r>
        <w:fldChar w:fldCharType="end"/>
      </w:r>
    </w:p>
    <w:p w14:paraId="261ED97F" w14:textId="1D981AFA"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D685B">
        <w:instrText xml:space="preserve"> ADDIN EN.CITE &lt;EndNote&gt;&lt;Cite&gt;&lt;Author&gt;Sheffield&lt;/Author&gt;&lt;Year&gt;2002&lt;/Year&gt;&lt;RecNum&gt;1254&lt;/RecNum&gt;&lt;DisplayText&gt;&lt;style face="superscript"&gt;[27]&lt;/style&gt;&lt;/DisplayText&gt;&lt;record&gt;&lt;rec-number&gt;1254&lt;/rec-number&gt;&lt;foreign-keys&gt;&lt;key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D685B" w:rsidRPr="001D685B">
        <w:rPr>
          <w:noProof/>
          <w:vertAlign w:val="superscript"/>
        </w:rPr>
        <w:t>[27]</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09E95314" w:rsidR="006C6C1B" w:rsidRDefault="006C6C1B" w:rsidP="00955D96">
      <w:r w:rsidRPr="005E5A7D">
        <w:rPr>
          <w:b/>
          <w:bCs/>
        </w:rPr>
        <w:t xml:space="preserve">Risk of congenital syphilis </w:t>
      </w: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89F4AAB"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D685B">
        <w:instrText xml:space="preserve"> ADDIN EN.CITE &lt;EndNote&gt;&lt;Cite&gt;&lt;Author&gt;Hawkes&lt;/Author&gt;&lt;Year&gt;2013&lt;/Year&gt;&lt;RecNum&gt;1260&lt;/RecNum&gt;&lt;DisplayText&gt;&lt;style face="superscript"&gt;[28]&lt;/style&gt;&lt;/DisplayText&gt;&lt;record&gt;&lt;rec-number&gt;1260&lt;/rec-number&gt;&lt;foreign-keys&gt;&lt;key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D685B" w:rsidRPr="001D685B">
        <w:rPr>
          <w:noProof/>
          <w:vertAlign w:val="superscript"/>
        </w:rPr>
        <w:t>[28]</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48EAF3DB"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D685B">
        <w:instrText xml:space="preserve"> ADDIN EN.CITE &lt;EndNote&gt;&lt;Cite&gt;&lt;Author&gt;Tannis&lt;/Author&gt;&lt;Year&gt;2022&lt;/Year&gt;&lt;RecNum&gt;1278&lt;/RecNum&gt;&lt;DisplayText&gt;&lt;style face="superscript"&gt;[29]&lt;/style&gt;&lt;/DisplayText&gt;&lt;record&gt;&lt;rec-number&gt;1278&lt;/rec-number&gt;&lt;foreign-keys&gt;&lt;key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D685B" w:rsidRPr="001D685B">
        <w:rPr>
          <w:noProof/>
          <w:vertAlign w:val="superscript"/>
        </w:rPr>
        <w:t>[29]</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t>
      </w:r>
      <w:proofErr w:type="gramStart"/>
      <w:r w:rsidRPr="00B92F69">
        <w:rPr>
          <w:i/>
          <w:iCs/>
        </w:rPr>
        <w:t xml:space="preserve">were </w:t>
      </w:r>
      <w:r>
        <w:rPr>
          <w:i/>
          <w:iCs/>
        </w:rPr>
        <w:t xml:space="preserve"> a</w:t>
      </w:r>
      <w:r w:rsidRPr="00B92F69">
        <w:rPr>
          <w:i/>
          <w:iCs/>
        </w:rPr>
        <w:t>dequately</w:t>
      </w:r>
      <w:proofErr w:type="gramEnd"/>
      <w:r w:rsidRPr="00B92F69">
        <w:rPr>
          <w:i/>
          <w:iCs/>
        </w:rPr>
        <w:t xml:space="preserve">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0E412DDA"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D685B">
        <w:instrText xml:space="preserve"> ADDIN EN.CITE &lt;EndNote&gt;&lt;Cite&gt;&lt;Author&gt;Workowski&lt;/Author&gt;&lt;Year&gt;2021&lt;/Year&gt;&lt;RecNum&gt;1261&lt;/RecNum&gt;&lt;DisplayText&gt;&lt;style face="superscript"&gt;[30]&lt;/style&gt;&lt;/DisplayText&gt;&lt;record&gt;&lt;rec-number&gt;1261&lt;/rec-number&gt;&lt;foreign-keys&gt;&lt;key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D685B" w:rsidRPr="001D685B">
        <w:rPr>
          <w:noProof/>
          <w:vertAlign w:val="superscript"/>
        </w:rPr>
        <w:t>[30]</w:t>
      </w:r>
      <w:r>
        <w:fldChar w:fldCharType="end"/>
      </w:r>
      <w:r>
        <w:t xml:space="preserve">. </w:t>
      </w:r>
    </w:p>
    <w:p w14:paraId="0509AD2E" w14:textId="7DB2B54E"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D685B">
        <w:instrText xml:space="preserve"> ADDIN EN.CITE &lt;EndNote&gt;&lt;Cite&gt;&lt;Author&gt;Alexander&lt;/Author&gt;&lt;Year&gt;1999&lt;/Year&gt;&lt;RecNum&gt;1262&lt;/RecNum&gt;&lt;DisplayText&gt;&lt;style face="superscript"&gt;[19]&lt;/style&gt;&lt;/DisplayText&gt;&lt;record&gt;&lt;rec-number&gt;1262&lt;/rec-number&gt;&lt;foreign-keys&gt;&lt;key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D685B" w:rsidRPr="001D685B">
        <w:rPr>
          <w:noProof/>
          <w:vertAlign w:val="superscript"/>
        </w:rPr>
        <w:t>[19]</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9411E3">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332EECF5"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D685B">
        <w:rPr>
          <w:rFonts w:cs="Calibri"/>
          <w:szCs w:val="20"/>
        </w:rPr>
        <w:instrText xml:space="preserve"> ADDIN EN.CITE &lt;EndNote&gt;&lt;Cite&gt;&lt;Author&gt;Robinson&lt;/Author&gt;&lt;Year&gt;2016&lt;/Year&gt;&lt;RecNum&gt;1263&lt;/RecNum&gt;&lt;DisplayText&gt;&lt;style face="superscript"&gt;[31]&lt;/style&gt;&lt;/DisplayText&gt;&lt;record&gt;&lt;rec-number&gt;1263&lt;/rec-number&gt;&lt;foreign-keys&gt;&lt;key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D685B" w:rsidRPr="001D685B">
        <w:rPr>
          <w:rFonts w:cs="Calibri"/>
          <w:noProof/>
          <w:szCs w:val="20"/>
          <w:vertAlign w:val="superscript"/>
        </w:rPr>
        <w:t>[31]</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 xml:space="preserve">Primary and secondary syphilis cases reported from during the period January 1, 2009, to December 31, </w:t>
      </w:r>
      <w:proofErr w:type="gramStart"/>
      <w:r w:rsidRPr="009C5954">
        <w:rPr>
          <w:rFonts w:cs="Calibri"/>
          <w:szCs w:val="20"/>
        </w:rPr>
        <w:t>2012</w:t>
      </w:r>
      <w:r>
        <w:rPr>
          <w:rFonts w:cs="Calibri"/>
          <w:szCs w:val="20"/>
        </w:rPr>
        <w:t xml:space="preserve"> </w:t>
      </w:r>
      <w:r w:rsidRPr="009C5954">
        <w:rPr>
          <w:rFonts w:cs="Calibri"/>
          <w:szCs w:val="20"/>
        </w:rPr>
        <w:t xml:space="preserve"> were</w:t>
      </w:r>
      <w:proofErr w:type="gramEnd"/>
      <w:r w:rsidRPr="009C5954">
        <w:rPr>
          <w:rFonts w:cs="Calibri"/>
          <w:szCs w:val="20"/>
        </w:rPr>
        <w:t xml:space="preserv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proofErr w:type="spellStart"/>
      <w:proofErr w:type="gramStart"/>
      <w:r w:rsidRPr="007958DF">
        <w:rPr>
          <w:rFonts w:cs="Calibri"/>
          <w:b/>
          <w:bCs/>
          <w:szCs w:val="20"/>
          <w:highlight w:val="yellow"/>
        </w:rPr>
        <w:t>proportion.immediately</w:t>
      </w:r>
      <w:proofErr w:type="gramEnd"/>
      <w:r w:rsidRPr="007958DF">
        <w:rPr>
          <w:rFonts w:cs="Calibri"/>
          <w:b/>
          <w:bCs/>
          <w:szCs w:val="20"/>
          <w:highlight w:val="yellow"/>
        </w:rPr>
        <w:t>.treated</w:t>
      </w:r>
      <w:proofErr w:type="spellEnd"/>
      <w:r w:rsidRPr="007958DF">
        <w:rPr>
          <w:rFonts w:cs="Calibri"/>
          <w:b/>
          <w:bCs/>
          <w:szCs w:val="20"/>
          <w:highlight w:val="yellow"/>
        </w:rPr>
        <w:t>=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w:t>
      </w:r>
      <w:proofErr w:type="gramStart"/>
      <w:r w:rsidRPr="007958DF">
        <w:rPr>
          <w:rFonts w:cs="Calibri"/>
          <w:szCs w:val="20"/>
        </w:rPr>
        <w:t xml:space="preserve">treatment </w:t>
      </w:r>
      <w:r>
        <w:rPr>
          <w:rFonts w:cs="Calibri"/>
          <w:szCs w:val="20"/>
        </w:rPr>
        <w:t>:</w:t>
      </w:r>
      <w:proofErr w:type="gramEnd"/>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w:t>
      </w:r>
      <w:proofErr w:type="gramStart"/>
      <w:r w:rsidRPr="007958DF">
        <w:rPr>
          <w:rFonts w:cs="Calibri"/>
          <w:szCs w:val="20"/>
        </w:rPr>
        <w:t>/(</w:t>
      </w:r>
      <w:proofErr w:type="gramEnd"/>
      <w:r w:rsidRPr="007958DF">
        <w:rPr>
          <w:rFonts w:cs="Calibri"/>
          <w:szCs w:val="20"/>
        </w:rPr>
        <w:t>1-0.</w:t>
      </w:r>
      <w:proofErr w:type="gramStart"/>
      <w:r w:rsidRPr="007958DF">
        <w:rPr>
          <w:rFonts w:cs="Calibri"/>
          <w:szCs w:val="20"/>
        </w:rPr>
        <w:t>89)</w:t>
      </w:r>
      <w:r w:rsidR="000824FD">
        <w:rPr>
          <w:rFonts w:cs="Calibri"/>
          <w:szCs w:val="20"/>
        </w:rPr>
        <w:t>=</w:t>
      </w:r>
      <w:proofErr w:type="gramEnd"/>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r= -log(1-p)/</w:t>
      </w:r>
      <w:proofErr w:type="gramStart"/>
      <w:r w:rsidRPr="007958DF">
        <w:rPr>
          <w:rFonts w:cs="Calibri"/>
          <w:b/>
          <w:bCs/>
          <w:szCs w:val="20"/>
          <w:highlight w:val="yellow"/>
        </w:rPr>
        <w:t xml:space="preserve">t  </w:t>
      </w:r>
      <w:r w:rsidR="00271998">
        <w:rPr>
          <w:rFonts w:cs="Calibri"/>
          <w:b/>
          <w:bCs/>
          <w:szCs w:val="20"/>
          <w:highlight w:val="yellow"/>
        </w:rPr>
        <w:t>-</w:t>
      </w:r>
      <w:proofErr w:type="gramEnd"/>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 xml:space="preserve">Chen SY, Johnson M, </w:t>
      </w:r>
      <w:proofErr w:type="spellStart"/>
      <w:r w:rsidRPr="00540970">
        <w:rPr>
          <w:rFonts w:cs="Calibri"/>
          <w:szCs w:val="20"/>
        </w:rPr>
        <w:t>Sunenshine</w:t>
      </w:r>
      <w:proofErr w:type="spellEnd"/>
      <w:r w:rsidRPr="00540970">
        <w:rPr>
          <w:rFonts w:cs="Calibri"/>
          <w:szCs w:val="20"/>
        </w:rPr>
        <w:t xml:space="preserv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w:t>
      </w:r>
      <w:proofErr w:type="gramStart"/>
      <w:r>
        <w:rPr>
          <w:rFonts w:cs="Calibri"/>
          <w:szCs w:val="20"/>
        </w:rPr>
        <w:t>Maricopa county</w:t>
      </w:r>
      <w:proofErr w:type="gramEnd"/>
      <w:r>
        <w:rPr>
          <w:rFonts w:cs="Calibri"/>
          <w:szCs w:val="20"/>
        </w:rPr>
        <w:t xml:space="preserve">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411E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Number of Partners Newly Diagnosed and Treated per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w:t>
      </w:r>
      <w:proofErr w:type="gramStart"/>
      <w:r w:rsidRPr="00AF7F82">
        <w:t>tested, and</w:t>
      </w:r>
      <w:proofErr w:type="gramEnd"/>
      <w:r w:rsidRPr="00AF7F82">
        <w:t xml:space="preserve">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9411E3">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 xml:space="preserve">contact with an independently documented early syphilis </w:t>
      </w:r>
      <w:proofErr w:type="gramStart"/>
      <w:r w:rsidR="00F22807" w:rsidRPr="00F22807">
        <w:rPr>
          <w:rFonts w:cstheme="minorBidi"/>
          <w:szCs w:val="20"/>
        </w:rPr>
        <w:t>case</w:t>
      </w:r>
      <w:r w:rsidR="00F22807">
        <w:rPr>
          <w:rFonts w:cstheme="minorBidi"/>
          <w:szCs w:val="20"/>
        </w:rPr>
        <w:t>.</w:t>
      </w:r>
      <w:r w:rsidR="00054D15" w:rsidRPr="007C02ED">
        <w:rPr>
          <w:rFonts w:cstheme="minorBidi"/>
          <w:szCs w:val="20"/>
        </w:rPr>
        <w:t>.</w:t>
      </w:r>
      <w:proofErr w:type="gramEnd"/>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w:t>
      </w:r>
      <w:proofErr w:type="spellStart"/>
      <w:r w:rsidRPr="009A65AE">
        <w:t>Rosahn's</w:t>
      </w:r>
      <w:proofErr w:type="spellEnd"/>
      <w:r w:rsidRPr="009A65AE">
        <w:t xml:space="preserve">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 xml:space="preserve">8.5% </w:t>
      </w:r>
      <w:proofErr w:type="spellStart"/>
      <w:r w:rsidRPr="009A65AE">
        <w:rPr>
          <w:b/>
          <w:bCs/>
        </w:rPr>
        <w:t>gummatous</w:t>
      </w:r>
      <w:proofErr w:type="spellEnd"/>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xml:space="preserve"> Eventually, 28% of patients developed clinically evident complications of late disease including cardiovascular syphilis (10%), symptomatic </w:t>
      </w:r>
      <w:proofErr w:type="gramStart"/>
      <w:r w:rsidRPr="009A65AE">
        <w:t>neurosyphilis(</w:t>
      </w:r>
      <w:proofErr w:type="gramEnd"/>
      <w:r w:rsidRPr="009A65AE">
        <w:t>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 xml:space="preserve">It’s unclear to me if the final proportions are after factoring in the 30% or not. I assume that they are.  However, these proportions </w:t>
      </w:r>
      <w:proofErr w:type="gramStart"/>
      <w:r w:rsidRPr="00604172">
        <w:rPr>
          <w:rFonts w:cstheme="minorBidi"/>
          <w:szCs w:val="20"/>
        </w:rPr>
        <w:t>are in contrast to</w:t>
      </w:r>
      <w:proofErr w:type="gramEnd"/>
      <w:r w:rsidRPr="00604172">
        <w:rPr>
          <w:rFonts w:cstheme="minorBidi"/>
          <w:szCs w:val="20"/>
        </w:rPr>
        <w:t xml:space="preserve"> Oslo’s study finding </w:t>
      </w:r>
      <w:proofErr w:type="gramStart"/>
      <w:r w:rsidRPr="00604172">
        <w:rPr>
          <w:rFonts w:cstheme="minorBidi"/>
          <w:szCs w:val="20"/>
        </w:rPr>
        <w:t>the majority of</w:t>
      </w:r>
      <w:proofErr w:type="gramEnd"/>
      <w:r w:rsidRPr="00604172">
        <w:rPr>
          <w:rFonts w:cstheme="minorBidi"/>
          <w:szCs w:val="20"/>
        </w:rPr>
        <w:t xml:space="preserve">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xml:space="preserve"> estimates the following proportions from the literature: Progressive inflammation caused </w:t>
      </w:r>
      <w:proofErr w:type="spellStart"/>
      <w:r w:rsidRPr="00604172">
        <w:rPr>
          <w:rFonts w:cstheme="minorBidi"/>
          <w:szCs w:val="20"/>
        </w:rPr>
        <w:t>gumma</w:t>
      </w:r>
      <w:proofErr w:type="spellEnd"/>
      <w:r w:rsidRPr="00604172">
        <w:rPr>
          <w:rFonts w:cstheme="minorBidi"/>
          <w:szCs w:val="20"/>
        </w:rPr>
        <w:t xml:space="preserve">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 xml:space="preserve">These results are </w:t>
      </w:r>
      <w:proofErr w:type="spellStart"/>
      <w:r w:rsidRPr="00604172">
        <w:rPr>
          <w:rFonts w:cstheme="minorBidi"/>
          <w:szCs w:val="20"/>
        </w:rPr>
        <w:t>inline</w:t>
      </w:r>
      <w:proofErr w:type="spellEnd"/>
      <w:r w:rsidRPr="00604172">
        <w:rPr>
          <w:rFonts w:cstheme="minorBidi"/>
          <w:szCs w:val="20"/>
        </w:rPr>
        <w:t xml:space="preserv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Everyone was followed until the event occurs,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w:t>
      </w:r>
      <w:proofErr w:type="spellStart"/>
      <w:r>
        <w:t>followup</w:t>
      </w:r>
      <w:proofErr w:type="spellEnd"/>
      <w:r>
        <w:t xml:space="preserve">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w:t>
      </w:r>
      <w:proofErr w:type="gramStart"/>
      <w:r>
        <w:t>log(</w:t>
      </w:r>
      <w:proofErr w:type="gramEnd"/>
      <w:r>
        <w:t>1- 14%)/28.5 =    0.53% men and -</w:t>
      </w:r>
      <w:proofErr w:type="gramStart"/>
      <w:r>
        <w:t>log(</w:t>
      </w:r>
      <w:proofErr w:type="gramEnd"/>
      <w:r>
        <w:t>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w:t>
      </w:r>
      <w:proofErr w:type="gramStart"/>
      <w:r w:rsidRPr="00AD4E94">
        <w:t>log(</w:t>
      </w:r>
      <w:proofErr w:type="gramEnd"/>
      <w:r w:rsidRPr="00AD4E94">
        <w:t>1-0.136)/</w:t>
      </w:r>
      <w:r>
        <w:t>2</w:t>
      </w:r>
      <w:r w:rsidRPr="00AD4E94">
        <w:t>0</w:t>
      </w:r>
      <w:r>
        <w:t xml:space="preserve"> = 0.73% men and </w:t>
      </w:r>
      <w:r w:rsidRPr="007E4A15">
        <w:t>-</w:t>
      </w:r>
      <w:proofErr w:type="gramStart"/>
      <w:r w:rsidRPr="007E4A15">
        <w:t>log(</w:t>
      </w:r>
      <w:proofErr w:type="gramEnd"/>
      <w:r w:rsidRPr="007E4A15">
        <w:t>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w:t>
      </w:r>
      <w:proofErr w:type="gramStart"/>
      <w:r w:rsidRPr="002F78AB">
        <w:rPr>
          <w:color w:val="A02B93" w:themeColor="accent5"/>
          <w:u w:val="single"/>
        </w:rPr>
        <w:t>log(</w:t>
      </w:r>
      <w:proofErr w:type="gramEnd"/>
      <w:r w:rsidRPr="002F78AB">
        <w:rPr>
          <w:color w:val="A02B93" w:themeColor="accent5"/>
          <w:u w:val="single"/>
        </w:rPr>
        <w:t xml:space="preserve">1- 0.094)/14.5= 0.68% for </w:t>
      </w:r>
      <w:proofErr w:type="gramStart"/>
      <w:r w:rsidRPr="002F78AB">
        <w:rPr>
          <w:color w:val="A02B93" w:themeColor="accent5"/>
          <w:u w:val="single"/>
        </w:rPr>
        <w:t>men  &amp;</w:t>
      </w:r>
      <w:proofErr w:type="gramEnd"/>
      <w:r w:rsidRPr="002F78AB">
        <w:rPr>
          <w:color w:val="A02B93" w:themeColor="accent5"/>
          <w:u w:val="single"/>
        </w:rPr>
        <w:t xml:space="preserve"> -</w:t>
      </w:r>
      <w:proofErr w:type="gramStart"/>
      <w:r w:rsidRPr="002F78AB">
        <w:rPr>
          <w:color w:val="A02B93" w:themeColor="accent5"/>
          <w:u w:val="single"/>
        </w:rPr>
        <w:t>log(</w:t>
      </w:r>
      <w:proofErr w:type="gramEnd"/>
      <w:r w:rsidRPr="002F78AB">
        <w:rPr>
          <w:color w:val="A02B93" w:themeColor="accent5"/>
          <w:u w:val="single"/>
        </w:rPr>
        <w:t>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7BB813C" w14:textId="6E2850FA" w:rsidR="00131835" w:rsidRPr="009A65AE"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r w:rsidR="00131835" w:rsidRPr="009A65AE">
        <w:rPr>
          <w:rFonts w:cstheme="minorBidi"/>
          <w:szCs w:val="20"/>
        </w:rPr>
        <w:br w:type="page"/>
      </w:r>
    </w:p>
    <w:p w14:paraId="2AD9DCAA" w14:textId="0133C53C" w:rsidR="00A41859" w:rsidRPr="009A65AE" w:rsidRDefault="00CE5EBA" w:rsidP="009411E3">
      <w:pPr>
        <w:pStyle w:val="Heading1"/>
      </w:pPr>
      <w:r>
        <w:lastRenderedPageBreak/>
        <w:t xml:space="preserve">References </w:t>
      </w:r>
    </w:p>
    <w:p w14:paraId="0CB796D5" w14:textId="77777777" w:rsidR="00CA4C2A" w:rsidRPr="00CA4C2A" w:rsidRDefault="009E5F82" w:rsidP="00CA4C2A">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CA4C2A" w:rsidRPr="00CA4C2A">
        <w:rPr>
          <w:noProof/>
        </w:rPr>
        <w:t xml:space="preserve">1. Centers for Disease Control and Prevention (CDC). </w:t>
      </w:r>
      <w:r w:rsidR="00CA4C2A" w:rsidRPr="00CA4C2A">
        <w:rPr>
          <w:b/>
          <w:noProof/>
        </w:rPr>
        <w:t xml:space="preserve">Sexually Transmitted Infections Surveillance, 2023 </w:t>
      </w:r>
      <w:r w:rsidR="00CA4C2A" w:rsidRPr="00CA4C2A">
        <w:rPr>
          <w:noProof/>
        </w:rPr>
        <w:t>In. Atlanta: US Department of Health and Human Services; 2024.</w:t>
      </w:r>
    </w:p>
    <w:p w14:paraId="792438D2" w14:textId="77777777" w:rsidR="00CA4C2A" w:rsidRPr="00CA4C2A" w:rsidRDefault="00CA4C2A" w:rsidP="00CA4C2A">
      <w:pPr>
        <w:pStyle w:val="EndNoteBibliography"/>
        <w:spacing w:after="0"/>
        <w:ind w:left="0" w:firstLine="0"/>
        <w:rPr>
          <w:noProof/>
        </w:rPr>
      </w:pPr>
      <w:r w:rsidRPr="00CA4C2A">
        <w:rPr>
          <w:noProof/>
        </w:rPr>
        <w:t xml:space="preserve">2. Mathews T, Hamilton BE. </w:t>
      </w:r>
      <w:r w:rsidRPr="00CA4C2A">
        <w:rPr>
          <w:b/>
          <w:noProof/>
        </w:rPr>
        <w:t>Trend analysis of the sex ratio at birth in the United States</w:t>
      </w:r>
      <w:r w:rsidRPr="00CA4C2A">
        <w:rPr>
          <w:noProof/>
        </w:rPr>
        <w:t xml:space="preserve">. </w:t>
      </w:r>
      <w:r w:rsidRPr="00CA4C2A">
        <w:rPr>
          <w:i/>
          <w:noProof/>
        </w:rPr>
        <w:t xml:space="preserve">National vital statistics reports </w:t>
      </w:r>
      <w:r w:rsidRPr="00CA4C2A">
        <w:rPr>
          <w:noProof/>
        </w:rPr>
        <w:t>2005; 53(20):1-17.</w:t>
      </w:r>
    </w:p>
    <w:p w14:paraId="35163802" w14:textId="77777777" w:rsidR="00CA4C2A" w:rsidRPr="00CA4C2A" w:rsidRDefault="00CA4C2A" w:rsidP="00CA4C2A">
      <w:pPr>
        <w:pStyle w:val="EndNoteBibliography"/>
        <w:spacing w:after="0"/>
        <w:ind w:left="0" w:firstLine="0"/>
        <w:rPr>
          <w:noProof/>
        </w:rPr>
      </w:pPr>
      <w:r w:rsidRPr="00CA4C2A">
        <w:rPr>
          <w:noProof/>
        </w:rPr>
        <w:t xml:space="preserve">3. Mercuri SR, Moliterni E, Cerullo A, Di Nicola MR, Rizzo N, Bianchi VG, et al. </w:t>
      </w:r>
      <w:r w:rsidRPr="00CA4C2A">
        <w:rPr>
          <w:b/>
          <w:noProof/>
        </w:rPr>
        <w:t>Syphilis: a mini review of the history, epidemiology and focus on microbiota</w:t>
      </w:r>
      <w:r w:rsidRPr="00CA4C2A">
        <w:rPr>
          <w:noProof/>
        </w:rPr>
        <w:t xml:space="preserve">. </w:t>
      </w:r>
      <w:r w:rsidRPr="00CA4C2A">
        <w:rPr>
          <w:i/>
          <w:noProof/>
        </w:rPr>
        <w:t xml:space="preserve">New Microbiol </w:t>
      </w:r>
      <w:r w:rsidRPr="00CA4C2A">
        <w:rPr>
          <w:noProof/>
        </w:rPr>
        <w:t>2022; 45(1):28-34.</w:t>
      </w:r>
    </w:p>
    <w:p w14:paraId="72E5DDC8" w14:textId="77777777" w:rsidR="00CA4C2A" w:rsidRPr="00CA4C2A" w:rsidRDefault="00CA4C2A" w:rsidP="00CA4C2A">
      <w:pPr>
        <w:pStyle w:val="EndNoteBibliography"/>
        <w:spacing w:after="0"/>
        <w:ind w:left="0" w:firstLine="0"/>
        <w:rPr>
          <w:noProof/>
        </w:rPr>
      </w:pPr>
      <w:r w:rsidRPr="00CA4C2A">
        <w:rPr>
          <w:noProof/>
        </w:rPr>
        <w:t xml:space="preserve">4. Kent ME, Romanelli F. </w:t>
      </w:r>
      <w:r w:rsidRPr="00CA4C2A">
        <w:rPr>
          <w:b/>
          <w:noProof/>
        </w:rPr>
        <w:t>Reexamining syphilis: an update on epidemiology, clinical manifestations, and management</w:t>
      </w:r>
      <w:r w:rsidRPr="00CA4C2A">
        <w:rPr>
          <w:noProof/>
        </w:rPr>
        <w:t xml:space="preserve">. </w:t>
      </w:r>
      <w:r w:rsidRPr="00CA4C2A">
        <w:rPr>
          <w:i/>
          <w:noProof/>
        </w:rPr>
        <w:t xml:space="preserve">Ann Pharmacother </w:t>
      </w:r>
      <w:r w:rsidRPr="00CA4C2A">
        <w:rPr>
          <w:noProof/>
        </w:rPr>
        <w:t>2008; 42(2):226-236.</w:t>
      </w:r>
    </w:p>
    <w:p w14:paraId="1B7605F4" w14:textId="4661FBD6" w:rsidR="00CA4C2A" w:rsidRPr="00CA4C2A" w:rsidRDefault="00CA4C2A" w:rsidP="00CA4C2A">
      <w:pPr>
        <w:pStyle w:val="EndNoteBibliography"/>
        <w:spacing w:after="0"/>
        <w:ind w:left="0" w:firstLine="0"/>
        <w:rPr>
          <w:noProof/>
        </w:rPr>
      </w:pPr>
      <w:r w:rsidRPr="00CA4C2A">
        <w:rPr>
          <w:noProof/>
        </w:rPr>
        <w:t xml:space="preserve">5. Hicks CB, Clement M. </w:t>
      </w:r>
      <w:r w:rsidRPr="00CA4C2A">
        <w:rPr>
          <w:b/>
          <w:noProof/>
        </w:rPr>
        <w:t>Syphilis: epidemiology, pathophysiology, and clinical manifestations in patients without HIV</w:t>
      </w:r>
      <w:r w:rsidRPr="00CA4C2A">
        <w:rPr>
          <w:noProof/>
        </w:rPr>
        <w:t xml:space="preserve">. </w:t>
      </w:r>
      <w:r w:rsidRPr="00CA4C2A">
        <w:rPr>
          <w:i/>
          <w:noProof/>
        </w:rPr>
        <w:t xml:space="preserve">UpToDate, Alphen aan den Rijn, Netherlands: Wolters Kluwer </w:t>
      </w:r>
      <w:hyperlink r:id="rId20" w:history="1">
        <w:r w:rsidRPr="00CA4C2A">
          <w:rPr>
            <w:rStyle w:val="Hyperlink"/>
            <w:i/>
            <w:noProof/>
          </w:rPr>
          <w:t>https://www</w:t>
        </w:r>
      </w:hyperlink>
      <w:r w:rsidRPr="00CA4C2A">
        <w:rPr>
          <w:i/>
          <w:noProof/>
        </w:rPr>
        <w:t xml:space="preserve"> uptodate com/contents/syphilis-epidemiology-pathophysiology-and-clinical-manifestations-in-patients-without-hiv (Accessed 23 November 2023) </w:t>
      </w:r>
      <w:r w:rsidRPr="00CA4C2A">
        <w:rPr>
          <w:noProof/>
        </w:rPr>
        <w:t>2021.</w:t>
      </w:r>
    </w:p>
    <w:p w14:paraId="76B9568A" w14:textId="77777777" w:rsidR="00CA4C2A" w:rsidRPr="00CA4C2A" w:rsidRDefault="00CA4C2A" w:rsidP="00CA4C2A">
      <w:pPr>
        <w:pStyle w:val="EndNoteBibliography"/>
        <w:spacing w:after="0"/>
        <w:ind w:left="0" w:firstLine="0"/>
        <w:rPr>
          <w:noProof/>
        </w:rPr>
      </w:pPr>
      <w:r w:rsidRPr="00CA4C2A">
        <w:rPr>
          <w:noProof/>
        </w:rPr>
        <w:t xml:space="preserve">6. Lafond RE, Lukehart SA. </w:t>
      </w:r>
      <w:r w:rsidRPr="00CA4C2A">
        <w:rPr>
          <w:b/>
          <w:noProof/>
        </w:rPr>
        <w:t>Biological basis for syphilis</w:t>
      </w:r>
      <w:r w:rsidRPr="00CA4C2A">
        <w:rPr>
          <w:noProof/>
        </w:rPr>
        <w:t xml:space="preserve">. </w:t>
      </w:r>
      <w:r w:rsidRPr="00CA4C2A">
        <w:rPr>
          <w:i/>
          <w:noProof/>
        </w:rPr>
        <w:t xml:space="preserve">Clin Microbiol Rev </w:t>
      </w:r>
      <w:r w:rsidRPr="00CA4C2A">
        <w:rPr>
          <w:noProof/>
        </w:rPr>
        <w:t>2006; 19(1):29-49.</w:t>
      </w:r>
    </w:p>
    <w:p w14:paraId="28389E83" w14:textId="77777777" w:rsidR="00CA4C2A" w:rsidRPr="00CA4C2A" w:rsidRDefault="00CA4C2A" w:rsidP="00CA4C2A">
      <w:pPr>
        <w:pStyle w:val="EndNoteBibliography"/>
        <w:spacing w:after="0"/>
        <w:ind w:left="0" w:firstLine="0"/>
        <w:rPr>
          <w:noProof/>
        </w:rPr>
      </w:pPr>
      <w:r w:rsidRPr="00CA4C2A">
        <w:rPr>
          <w:noProof/>
        </w:rPr>
        <w:t xml:space="preserve">7. Gross G, Tyring SK. </w:t>
      </w:r>
      <w:r w:rsidRPr="00CA4C2A">
        <w:rPr>
          <w:b/>
          <w:noProof/>
        </w:rPr>
        <w:t>Sexually transmitted infections and sexually transmitted diseases</w:t>
      </w:r>
      <w:r w:rsidRPr="00CA4C2A">
        <w:rPr>
          <w:i/>
          <w:noProof/>
        </w:rPr>
        <w:t>.</w:t>
      </w:r>
      <w:r w:rsidRPr="00CA4C2A">
        <w:rPr>
          <w:noProof/>
        </w:rPr>
        <w:t xml:space="preserve"> Springer Science &amp; Business Media; 2011.</w:t>
      </w:r>
    </w:p>
    <w:p w14:paraId="3899093A" w14:textId="77777777" w:rsidR="00CA4C2A" w:rsidRPr="00CA4C2A" w:rsidRDefault="00CA4C2A" w:rsidP="00CA4C2A">
      <w:pPr>
        <w:pStyle w:val="EndNoteBibliography"/>
        <w:spacing w:after="0"/>
        <w:ind w:left="0" w:firstLine="0"/>
        <w:rPr>
          <w:noProof/>
        </w:rPr>
      </w:pPr>
      <w:r w:rsidRPr="00CA4C2A">
        <w:rPr>
          <w:noProof/>
        </w:rPr>
        <w:t xml:space="preserve">8. Singh AE, Romanowski B. </w:t>
      </w:r>
      <w:r w:rsidRPr="00CA4C2A">
        <w:rPr>
          <w:b/>
          <w:noProof/>
        </w:rPr>
        <w:t>Syphilis: review with emphasis on clinical, epidemiologic, and some biologic features</w:t>
      </w:r>
      <w:r w:rsidRPr="00CA4C2A">
        <w:rPr>
          <w:noProof/>
        </w:rPr>
        <w:t xml:space="preserve">. </w:t>
      </w:r>
      <w:r w:rsidRPr="00CA4C2A">
        <w:rPr>
          <w:i/>
          <w:noProof/>
        </w:rPr>
        <w:t xml:space="preserve">Clin Microbiol Rev </w:t>
      </w:r>
      <w:r w:rsidRPr="00CA4C2A">
        <w:rPr>
          <w:noProof/>
        </w:rPr>
        <w:t>1999; 12(2):187-209.</w:t>
      </w:r>
    </w:p>
    <w:p w14:paraId="202615AF" w14:textId="77777777" w:rsidR="00CA4C2A" w:rsidRPr="00CA4C2A" w:rsidRDefault="00CA4C2A" w:rsidP="00CA4C2A">
      <w:pPr>
        <w:pStyle w:val="EndNoteBibliography"/>
        <w:spacing w:after="0"/>
        <w:ind w:left="0" w:firstLine="0"/>
        <w:rPr>
          <w:noProof/>
        </w:rPr>
      </w:pPr>
      <w:r w:rsidRPr="00CA4C2A">
        <w:rPr>
          <w:noProof/>
        </w:rPr>
        <w:t xml:space="preserve">9. Peel J, Chow EP, Denham I, Schmidt T, Buchanan A, Fairley CK, et al. </w:t>
      </w:r>
      <w:r w:rsidRPr="00CA4C2A">
        <w:rPr>
          <w:b/>
          <w:noProof/>
        </w:rPr>
        <w:t>Clinical presentation of incident syphilis among men who have sex with men taking HIV pre-exposure prophylaxis in Melbourne, Australia</w:t>
      </w:r>
      <w:r w:rsidRPr="00CA4C2A">
        <w:rPr>
          <w:noProof/>
        </w:rPr>
        <w:t xml:space="preserve">. </w:t>
      </w:r>
      <w:r w:rsidRPr="00CA4C2A">
        <w:rPr>
          <w:i/>
          <w:noProof/>
        </w:rPr>
        <w:t xml:space="preserve">Clinical Infectious Diseases </w:t>
      </w:r>
      <w:r w:rsidRPr="00CA4C2A">
        <w:rPr>
          <w:noProof/>
        </w:rPr>
        <w:t>2021; 73(4):e934-e937.</w:t>
      </w:r>
    </w:p>
    <w:p w14:paraId="510C467F" w14:textId="77777777" w:rsidR="00CA4C2A" w:rsidRPr="00CA4C2A" w:rsidRDefault="00CA4C2A" w:rsidP="00CA4C2A">
      <w:pPr>
        <w:pStyle w:val="EndNoteBibliography"/>
        <w:spacing w:after="0"/>
        <w:ind w:left="0" w:firstLine="0"/>
        <w:rPr>
          <w:noProof/>
        </w:rPr>
      </w:pPr>
      <w:r w:rsidRPr="00CA4C2A">
        <w:rPr>
          <w:noProof/>
        </w:rPr>
        <w:t xml:space="preserve">10. De Voux A, Kidd S, Torrone EA. </w:t>
      </w:r>
      <w:r w:rsidRPr="00CA4C2A">
        <w:rPr>
          <w:b/>
          <w:noProof/>
        </w:rPr>
        <w:t>Reported cases of neurosyphilis among early syphilis cases—United States, 2009 to 2015</w:t>
      </w:r>
      <w:r w:rsidRPr="00CA4C2A">
        <w:rPr>
          <w:noProof/>
        </w:rPr>
        <w:t xml:space="preserve">. </w:t>
      </w:r>
      <w:r w:rsidRPr="00CA4C2A">
        <w:rPr>
          <w:i/>
          <w:noProof/>
        </w:rPr>
        <w:t xml:space="preserve">Sexually transmitted diseases </w:t>
      </w:r>
      <w:r w:rsidRPr="00CA4C2A">
        <w:rPr>
          <w:noProof/>
        </w:rPr>
        <w:t>2018; 45(1):39-41.</w:t>
      </w:r>
    </w:p>
    <w:p w14:paraId="20F073CB" w14:textId="77777777" w:rsidR="00CA4C2A" w:rsidRPr="00CA4C2A" w:rsidRDefault="00CA4C2A" w:rsidP="00CA4C2A">
      <w:pPr>
        <w:pStyle w:val="EndNoteBibliography"/>
        <w:spacing w:after="0"/>
        <w:ind w:left="0" w:firstLine="0"/>
        <w:rPr>
          <w:noProof/>
        </w:rPr>
      </w:pPr>
      <w:r w:rsidRPr="00CA4C2A">
        <w:rPr>
          <w:noProof/>
        </w:rPr>
        <w:t xml:space="preserve">11. Golden MR, Marra CM, Holmes KK. </w:t>
      </w:r>
      <w:r w:rsidRPr="00CA4C2A">
        <w:rPr>
          <w:b/>
          <w:noProof/>
        </w:rPr>
        <w:t>Update on syphilis: resurgence of an old problem</w:t>
      </w:r>
      <w:r w:rsidRPr="00CA4C2A">
        <w:rPr>
          <w:noProof/>
        </w:rPr>
        <w:t xml:space="preserve">. </w:t>
      </w:r>
      <w:r w:rsidRPr="00CA4C2A">
        <w:rPr>
          <w:i/>
          <w:noProof/>
        </w:rPr>
        <w:t xml:space="preserve">Jama </w:t>
      </w:r>
      <w:r w:rsidRPr="00CA4C2A">
        <w:rPr>
          <w:noProof/>
        </w:rPr>
        <w:t>2003; 290(11):1510-1514.</w:t>
      </w:r>
    </w:p>
    <w:p w14:paraId="582E7614" w14:textId="77777777" w:rsidR="00CA4C2A" w:rsidRPr="00CA4C2A" w:rsidRDefault="00CA4C2A" w:rsidP="00CA4C2A">
      <w:pPr>
        <w:pStyle w:val="EndNoteBibliography"/>
        <w:spacing w:after="0"/>
        <w:ind w:left="0" w:firstLine="0"/>
        <w:rPr>
          <w:noProof/>
        </w:rPr>
      </w:pPr>
      <w:r w:rsidRPr="00CA4C2A">
        <w:rPr>
          <w:noProof/>
        </w:rPr>
        <w:t xml:space="preserve">12. Clark EG, Danbolt N. </w:t>
      </w:r>
      <w:r w:rsidRPr="00CA4C2A">
        <w:rPr>
          <w:b/>
          <w:noProof/>
        </w:rPr>
        <w:t>The Oslo study of the natural history of untreated syphilis: an epidemiologic investigation based on a restudy of the Boeck-Bruusgaard material a review and appraisal</w:t>
      </w:r>
      <w:r w:rsidRPr="00CA4C2A">
        <w:rPr>
          <w:noProof/>
        </w:rPr>
        <w:t xml:space="preserve">. </w:t>
      </w:r>
      <w:r w:rsidRPr="00CA4C2A">
        <w:rPr>
          <w:i/>
          <w:noProof/>
        </w:rPr>
        <w:t xml:space="preserve">Journal of chronic diseases </w:t>
      </w:r>
      <w:r w:rsidRPr="00CA4C2A">
        <w:rPr>
          <w:noProof/>
        </w:rPr>
        <w:t>1955; 2(3):311-344.</w:t>
      </w:r>
    </w:p>
    <w:p w14:paraId="1EDE424F" w14:textId="77777777" w:rsidR="00CA4C2A" w:rsidRPr="00CA4C2A" w:rsidRDefault="00CA4C2A" w:rsidP="00CA4C2A">
      <w:pPr>
        <w:pStyle w:val="EndNoteBibliography"/>
        <w:spacing w:after="0"/>
        <w:ind w:left="0" w:firstLine="0"/>
        <w:rPr>
          <w:noProof/>
        </w:rPr>
      </w:pPr>
      <w:r w:rsidRPr="00CA4C2A">
        <w:rPr>
          <w:noProof/>
        </w:rPr>
        <w:t xml:space="preserve">13. Alexander LJ, SCHOCH AG. </w:t>
      </w:r>
      <w:r w:rsidRPr="00CA4C2A">
        <w:rPr>
          <w:b/>
          <w:noProof/>
        </w:rPr>
        <w:t>Prevention of syphilis: Penicillin calcium in oil and white wax, usp, bismuth ethylcamphorate and oxophenarsine hydrochloride in treatment, during incubation stage, of persons exposed to syphilis</w:t>
      </w:r>
      <w:r w:rsidRPr="00CA4C2A">
        <w:rPr>
          <w:noProof/>
        </w:rPr>
        <w:t xml:space="preserve">. </w:t>
      </w:r>
      <w:r w:rsidRPr="00CA4C2A">
        <w:rPr>
          <w:i/>
          <w:noProof/>
        </w:rPr>
        <w:t xml:space="preserve">Archives of dermatology and syphilology </w:t>
      </w:r>
      <w:r w:rsidRPr="00CA4C2A">
        <w:rPr>
          <w:noProof/>
        </w:rPr>
        <w:t>1949; 59(1):1-10.</w:t>
      </w:r>
    </w:p>
    <w:p w14:paraId="2CD32343" w14:textId="77777777" w:rsidR="00CA4C2A" w:rsidRPr="00CA4C2A" w:rsidRDefault="00CA4C2A" w:rsidP="00CA4C2A">
      <w:pPr>
        <w:pStyle w:val="EndNoteBibliography"/>
        <w:spacing w:after="0"/>
        <w:ind w:left="0" w:firstLine="0"/>
        <w:rPr>
          <w:noProof/>
        </w:rPr>
      </w:pPr>
      <w:r w:rsidRPr="00CA4C2A">
        <w:rPr>
          <w:noProof/>
        </w:rPr>
        <w:t xml:space="preserve">14. Fang J, Partridge E, Bautista GM, Sankaran D. </w:t>
      </w:r>
      <w:r w:rsidRPr="00CA4C2A">
        <w:rPr>
          <w:b/>
          <w:noProof/>
        </w:rPr>
        <w:t>Congenital syphilis epidemiology, prevention, and management in the United States: a 2022 update</w:t>
      </w:r>
      <w:r w:rsidRPr="00CA4C2A">
        <w:rPr>
          <w:noProof/>
        </w:rPr>
        <w:t xml:space="preserve">. </w:t>
      </w:r>
      <w:r w:rsidRPr="00CA4C2A">
        <w:rPr>
          <w:i/>
          <w:noProof/>
        </w:rPr>
        <w:t xml:space="preserve">Cureus </w:t>
      </w:r>
      <w:r w:rsidRPr="00CA4C2A">
        <w:rPr>
          <w:noProof/>
        </w:rPr>
        <w:t>2022; 14(12).</w:t>
      </w:r>
    </w:p>
    <w:p w14:paraId="06E89040" w14:textId="77777777" w:rsidR="00CA4C2A" w:rsidRPr="00CA4C2A" w:rsidRDefault="00CA4C2A" w:rsidP="00CA4C2A">
      <w:pPr>
        <w:pStyle w:val="EndNoteBibliography"/>
        <w:spacing w:after="0"/>
        <w:ind w:left="0" w:firstLine="0"/>
        <w:rPr>
          <w:noProof/>
        </w:rPr>
      </w:pPr>
      <w:r w:rsidRPr="00CA4C2A">
        <w:rPr>
          <w:noProof/>
        </w:rPr>
        <w:t xml:space="preserve">15. Fiumara NJ, Fleming WL, Downing JG, Good FL. </w:t>
      </w:r>
      <w:r w:rsidRPr="00CA4C2A">
        <w:rPr>
          <w:b/>
          <w:noProof/>
        </w:rPr>
        <w:t>The incidence of prenatal syphilis at the Boston City Hospital</w:t>
      </w:r>
      <w:r w:rsidRPr="00CA4C2A">
        <w:rPr>
          <w:noProof/>
        </w:rPr>
        <w:t xml:space="preserve">. </w:t>
      </w:r>
      <w:r w:rsidRPr="00CA4C2A">
        <w:rPr>
          <w:i/>
          <w:noProof/>
        </w:rPr>
        <w:t xml:space="preserve">New England Journal of Medicine </w:t>
      </w:r>
      <w:r w:rsidRPr="00CA4C2A">
        <w:rPr>
          <w:noProof/>
        </w:rPr>
        <w:t>1952; 247(2):48-52.</w:t>
      </w:r>
    </w:p>
    <w:p w14:paraId="0AF7D643" w14:textId="77777777" w:rsidR="00CA4C2A" w:rsidRPr="00CA4C2A" w:rsidRDefault="00CA4C2A" w:rsidP="00CA4C2A">
      <w:pPr>
        <w:pStyle w:val="EndNoteBibliography"/>
        <w:spacing w:after="0"/>
        <w:ind w:left="0" w:firstLine="0"/>
        <w:rPr>
          <w:noProof/>
        </w:rPr>
      </w:pPr>
      <w:r w:rsidRPr="00CA4C2A">
        <w:rPr>
          <w:noProof/>
        </w:rPr>
        <w:t xml:space="preserve">16. Cooper JM, Sánchez PJ. </w:t>
      </w:r>
      <w:r w:rsidRPr="00CA4C2A">
        <w:rPr>
          <w:b/>
          <w:noProof/>
        </w:rPr>
        <w:t>Congenital syphilis</w:t>
      </w:r>
      <w:r w:rsidRPr="00CA4C2A">
        <w:rPr>
          <w:noProof/>
        </w:rPr>
        <w:t xml:space="preserve">. In: </w:t>
      </w:r>
      <w:r w:rsidRPr="00CA4C2A">
        <w:rPr>
          <w:i/>
          <w:noProof/>
        </w:rPr>
        <w:t>Seminars in perinatology</w:t>
      </w:r>
      <w:r w:rsidRPr="00CA4C2A">
        <w:rPr>
          <w:noProof/>
        </w:rPr>
        <w:t>: Elsevier; 2018. pp. 176-184.</w:t>
      </w:r>
    </w:p>
    <w:p w14:paraId="10AA82C4" w14:textId="77777777" w:rsidR="00CA4C2A" w:rsidRPr="00CA4C2A" w:rsidRDefault="00CA4C2A" w:rsidP="00CA4C2A">
      <w:pPr>
        <w:pStyle w:val="EndNoteBibliography"/>
        <w:spacing w:after="0"/>
        <w:ind w:left="0" w:firstLine="0"/>
        <w:rPr>
          <w:noProof/>
        </w:rPr>
      </w:pPr>
      <w:r w:rsidRPr="00CA4C2A">
        <w:rPr>
          <w:noProof/>
        </w:rPr>
        <w:lastRenderedPageBreak/>
        <w:t xml:space="preserve">17. Ingraham Jr N. </w:t>
      </w:r>
      <w:r w:rsidRPr="00CA4C2A">
        <w:rPr>
          <w:b/>
          <w:noProof/>
        </w:rPr>
        <w:t>The value of penicillin alone in the prevention and treatment of congenital syphilis</w:t>
      </w:r>
      <w:r w:rsidRPr="00CA4C2A">
        <w:rPr>
          <w:noProof/>
        </w:rPr>
        <w:t xml:space="preserve">. </w:t>
      </w:r>
      <w:r w:rsidRPr="00CA4C2A">
        <w:rPr>
          <w:i/>
          <w:noProof/>
        </w:rPr>
        <w:t xml:space="preserve">Acta dermato-venereologica Supplementum </w:t>
      </w:r>
      <w:r w:rsidRPr="00CA4C2A">
        <w:rPr>
          <w:noProof/>
        </w:rPr>
        <w:t>1950; 31(Suppl. 24):60-87.</w:t>
      </w:r>
    </w:p>
    <w:p w14:paraId="7EF45246" w14:textId="77777777" w:rsidR="00CA4C2A" w:rsidRPr="00CA4C2A" w:rsidRDefault="00CA4C2A" w:rsidP="00CA4C2A">
      <w:pPr>
        <w:pStyle w:val="EndNoteBibliography"/>
        <w:spacing w:after="0"/>
        <w:ind w:left="0" w:firstLine="0"/>
        <w:rPr>
          <w:noProof/>
        </w:rPr>
      </w:pPr>
      <w:r w:rsidRPr="00CA4C2A">
        <w:rPr>
          <w:noProof/>
        </w:rPr>
        <w:t xml:space="preserve">18. Qin JiaBi QJ, Yang TuBao YT, Xiao ShuiYuan XS, Tan HongZhuan TH, Feng TieJian FT, Fu HanLin FH. </w:t>
      </w:r>
      <w:r w:rsidRPr="00CA4C2A">
        <w:rPr>
          <w:b/>
          <w:noProof/>
        </w:rPr>
        <w:t>Reported estimates of adverse pregnancy outcomes among women with and without syphilis: a systematic review and meta-analysis</w:t>
      </w:r>
      <w:r w:rsidRPr="00CA4C2A">
        <w:rPr>
          <w:noProof/>
        </w:rPr>
        <w:t>. 2014.</w:t>
      </w:r>
    </w:p>
    <w:p w14:paraId="3DF9752F" w14:textId="77777777" w:rsidR="00CA4C2A" w:rsidRPr="00CA4C2A" w:rsidRDefault="00CA4C2A" w:rsidP="00CA4C2A">
      <w:pPr>
        <w:pStyle w:val="EndNoteBibliography"/>
        <w:spacing w:after="0"/>
        <w:ind w:left="0" w:firstLine="0"/>
        <w:rPr>
          <w:noProof/>
        </w:rPr>
      </w:pPr>
      <w:r w:rsidRPr="00CA4C2A">
        <w:rPr>
          <w:noProof/>
        </w:rPr>
        <w:t xml:space="preserve">19. Alexander JM, Sheffield JS, Sanchez PJ, Mayfield J, Wendel Jr GD. </w:t>
      </w:r>
      <w:r w:rsidRPr="00CA4C2A">
        <w:rPr>
          <w:b/>
          <w:noProof/>
        </w:rPr>
        <w:t>Efficacy of treatment for syphilis in pregnancy</w:t>
      </w:r>
      <w:r w:rsidRPr="00CA4C2A">
        <w:rPr>
          <w:noProof/>
        </w:rPr>
        <w:t xml:space="preserve">. </w:t>
      </w:r>
      <w:r w:rsidRPr="00CA4C2A">
        <w:rPr>
          <w:i/>
          <w:noProof/>
        </w:rPr>
        <w:t xml:space="preserve">Obstetrics &amp; Gynecology </w:t>
      </w:r>
      <w:r w:rsidRPr="00CA4C2A">
        <w:rPr>
          <w:noProof/>
        </w:rPr>
        <w:t>1999; 93(1):5-8.</w:t>
      </w:r>
    </w:p>
    <w:p w14:paraId="5B20BFE3" w14:textId="71372E44" w:rsidR="00CA4C2A" w:rsidRPr="00CA4C2A" w:rsidRDefault="00CA4C2A" w:rsidP="00CA4C2A">
      <w:pPr>
        <w:pStyle w:val="EndNoteBibliography"/>
        <w:spacing w:after="0"/>
        <w:ind w:left="0" w:firstLine="0"/>
        <w:rPr>
          <w:noProof/>
        </w:rPr>
      </w:pPr>
      <w:r w:rsidRPr="00CA4C2A">
        <w:rPr>
          <w:noProof/>
        </w:rPr>
        <w:t>20. March of Dimes.</w:t>
      </w:r>
      <w:r w:rsidRPr="00CA4C2A">
        <w:rPr>
          <w:b/>
          <w:noProof/>
        </w:rPr>
        <w:t>SINGLETONS &amp; MULTIPLES</w:t>
      </w:r>
      <w:r w:rsidRPr="00CA4C2A">
        <w:rPr>
          <w:noProof/>
        </w:rPr>
        <w:t>.2023. Accessed on: 02/01/2025.</w:t>
      </w:r>
      <w:hyperlink r:id="rId21" w:history="1">
        <w:r w:rsidRPr="00CA4C2A">
          <w:rPr>
            <w:rStyle w:val="Hyperlink"/>
            <w:noProof/>
          </w:rPr>
          <w:t>https://www.marchofdimes.org/peristats/data?reg=99&amp;top=7&amp;stop=72&amp;lev=1&amp;slev=1&amp;obj=1</w:t>
        </w:r>
      </w:hyperlink>
    </w:p>
    <w:p w14:paraId="3C6C8DC4" w14:textId="77777777" w:rsidR="00CA4C2A" w:rsidRPr="00CA4C2A" w:rsidRDefault="00CA4C2A" w:rsidP="00CA4C2A">
      <w:pPr>
        <w:pStyle w:val="EndNoteBibliography"/>
        <w:spacing w:after="0"/>
        <w:ind w:left="0" w:firstLine="0"/>
        <w:rPr>
          <w:noProof/>
        </w:rPr>
      </w:pPr>
      <w:r w:rsidRPr="00CA4C2A">
        <w:rPr>
          <w:noProof/>
        </w:rPr>
        <w:t xml:space="preserve">21. Cope AB, Bernstein KT, Matthias J, Rahman M, Diesel JC, Pugsley RA, et al. </w:t>
      </w:r>
      <w:r w:rsidRPr="00CA4C2A">
        <w:rPr>
          <w:b/>
          <w:noProof/>
        </w:rPr>
        <w:t>Effectiveness of syphilis partner notification after adjusting for treatment dates, 7 jurisdictions</w:t>
      </w:r>
      <w:r w:rsidRPr="00CA4C2A">
        <w:rPr>
          <w:noProof/>
        </w:rPr>
        <w:t xml:space="preserve">. </w:t>
      </w:r>
      <w:r w:rsidRPr="00CA4C2A">
        <w:rPr>
          <w:i/>
          <w:noProof/>
        </w:rPr>
        <w:t xml:space="preserve">Sexually transmitted diseases </w:t>
      </w:r>
      <w:r w:rsidRPr="00CA4C2A">
        <w:rPr>
          <w:noProof/>
        </w:rPr>
        <w:t>2022; 49(2):160-165.</w:t>
      </w:r>
    </w:p>
    <w:p w14:paraId="6AEF5E0B" w14:textId="77777777" w:rsidR="00CA4C2A" w:rsidRPr="00CA4C2A" w:rsidRDefault="00CA4C2A" w:rsidP="00CA4C2A">
      <w:pPr>
        <w:pStyle w:val="EndNoteBibliography"/>
        <w:spacing w:after="0"/>
        <w:ind w:left="0" w:firstLine="0"/>
        <w:rPr>
          <w:noProof/>
        </w:rPr>
      </w:pPr>
      <w:r w:rsidRPr="00CA4C2A">
        <w:rPr>
          <w:noProof/>
        </w:rPr>
        <w:t xml:space="preserve">22. Samoff E, Cope AB, Maxwell J, Thomas F, Mobley VL. </w:t>
      </w:r>
      <w:r w:rsidRPr="00CA4C2A">
        <w:rPr>
          <w:b/>
          <w:noProof/>
        </w:rPr>
        <w:t>The number of interviews needed to yield new syphilis and human immunodeficiency virus cases among partners of people diagnosed with syphilis, North Carolina, 2015</w:t>
      </w:r>
      <w:r w:rsidRPr="00CA4C2A">
        <w:rPr>
          <w:noProof/>
        </w:rPr>
        <w:t xml:space="preserve">. </w:t>
      </w:r>
      <w:r w:rsidRPr="00CA4C2A">
        <w:rPr>
          <w:i/>
          <w:noProof/>
        </w:rPr>
        <w:t xml:space="preserve">Sexually transmitted diseases </w:t>
      </w:r>
      <w:r w:rsidRPr="00CA4C2A">
        <w:rPr>
          <w:noProof/>
        </w:rPr>
        <w:t>2017; 44(8):451-456.</w:t>
      </w:r>
    </w:p>
    <w:p w14:paraId="6B4ABEE4" w14:textId="77777777" w:rsidR="00CA4C2A" w:rsidRPr="00CA4C2A" w:rsidRDefault="00CA4C2A" w:rsidP="00CA4C2A">
      <w:pPr>
        <w:pStyle w:val="EndNoteBibliography"/>
        <w:spacing w:after="0"/>
        <w:ind w:left="0" w:firstLine="0"/>
        <w:rPr>
          <w:noProof/>
        </w:rPr>
      </w:pPr>
      <w:r w:rsidRPr="00CA4C2A">
        <w:rPr>
          <w:noProof/>
        </w:rPr>
        <w:t xml:space="preserve">23. Katz DA, Hogben M, Dooley Jr SW, Golden MR. </w:t>
      </w:r>
      <w:r w:rsidRPr="00CA4C2A">
        <w:rPr>
          <w:b/>
          <w:noProof/>
        </w:rPr>
        <w:t>Increasing public health partner services for human immunodeficiency virus: results of a second national survey</w:t>
      </w:r>
      <w:r w:rsidRPr="00CA4C2A">
        <w:rPr>
          <w:noProof/>
        </w:rPr>
        <w:t xml:space="preserve">. </w:t>
      </w:r>
      <w:r w:rsidRPr="00CA4C2A">
        <w:rPr>
          <w:i/>
          <w:noProof/>
        </w:rPr>
        <w:t xml:space="preserve">Sexually transmitted diseases </w:t>
      </w:r>
      <w:r w:rsidRPr="00CA4C2A">
        <w:rPr>
          <w:noProof/>
        </w:rPr>
        <w:t>2010; 37(8):469-475.</w:t>
      </w:r>
    </w:p>
    <w:p w14:paraId="629AD8B5" w14:textId="77777777" w:rsidR="00CA4C2A" w:rsidRPr="00CA4C2A" w:rsidRDefault="00CA4C2A" w:rsidP="00CA4C2A">
      <w:pPr>
        <w:pStyle w:val="EndNoteBibliography"/>
        <w:spacing w:after="0"/>
        <w:ind w:left="0" w:firstLine="0"/>
        <w:rPr>
          <w:noProof/>
        </w:rPr>
      </w:pPr>
      <w:r w:rsidRPr="00CA4C2A">
        <w:rPr>
          <w:noProof/>
        </w:rPr>
        <w:t xml:space="preserve">24. Hoots BE, Lewis FM, Anschuetz G, Schillinger JA, Blank S, Foskey T, et al. </w:t>
      </w:r>
      <w:r w:rsidRPr="00CA4C2A">
        <w:rPr>
          <w:b/>
          <w:noProof/>
        </w:rPr>
        <w:t>Would targeting increase efficiency of syphilis partner services programs?—Data from New York City, Philadelphia, Texas, and Virginia</w:t>
      </w:r>
      <w:r w:rsidRPr="00CA4C2A">
        <w:rPr>
          <w:noProof/>
        </w:rPr>
        <w:t xml:space="preserve">. </w:t>
      </w:r>
      <w:r w:rsidRPr="00CA4C2A">
        <w:rPr>
          <w:i/>
          <w:noProof/>
        </w:rPr>
        <w:t xml:space="preserve">Sexually transmitted diseases </w:t>
      </w:r>
      <w:r w:rsidRPr="00CA4C2A">
        <w:rPr>
          <w:noProof/>
        </w:rPr>
        <w:t>2014; 41(6):407-412.</w:t>
      </w:r>
    </w:p>
    <w:p w14:paraId="1607BFA3" w14:textId="77777777" w:rsidR="00CA4C2A" w:rsidRPr="00CA4C2A" w:rsidRDefault="00CA4C2A" w:rsidP="00CA4C2A">
      <w:pPr>
        <w:pStyle w:val="EndNoteBibliography"/>
        <w:spacing w:after="0"/>
        <w:ind w:left="0" w:firstLine="0"/>
        <w:rPr>
          <w:noProof/>
        </w:rPr>
      </w:pPr>
      <w:r w:rsidRPr="00CA4C2A">
        <w:rPr>
          <w:noProof/>
        </w:rPr>
        <w:t xml:space="preserve">25. Kerani RP, Chang A, Berzkalns A, Moreno JP, Ramchandani M, Golden MR. </w:t>
      </w:r>
      <w:r w:rsidRPr="00CA4C2A">
        <w:rPr>
          <w:b/>
          <w:noProof/>
        </w:rPr>
        <w:t>An evaluation of syphilis partner services among gay, bisexual, and other men who have sex with men with early syphilis in King County, WA</w:t>
      </w:r>
      <w:r w:rsidRPr="00CA4C2A">
        <w:rPr>
          <w:noProof/>
        </w:rPr>
        <w:t xml:space="preserve">. </w:t>
      </w:r>
      <w:r w:rsidRPr="00CA4C2A">
        <w:rPr>
          <w:i/>
          <w:noProof/>
        </w:rPr>
        <w:t xml:space="preserve">Sexually transmitted diseases </w:t>
      </w:r>
      <w:r w:rsidRPr="00CA4C2A">
        <w:rPr>
          <w:noProof/>
        </w:rPr>
        <w:t>2024:10.1097.</w:t>
      </w:r>
    </w:p>
    <w:p w14:paraId="7011E6D4" w14:textId="77777777" w:rsidR="00CA4C2A" w:rsidRPr="00CA4C2A" w:rsidRDefault="00CA4C2A" w:rsidP="00CA4C2A">
      <w:pPr>
        <w:pStyle w:val="EndNoteBibliography"/>
        <w:spacing w:after="0"/>
        <w:ind w:left="0" w:firstLine="0"/>
        <w:rPr>
          <w:noProof/>
        </w:rPr>
      </w:pPr>
      <w:r w:rsidRPr="00CA4C2A">
        <w:rPr>
          <w:noProof/>
        </w:rPr>
        <w:t xml:space="preserve">26. Brewer DD. </w:t>
      </w:r>
      <w:r w:rsidRPr="00CA4C2A">
        <w:rPr>
          <w:b/>
          <w:noProof/>
        </w:rPr>
        <w:t>Case-finding effectiveness of partner notification and cluster investigation for sexually transmitted diseases/HIV</w:t>
      </w:r>
      <w:r w:rsidRPr="00CA4C2A">
        <w:rPr>
          <w:noProof/>
        </w:rPr>
        <w:t xml:space="preserve">. </w:t>
      </w:r>
      <w:r w:rsidRPr="00CA4C2A">
        <w:rPr>
          <w:i/>
          <w:noProof/>
        </w:rPr>
        <w:t xml:space="preserve">Sexually transmitted diseases </w:t>
      </w:r>
      <w:r w:rsidRPr="00CA4C2A">
        <w:rPr>
          <w:noProof/>
        </w:rPr>
        <w:t>2005; 32(2):78-83.</w:t>
      </w:r>
    </w:p>
    <w:p w14:paraId="0D6761A9" w14:textId="77777777" w:rsidR="00CA4C2A" w:rsidRPr="00CA4C2A" w:rsidRDefault="00CA4C2A" w:rsidP="00CA4C2A">
      <w:pPr>
        <w:pStyle w:val="EndNoteBibliography"/>
        <w:spacing w:after="0"/>
        <w:ind w:left="0" w:firstLine="0"/>
        <w:rPr>
          <w:noProof/>
        </w:rPr>
      </w:pPr>
      <w:r w:rsidRPr="00CA4C2A">
        <w:rPr>
          <w:noProof/>
        </w:rPr>
        <w:t xml:space="preserve">27. Sheffield JS, Sanchez PJ, Morris G, Maberry M, Zeray F, McIntire DD, et al. </w:t>
      </w:r>
      <w:r w:rsidRPr="00CA4C2A">
        <w:rPr>
          <w:b/>
          <w:noProof/>
        </w:rPr>
        <w:t>Congenital syphilis after maternal treatment for syphilis during pregnancy</w:t>
      </w:r>
      <w:r w:rsidRPr="00CA4C2A">
        <w:rPr>
          <w:noProof/>
        </w:rPr>
        <w:t xml:space="preserve">. </w:t>
      </w:r>
      <w:r w:rsidRPr="00CA4C2A">
        <w:rPr>
          <w:i/>
          <w:noProof/>
        </w:rPr>
        <w:t xml:space="preserve">American journal of obstetrics and gynecology </w:t>
      </w:r>
      <w:r w:rsidRPr="00CA4C2A">
        <w:rPr>
          <w:noProof/>
        </w:rPr>
        <w:t>2002; 186(3):569-573.</w:t>
      </w:r>
    </w:p>
    <w:p w14:paraId="0DA26C07" w14:textId="77777777" w:rsidR="00CA4C2A" w:rsidRPr="00CA4C2A" w:rsidRDefault="00CA4C2A" w:rsidP="00CA4C2A">
      <w:pPr>
        <w:pStyle w:val="EndNoteBibliography"/>
        <w:spacing w:after="0"/>
        <w:ind w:left="0" w:firstLine="0"/>
        <w:rPr>
          <w:noProof/>
        </w:rPr>
      </w:pPr>
      <w:r w:rsidRPr="00CA4C2A">
        <w:rPr>
          <w:noProof/>
        </w:rPr>
        <w:t xml:space="preserve">28. Hawkes SJ, Gomez GB, Broutet N. </w:t>
      </w:r>
      <w:r w:rsidRPr="00CA4C2A">
        <w:rPr>
          <w:b/>
          <w:noProof/>
        </w:rPr>
        <w:t>Early antenatal care: does it make a difference to outcomes of pregnancy associated with syphilis? A systematic review and meta-analysis</w:t>
      </w:r>
      <w:r w:rsidRPr="00CA4C2A">
        <w:rPr>
          <w:noProof/>
        </w:rPr>
        <w:t xml:space="preserve">. </w:t>
      </w:r>
      <w:r w:rsidRPr="00CA4C2A">
        <w:rPr>
          <w:i/>
          <w:noProof/>
        </w:rPr>
        <w:t xml:space="preserve">PloS one </w:t>
      </w:r>
      <w:r w:rsidRPr="00CA4C2A">
        <w:rPr>
          <w:noProof/>
        </w:rPr>
        <w:t>2013; 8(2):e56713.</w:t>
      </w:r>
    </w:p>
    <w:p w14:paraId="6556830F" w14:textId="77777777" w:rsidR="00CA4C2A" w:rsidRPr="00CA4C2A" w:rsidRDefault="00CA4C2A" w:rsidP="00CA4C2A">
      <w:pPr>
        <w:pStyle w:val="EndNoteBibliography"/>
        <w:spacing w:after="0"/>
        <w:ind w:left="0" w:firstLine="0"/>
        <w:rPr>
          <w:noProof/>
        </w:rPr>
      </w:pPr>
      <w:r w:rsidRPr="00CA4C2A">
        <w:rPr>
          <w:noProof/>
        </w:rPr>
        <w:t xml:space="preserve">29. Tannis A, Miele K, Carlson JM, O'Callaghan KP, Woodworth KR, Anderson B, et al. </w:t>
      </w:r>
      <w:r w:rsidRPr="00CA4C2A">
        <w:rPr>
          <w:b/>
          <w:noProof/>
        </w:rPr>
        <w:t>Syphilis treatment among people who are pregnant in six US states, 2018–2021</w:t>
      </w:r>
      <w:r w:rsidRPr="00CA4C2A">
        <w:rPr>
          <w:noProof/>
        </w:rPr>
        <w:t xml:space="preserve">. </w:t>
      </w:r>
      <w:r w:rsidRPr="00CA4C2A">
        <w:rPr>
          <w:i/>
          <w:noProof/>
        </w:rPr>
        <w:t xml:space="preserve">Obstetrics &amp; Gynecology </w:t>
      </w:r>
      <w:r w:rsidRPr="00CA4C2A">
        <w:rPr>
          <w:noProof/>
        </w:rPr>
        <w:t>2022:10.1097.</w:t>
      </w:r>
    </w:p>
    <w:p w14:paraId="5DE76AC6" w14:textId="77777777" w:rsidR="00CA4C2A" w:rsidRPr="00CA4C2A" w:rsidRDefault="00CA4C2A" w:rsidP="00CA4C2A">
      <w:pPr>
        <w:pStyle w:val="EndNoteBibliography"/>
        <w:spacing w:after="0"/>
        <w:ind w:left="0" w:firstLine="0"/>
        <w:rPr>
          <w:noProof/>
        </w:rPr>
      </w:pPr>
      <w:r w:rsidRPr="00CA4C2A">
        <w:rPr>
          <w:noProof/>
        </w:rPr>
        <w:t xml:space="preserve">30. Workowski KA. </w:t>
      </w:r>
      <w:r w:rsidRPr="00CA4C2A">
        <w:rPr>
          <w:b/>
          <w:noProof/>
        </w:rPr>
        <w:t>Sexually transmitted infections treatment guidelines, 2021</w:t>
      </w:r>
      <w:r w:rsidRPr="00CA4C2A">
        <w:rPr>
          <w:noProof/>
        </w:rPr>
        <w:t xml:space="preserve">. </w:t>
      </w:r>
      <w:r w:rsidRPr="00CA4C2A">
        <w:rPr>
          <w:i/>
          <w:noProof/>
        </w:rPr>
        <w:t xml:space="preserve">MMWR Recommendations and Reports </w:t>
      </w:r>
      <w:r w:rsidRPr="00CA4C2A">
        <w:rPr>
          <w:noProof/>
        </w:rPr>
        <w:t>2021; 70.</w:t>
      </w:r>
    </w:p>
    <w:p w14:paraId="16C9D1BD" w14:textId="77777777" w:rsidR="00CA4C2A" w:rsidRPr="00CA4C2A" w:rsidRDefault="00CA4C2A" w:rsidP="00CA4C2A">
      <w:pPr>
        <w:pStyle w:val="EndNoteBibliography"/>
        <w:ind w:left="0" w:firstLine="0"/>
        <w:rPr>
          <w:noProof/>
        </w:rPr>
      </w:pPr>
      <w:r w:rsidRPr="00CA4C2A">
        <w:rPr>
          <w:noProof/>
        </w:rPr>
        <w:lastRenderedPageBreak/>
        <w:t xml:space="preserve">31. Robinson CL, Young L, Bisgard K, Mickey T, Taylor MM. </w:t>
      </w:r>
      <w:r w:rsidRPr="00CA4C2A">
        <w:rPr>
          <w:b/>
          <w:noProof/>
        </w:rPr>
        <w:t>Syphilis time to treatment at publicly funded sexually transmitted disease clinics versus non–sexually transmitted disease clinics—Maricopa and Pima Counties, Arizona, 2009–2012</w:t>
      </w:r>
      <w:r w:rsidRPr="00CA4C2A">
        <w:rPr>
          <w:noProof/>
        </w:rPr>
        <w:t xml:space="preserve">. </w:t>
      </w:r>
      <w:r w:rsidRPr="00CA4C2A">
        <w:rPr>
          <w:i/>
          <w:noProof/>
        </w:rPr>
        <w:t xml:space="preserve">Sexually transmitted diseases </w:t>
      </w:r>
      <w:r w:rsidRPr="00CA4C2A">
        <w:rPr>
          <w:noProof/>
        </w:rPr>
        <w:t>2016; 43(1):30-33.</w:t>
      </w:r>
    </w:p>
    <w:p w14:paraId="51654522" w14:textId="731564D2" w:rsidR="00CB2855" w:rsidRPr="00516213" w:rsidRDefault="009E5F82" w:rsidP="00CA4C2A">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Calibri"/>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22775"/>
    <w:multiLevelType w:val="multilevel"/>
    <w:tmpl w:val="D578E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2"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28"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6"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9243E94"/>
    <w:multiLevelType w:val="multilevel"/>
    <w:tmpl w:val="ECAE8F5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9"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33"/>
  </w:num>
  <w:num w:numId="2" w16cid:durableId="1014537">
    <w:abstractNumId w:val="7"/>
  </w:num>
  <w:num w:numId="3" w16cid:durableId="445197601">
    <w:abstractNumId w:val="27"/>
  </w:num>
  <w:num w:numId="4" w16cid:durableId="1676420802">
    <w:abstractNumId w:val="10"/>
  </w:num>
  <w:num w:numId="5" w16cid:durableId="2102557157">
    <w:abstractNumId w:val="2"/>
  </w:num>
  <w:num w:numId="6" w16cid:durableId="508568778">
    <w:abstractNumId w:val="34"/>
  </w:num>
  <w:num w:numId="7" w16cid:durableId="1921255642">
    <w:abstractNumId w:val="24"/>
  </w:num>
  <w:num w:numId="8" w16cid:durableId="943221388">
    <w:abstractNumId w:val="19"/>
  </w:num>
  <w:num w:numId="9" w16cid:durableId="284822826">
    <w:abstractNumId w:val="15"/>
  </w:num>
  <w:num w:numId="10" w16cid:durableId="1238906278">
    <w:abstractNumId w:val="25"/>
  </w:num>
  <w:num w:numId="11" w16cid:durableId="226302568">
    <w:abstractNumId w:val="0"/>
  </w:num>
  <w:num w:numId="12" w16cid:durableId="342365413">
    <w:abstractNumId w:val="29"/>
  </w:num>
  <w:num w:numId="13" w16cid:durableId="369958091">
    <w:abstractNumId w:val="23"/>
  </w:num>
  <w:num w:numId="14" w16cid:durableId="834227946">
    <w:abstractNumId w:val="13"/>
  </w:num>
  <w:num w:numId="15" w16cid:durableId="848829694">
    <w:abstractNumId w:val="22"/>
  </w:num>
  <w:num w:numId="16" w16cid:durableId="958025817">
    <w:abstractNumId w:val="9"/>
  </w:num>
  <w:num w:numId="17" w16cid:durableId="649090871">
    <w:abstractNumId w:val="12"/>
  </w:num>
  <w:num w:numId="18" w16cid:durableId="1586838538">
    <w:abstractNumId w:val="32"/>
  </w:num>
  <w:num w:numId="19" w16cid:durableId="1063599743">
    <w:abstractNumId w:val="28"/>
  </w:num>
  <w:num w:numId="20" w16cid:durableId="281155542">
    <w:abstractNumId w:val="18"/>
  </w:num>
  <w:num w:numId="21" w16cid:durableId="1288076451">
    <w:abstractNumId w:val="26"/>
  </w:num>
  <w:num w:numId="22" w16cid:durableId="1229730405">
    <w:abstractNumId w:val="6"/>
  </w:num>
  <w:num w:numId="23" w16cid:durableId="1272736896">
    <w:abstractNumId w:val="17"/>
  </w:num>
  <w:num w:numId="24" w16cid:durableId="265619940">
    <w:abstractNumId w:val="30"/>
  </w:num>
  <w:num w:numId="25" w16cid:durableId="719524181">
    <w:abstractNumId w:val="3"/>
  </w:num>
  <w:num w:numId="26" w16cid:durableId="269899990">
    <w:abstractNumId w:val="31"/>
  </w:num>
  <w:num w:numId="27" w16cid:durableId="1183326634">
    <w:abstractNumId w:val="11"/>
  </w:num>
  <w:num w:numId="28" w16cid:durableId="730927909">
    <w:abstractNumId w:val="4"/>
  </w:num>
  <w:num w:numId="29" w16cid:durableId="1933197570">
    <w:abstractNumId w:val="35"/>
  </w:num>
  <w:num w:numId="30" w16cid:durableId="404255604">
    <w:abstractNumId w:val="38"/>
  </w:num>
  <w:num w:numId="31" w16cid:durableId="621494874">
    <w:abstractNumId w:val="14"/>
  </w:num>
  <w:num w:numId="32" w16cid:durableId="177349453">
    <w:abstractNumId w:val="1"/>
  </w:num>
  <w:num w:numId="33" w16cid:durableId="112480915">
    <w:abstractNumId w:val="8"/>
  </w:num>
  <w:num w:numId="34" w16cid:durableId="244001261">
    <w:abstractNumId w:val="16"/>
  </w:num>
  <w:num w:numId="35" w16cid:durableId="2005548792">
    <w:abstractNumId w:val="37"/>
  </w:num>
  <w:num w:numId="36" w16cid:durableId="1339044010">
    <w:abstractNumId w:val="21"/>
  </w:num>
  <w:num w:numId="37" w16cid:durableId="711271178">
    <w:abstractNumId w:val="39"/>
  </w:num>
  <w:num w:numId="38" w16cid:durableId="1752853147">
    <w:abstractNumId w:val="40"/>
  </w:num>
  <w:num w:numId="39" w16cid:durableId="1038318051">
    <w:abstractNumId w:val="20"/>
  </w:num>
  <w:num w:numId="40" w16cid:durableId="783813395">
    <w:abstractNumId w:val="5"/>
  </w:num>
  <w:num w:numId="41" w16cid:durableId="1137378114">
    <w:abstractNumId w:val="3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2&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D685B"/>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C20E7"/>
    <w:rsid w:val="002D0B42"/>
    <w:rsid w:val="002D2520"/>
    <w:rsid w:val="002D77B3"/>
    <w:rsid w:val="002E3795"/>
    <w:rsid w:val="002E405A"/>
    <w:rsid w:val="002E586A"/>
    <w:rsid w:val="002E75B3"/>
    <w:rsid w:val="002F24FB"/>
    <w:rsid w:val="002F4DA6"/>
    <w:rsid w:val="002F78AB"/>
    <w:rsid w:val="003032DC"/>
    <w:rsid w:val="0031497A"/>
    <w:rsid w:val="00321EA1"/>
    <w:rsid w:val="00325E7F"/>
    <w:rsid w:val="00332EC6"/>
    <w:rsid w:val="00345EC4"/>
    <w:rsid w:val="003546D4"/>
    <w:rsid w:val="003568AC"/>
    <w:rsid w:val="00356E6F"/>
    <w:rsid w:val="00356F5C"/>
    <w:rsid w:val="003659A7"/>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44BC2"/>
    <w:rsid w:val="00553030"/>
    <w:rsid w:val="00554DFE"/>
    <w:rsid w:val="0056198A"/>
    <w:rsid w:val="00570BAA"/>
    <w:rsid w:val="00576D5D"/>
    <w:rsid w:val="0058307D"/>
    <w:rsid w:val="005840FB"/>
    <w:rsid w:val="0058740D"/>
    <w:rsid w:val="00591E65"/>
    <w:rsid w:val="005971F9"/>
    <w:rsid w:val="005A429C"/>
    <w:rsid w:val="005A49D7"/>
    <w:rsid w:val="005B0B2C"/>
    <w:rsid w:val="005C4B5E"/>
    <w:rsid w:val="005D61C9"/>
    <w:rsid w:val="005D6E80"/>
    <w:rsid w:val="005E2400"/>
    <w:rsid w:val="005F049E"/>
    <w:rsid w:val="005F3452"/>
    <w:rsid w:val="0060408B"/>
    <w:rsid w:val="00604172"/>
    <w:rsid w:val="00605E16"/>
    <w:rsid w:val="00605E20"/>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3DA0"/>
    <w:rsid w:val="0071434B"/>
    <w:rsid w:val="00715D04"/>
    <w:rsid w:val="00721449"/>
    <w:rsid w:val="007250BC"/>
    <w:rsid w:val="00735900"/>
    <w:rsid w:val="00736061"/>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09EA"/>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C16A9"/>
    <w:rsid w:val="008C322C"/>
    <w:rsid w:val="008D0DD3"/>
    <w:rsid w:val="008D4547"/>
    <w:rsid w:val="008D67FA"/>
    <w:rsid w:val="008E0B4A"/>
    <w:rsid w:val="008E5126"/>
    <w:rsid w:val="008E6222"/>
    <w:rsid w:val="008F15B1"/>
    <w:rsid w:val="008F6ADA"/>
    <w:rsid w:val="00902BCB"/>
    <w:rsid w:val="00912973"/>
    <w:rsid w:val="00916431"/>
    <w:rsid w:val="009259B7"/>
    <w:rsid w:val="00940B4E"/>
    <w:rsid w:val="009411E3"/>
    <w:rsid w:val="00943E72"/>
    <w:rsid w:val="00952DA2"/>
    <w:rsid w:val="00955D96"/>
    <w:rsid w:val="00963116"/>
    <w:rsid w:val="009631C4"/>
    <w:rsid w:val="009729CC"/>
    <w:rsid w:val="00985155"/>
    <w:rsid w:val="009908C7"/>
    <w:rsid w:val="009A017B"/>
    <w:rsid w:val="009A0187"/>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BE"/>
    <w:rsid w:val="00A830B9"/>
    <w:rsid w:val="00A84157"/>
    <w:rsid w:val="00A842A0"/>
    <w:rsid w:val="00A84D5A"/>
    <w:rsid w:val="00A854D6"/>
    <w:rsid w:val="00A870A0"/>
    <w:rsid w:val="00A92CF2"/>
    <w:rsid w:val="00A93682"/>
    <w:rsid w:val="00A97B73"/>
    <w:rsid w:val="00AA09DA"/>
    <w:rsid w:val="00AA46D2"/>
    <w:rsid w:val="00AC51A6"/>
    <w:rsid w:val="00AD4E94"/>
    <w:rsid w:val="00AD6635"/>
    <w:rsid w:val="00AD7AAA"/>
    <w:rsid w:val="00AD7CBE"/>
    <w:rsid w:val="00AE2923"/>
    <w:rsid w:val="00AE7A7C"/>
    <w:rsid w:val="00AF325C"/>
    <w:rsid w:val="00AF3814"/>
    <w:rsid w:val="00AF3CD8"/>
    <w:rsid w:val="00AF53FA"/>
    <w:rsid w:val="00AF541F"/>
    <w:rsid w:val="00AF693D"/>
    <w:rsid w:val="00AF7F82"/>
    <w:rsid w:val="00B01CA7"/>
    <w:rsid w:val="00B06E1C"/>
    <w:rsid w:val="00B20AF8"/>
    <w:rsid w:val="00B20F9C"/>
    <w:rsid w:val="00B313AD"/>
    <w:rsid w:val="00B36AE3"/>
    <w:rsid w:val="00B41711"/>
    <w:rsid w:val="00B44807"/>
    <w:rsid w:val="00B44DCB"/>
    <w:rsid w:val="00B465EE"/>
    <w:rsid w:val="00B47E7D"/>
    <w:rsid w:val="00B568B2"/>
    <w:rsid w:val="00B70215"/>
    <w:rsid w:val="00B747EF"/>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50FE4"/>
    <w:rsid w:val="00C52665"/>
    <w:rsid w:val="00C547CB"/>
    <w:rsid w:val="00C5584D"/>
    <w:rsid w:val="00C55E50"/>
    <w:rsid w:val="00C578EF"/>
    <w:rsid w:val="00C651D9"/>
    <w:rsid w:val="00C656D0"/>
    <w:rsid w:val="00C71422"/>
    <w:rsid w:val="00C71E2A"/>
    <w:rsid w:val="00C73F6B"/>
    <w:rsid w:val="00C80FDF"/>
    <w:rsid w:val="00C83356"/>
    <w:rsid w:val="00C91146"/>
    <w:rsid w:val="00C94B78"/>
    <w:rsid w:val="00CA0B74"/>
    <w:rsid w:val="00CA419E"/>
    <w:rsid w:val="00CA4C2A"/>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C7778"/>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9411E3"/>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9411E3"/>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hyperlink" Target="https://www.marchofdimes.org/peristats/data?reg=99&amp;top=7&amp;stop=72&amp;lev=1&amp;slev=1&amp;obj=1"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image" Target="media/image7.png"/><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644</TotalTime>
  <Pages>20</Pages>
  <Words>13729</Words>
  <Characters>77844</Characters>
  <Application>Microsoft Office Word</Application>
  <DocSecurity>0</DocSecurity>
  <Lines>1276</Lines>
  <Paragraphs>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91015</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330</cp:revision>
  <dcterms:created xsi:type="dcterms:W3CDTF">2025-01-15T21:08:00Z</dcterms:created>
  <dcterms:modified xsi:type="dcterms:W3CDTF">2026-01-08T15:54:00Z</dcterms:modified>
</cp:coreProperties>
</file>