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56"/>
          <w:szCs w:val="56"/>
        </w:rPr>
        <w:t xml:space="preserve">MemFuse</w:t>
      </w:r>
    </w:p>
    <w:p>
      <w:pPr>
        <w:spacing w:after="40"/>
      </w:pPr>
      <w:r>
        <w:rPr>
          <w:color w:val="2563EB"/>
          <w:sz w:val="32"/>
          <w:szCs w:val="32"/>
        </w:rPr>
        <w:t xml:space="preserve">Strategische Neuausrichtung</w:t>
      </w:r>
    </w:p>
    <w:p>
      <w:pPr>
        <w:spacing w:after="400"/>
      </w:pPr>
      <w:r>
        <w:rPr>
          <w:i/>
          <w:iCs/>
          <w:color w:val="6B7280"/>
          <w:sz w:val="24"/>
          <w:szCs w:val="24"/>
        </w:rPr>
        <w:t xml:space="preserve">Von der Robotik-Idee zum Cognitive Operating System: Analyse, Standortbestimmung, Weg zur Marktführerschaft</w:t>
      </w:r>
    </w:p>
    <w:p>
      <w:pPr>
        <w:pBdr>
          <w:bottom w:val="single" w:color="D1D5DB" w:sz="6" w:space="1"/>
        </w:pBdr>
        <w:spacing w:after="240"/>
      </w:pPr>
    </w:p>
    <w:p>
      <w:pPr>
        <w:spacing w:after="160"/>
      </w:pPr>
      <w:r>
        <w:rPr>
          <w:b/>
          <w:bCs/>
        </w:rPr>
        <w:t xml:space="preserve">Stand der Analyse: </w:t>
      </w:r>
      <w:r>
        <w:t xml:space="preserve">29. August 2026    |    </w:t>
      </w:r>
      <w:r>
        <w:rPr>
          <w:b/>
          <w:bCs/>
        </w:rPr>
        <w:t xml:space="preserve">Repository-Snapshot: </w:t>
      </w:r>
      <w:r>
        <w:t xml:space="preserve">557 Commits, ~58.850 Zeilen Rust, 15 Crates</w:t>
      </w:r>
    </w:p>
    <w:p>
      <w:pPr>
        <w:spacing w:after="160"/>
      </w:pPr>
      <w:r>
        <w:rPr>
          <w:b/>
          <w:bCs/>
        </w:rPr>
        <w:t xml:space="preserve">Analysemethode: </w:t>
      </w:r>
      <w:r>
        <w:t xml:space="preserve">Vollständige Auswertung des Git-Verlaufs, aller Audit-Reports, ADR-Log (40 Entscheidungen), Source-of-Truth-Dokumente und aktueller ArXiv-Forschung (Stand August 2026)</w:t>
      </w:r>
    </w:p>
    <w:p>
      <w:pPr>
        <w:spacing w:after="400"/>
      </w:pPr>
    </w:p>
    <w:p>
      <w:pPr>
        <w:pStyle w:val="Heading1"/>
        <w:spacing w:after="200" w:before="400"/>
      </w:pPr>
      <w:r>
        <w:t xml:space="preserve">Executive Summary</w:t>
      </w:r>
    </w:p>
    <w:p>
      <w:pPr>
        <w:spacing w:after="160"/>
      </w:pPr>
      <w:r>
        <w:t xml:space="preserve">Zwischen der letzten und dieser Analyse liegen 178 neue Commits und mehr als eine Verdopplung der Codebasis (25.500 → 58.850 Zeilen). Das ist kein normales Wachstum — das ist ein zweiter, deutlich reiferer Entwicklungssprung. Drei Dinge haben sich fundamental geändert:</w:t>
      </w:r>
    </w:p>
    <w:p>
      <w:pPr>
        <w:pStyle w:val="ListParagraph"/>
        <w:numPr>
          <w:ilvl w:val="0"/>
          <w:numId w:val="1"/>
        </w:numPr>
        <w:spacing w:after="100"/>
      </w:pPr>
      <w:r>
        <w:rPr>
          <w:b/>
          <w:bCs/>
        </w:rPr>
        <w:t xml:space="preserve">Der Scope ist real gewachsen, nicht nur gedriftet. </w:t>
      </w:r>
      <w:r>
        <w:t xml:space="preserve">Zwei neue Crates — memfuse-agent (deterministischer Workflow-Orchestrator, explizit als "Sovereign alternative to LangGraph/AutoGen" positioniert) und memfuse-router (Small-Language-Model-Routing basierend auf Graph-Communities) — verschieben MemFuse von einer Memory-Engine zu einer vollständigen Agenten-Laufzeitumgebung.</w:t>
      </w:r>
    </w:p>
    <w:p>
      <w:pPr>
        <w:pStyle w:val="ListParagraph"/>
        <w:numPr>
          <w:ilvl w:val="0"/>
          <w:numId w:val="1"/>
        </w:numPr>
        <w:spacing w:after="100"/>
      </w:pPr>
      <w:r>
        <w:rPr>
          <w:b/>
          <w:bCs/>
        </w:rPr>
        <w:t xml:space="preserve">Die Governance ist erwachsen geworden. </w:t>
      </w:r>
      <w:r>
        <w:t xml:space="preserve">40 dokumentierte ADRs, eine CONSTITUTION.md, ein formalisiertes Audit-Intake-Protokoll und ein selbst gebautes Fehlerverhütungssystem (ADR-035) gegen wiederkehrende Fehlklassen. Nur noch 6 offene AI-TAGs im gesamten Code.</w:t>
      </w:r>
    </w:p>
    <w:p>
      <w:pPr>
        <w:pStyle w:val="ListParagraph"/>
        <w:numPr>
          <w:ilvl w:val="0"/>
          <w:numId w:val="1"/>
        </w:numPr>
        <w:spacing w:after="100"/>
      </w:pPr>
      <w:r>
        <w:rPr>
          <w:b/>
          <w:bCs/>
        </w:rPr>
        <w:t xml:space="preserve">Die Positionierung hat sich selbst korrigiert — aber es gibt einen ungelösten Widerspruch. </w:t>
      </w:r>
      <w:r>
        <w:t xml:space="preserve">Das Produkt heißt jetzt "MemFuse Brain — Cognitive Operating System für lokale KI-Agenten". Deine eigene Antwort auf die erste Analyse war jedoch "Enterprise + Compliance zuerst" — im aktuellen Code liegt Enterprise-Härtung als Phase 4, ganz am Ende der Roadmap. Dieser Widerspruch wird in diesem Dokument aufgelöst.</w:t>
      </w:r>
    </w:p>
    <w:p>
      <w:pPr>
        <w:spacing w:after="100"/>
      </w:pPr>
    </w:p>
    <w:p>
      <w:pPr>
        <w:spacing w:after="160"/>
      </w:pPr>
      <w:r>
        <w:rPr>
          <w:b/>
          <w:bCs/>
        </w:rPr>
        <w:t xml:space="preserve">Die zentrale Erkenntnis dieser Analyse: </w:t>
      </w:r>
      <w:r>
        <w:t xml:space="preserve">Marktherrschaft entsteht nicht durch Featurebreite — das kann jeder Wettbewerber kopieren — sondern durch einen strukturellen Vorteil, den er nicht in sechs Monaten nachbauen kann. MemFuse hat exakt einen solchen Vorteil bereits im Fundament liegen. Dieses Dokument identifiziert ihn, ordnet die Roadmap danach neu, und verankert die technische Umsetzung in aktueller Forschung statt in Intuition.</w:t>
      </w:r>
    </w:p>
    <w:p>
      <w:pPr>
        <w:pStyle w:val="Heading1"/>
        <w:spacing w:after="200" w:before="400"/>
      </w:pPr>
      <w:r>
        <w:t xml:space="preserve">Teil 1 — Woher das Projekt kommt: Die drei Phasen im Verlauf</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3200"/>
      </w:tblGrid>
      <w:tr>
        <w:trPr>
          <w:tblHeader/>
        </w:trPr>
        <w:tc>
          <w:tcPr>
            <w:tcW w:type="dxa" w:w="2400"/>
            <w:shd w:fill="1F2937" w:val="clear"/>
            <w:tcMar>
              <w:top w:type="dxa" w:w="100"/>
              <w:left w:type="dxa" w:w="120"/>
              <w:bottom w:type="dxa" w:w="100"/>
              <w:right w:type="dxa" w:w="120"/>
            </w:tcMar>
          </w:tcPr>
          <w:p>
            <w:r>
              <w:rPr>
                <w:b/>
                <w:bCs/>
                <w:color w:val="FFFFFF"/>
              </w:rPr>
              <w:t xml:space="preserve">Phase</w:t>
            </w:r>
          </w:p>
        </w:tc>
        <w:tc>
          <w:tcPr>
            <w:tcW w:type="dxa" w:w="2000"/>
            <w:shd w:fill="1F2937" w:val="clear"/>
            <w:tcMar>
              <w:top w:type="dxa" w:w="100"/>
              <w:left w:type="dxa" w:w="120"/>
              <w:bottom w:type="dxa" w:w="100"/>
              <w:right w:type="dxa" w:w="120"/>
            </w:tcMar>
          </w:tcPr>
          <w:p>
            <w:r>
              <w:rPr>
                <w:b/>
                <w:bCs/>
                <w:color w:val="FFFFFF"/>
              </w:rPr>
              <w:t xml:space="preserve">Zeitraum</w:t>
            </w:r>
          </w:p>
        </w:tc>
        <w:tc>
          <w:tcPr>
            <w:tcW w:type="dxa" w:w="3200"/>
            <w:shd w:fill="1F2937" w:val="clear"/>
            <w:tcMar>
              <w:top w:type="dxa" w:w="100"/>
              <w:left w:type="dxa" w:w="120"/>
              <w:bottom w:type="dxa" w:w="100"/>
              <w:right w:type="dxa" w:w="120"/>
            </w:tcMar>
          </w:tcPr>
          <w:p>
            <w:r>
              <w:rPr>
                <w:b/>
                <w:bCs/>
                <w:color w:val="FFFFFF"/>
              </w:rPr>
              <w:t xml:space="preserve">Selbstbild</w:t>
            </w:r>
          </w:p>
        </w:tc>
        <w:tc>
          <w:tcPr>
            <w:tcW w:type="dxa" w:w="3200"/>
            <w:shd w:fill="1F2937" w:val="clear"/>
            <w:tcMar>
              <w:top w:type="dxa" w:w="100"/>
              <w:left w:type="dxa" w:w="120"/>
              <w:bottom w:type="dxa" w:w="100"/>
              <w:right w:type="dxa" w:w="120"/>
            </w:tcMar>
          </w:tcPr>
          <w:p>
            <w:r>
              <w:rPr>
                <w:b/>
                <w:bCs/>
                <w:color w:val="FFFFFF"/>
              </w:rPr>
              <w:t xml:space="preserve">Belege</w:t>
            </w:r>
          </w:p>
        </w:tc>
      </w:tr>
      <w:tr>
        <w:tc>
          <w:tcPr>
            <w:tcW w:type="dxa" w:w="2400"/>
            <w:tcMar>
              <w:top w:type="dxa" w:w="100"/>
              <w:left w:type="dxa" w:w="120"/>
              <w:bottom w:type="dxa" w:w="100"/>
              <w:right w:type="dxa" w:w="120"/>
            </w:tcMar>
          </w:tcPr>
          <w:p>
            <w:r>
              <w:rPr>
                <w:b w:val="false"/>
                <w:bCs w:val="false"/>
              </w:rPr>
              <w:t xml:space="preserve">1. Robotik-RAG</w:t>
            </w:r>
          </w:p>
        </w:tc>
        <w:tc>
          <w:tcPr>
            <w:tcW w:type="dxa" w:w="2000"/>
            <w:tcMar>
              <w:top w:type="dxa" w:w="100"/>
              <w:left w:type="dxa" w:w="120"/>
              <w:bottom w:type="dxa" w:w="100"/>
              <w:right w:type="dxa" w:w="120"/>
            </w:tcMar>
          </w:tcPr>
          <w:p>
            <w:r>
              <w:rPr>
                <w:b w:val="false"/>
                <w:bCs w:val="false"/>
              </w:rPr>
              <w:t xml:space="preserve">Projektstart</w:t>
            </w:r>
          </w:p>
        </w:tc>
        <w:tc>
          <w:tcPr>
            <w:tcW w:type="dxa" w:w="3200"/>
            <w:tcMar>
              <w:top w:type="dxa" w:w="100"/>
              <w:left w:type="dxa" w:w="120"/>
              <w:bottom w:type="dxa" w:w="100"/>
              <w:right w:type="dxa" w:w="120"/>
            </w:tcMar>
          </w:tcPr>
          <w:p>
            <w:r>
              <w:rPr>
                <w:b w:val="false"/>
                <w:bCs w:val="false"/>
              </w:rPr>
              <w:t xml:space="preserve">RAG-System für Robotik &amp; Industrie</w:t>
            </w:r>
          </w:p>
        </w:tc>
        <w:tc>
          <w:tcPr>
            <w:tcW w:type="dxa" w:w="3200"/>
            <w:tcMar>
              <w:top w:type="dxa" w:w="100"/>
              <w:left w:type="dxa" w:w="120"/>
              <w:bottom w:type="dxa" w:w="100"/>
              <w:right w:type="dxa" w:w="120"/>
            </w:tcMar>
          </w:tcPr>
          <w:p>
            <w:r>
              <w:rPr>
                <w:b w:val="false"/>
                <w:bCs w:val="false"/>
              </w:rPr>
              <w:t xml:space="preserve">Nur als Zielformulierung existent — keine einzige Code- oder Commit-Spur im gesamten Verlauf</w:t>
            </w:r>
          </w:p>
        </w:tc>
      </w:tr>
      <w:tr>
        <w:tc>
          <w:tcPr>
            <w:tcW w:type="dxa" w:w="2400"/>
            <w:shd w:fill="F3F4F6" w:val="clear"/>
            <w:tcMar>
              <w:top w:type="dxa" w:w="100"/>
              <w:left w:type="dxa" w:w="120"/>
              <w:bottom w:type="dxa" w:w="100"/>
              <w:right w:type="dxa" w:w="120"/>
            </w:tcMar>
          </w:tcPr>
          <w:p>
            <w:r>
              <w:rPr>
                <w:b w:val="false"/>
                <w:bCs w:val="false"/>
              </w:rPr>
              <w:t xml:space="preserve">2. 3-in-1 Agent-Memory-Engine</w:t>
            </w:r>
          </w:p>
        </w:tc>
        <w:tc>
          <w:tcPr>
            <w:tcW w:type="dxa" w:w="2000"/>
            <w:shd w:fill="F3F4F6" w:val="clear"/>
            <w:tcMar>
              <w:top w:type="dxa" w:w="100"/>
              <w:left w:type="dxa" w:w="120"/>
              <w:bottom w:type="dxa" w:w="100"/>
              <w:right w:type="dxa" w:w="120"/>
            </w:tcMar>
          </w:tcPr>
          <w:p>
            <w:r>
              <w:rPr>
                <w:b w:val="false"/>
                <w:bCs w:val="false"/>
              </w:rPr>
              <w:t xml:space="preserve">ADR-007 (19. Juli)</w:t>
            </w:r>
          </w:p>
        </w:tc>
        <w:tc>
          <w:tcPr>
            <w:tcW w:type="dxa" w:w="3200"/>
            <w:shd w:fill="F3F4F6" w:val="clear"/>
            <w:tcMar>
              <w:top w:type="dxa" w:w="100"/>
              <w:left w:type="dxa" w:w="120"/>
              <w:bottom w:type="dxa" w:w="100"/>
              <w:right w:type="dxa" w:w="120"/>
            </w:tcMar>
          </w:tcPr>
          <w:p>
            <w:r>
              <w:rPr>
                <w:b w:val="false"/>
                <w:bCs w:val="false"/>
              </w:rPr>
              <w:t xml:space="preserve">Python-first Bibliothek, PyPI als Hauptkanal</w:t>
            </w:r>
          </w:p>
        </w:tc>
        <w:tc>
          <w:tcPr>
            <w:tcW w:type="dxa" w:w="3200"/>
            <w:shd w:fill="F3F4F6" w:val="clear"/>
            <w:tcMar>
              <w:top w:type="dxa" w:w="100"/>
              <w:left w:type="dxa" w:w="120"/>
              <w:bottom w:type="dxa" w:w="100"/>
              <w:right w:type="dxa" w:w="120"/>
            </w:tcMar>
          </w:tcPr>
          <w:p>
            <w:r>
              <w:rPr>
                <w:b w:val="false"/>
                <w:bCs w:val="false"/>
              </w:rPr>
              <w:t xml:space="preserve">memfuse-py priorisiert, PyO3-Fokus</w:t>
            </w:r>
          </w:p>
        </w:tc>
      </w:tr>
      <w:tr>
        <w:tc>
          <w:tcPr>
            <w:tcW w:type="dxa" w:w="2400"/>
            <w:tcMar>
              <w:top w:type="dxa" w:w="100"/>
              <w:left w:type="dxa" w:w="120"/>
              <w:bottom w:type="dxa" w:w="100"/>
              <w:right w:type="dxa" w:w="120"/>
            </w:tcMar>
          </w:tcPr>
          <w:p>
            <w:r>
              <w:rPr>
                <w:b w:val="false"/>
                <w:bCs w:val="false"/>
              </w:rPr>
              <w:t xml:space="preserve">3a. Sovereign Enterprise Desktop-App</w:t>
            </w:r>
          </w:p>
        </w:tc>
        <w:tc>
          <w:tcPr>
            <w:tcW w:type="dxa" w:w="2000"/>
            <w:tcMar>
              <w:top w:type="dxa" w:w="100"/>
              <w:left w:type="dxa" w:w="120"/>
              <w:bottom w:type="dxa" w:w="100"/>
              <w:right w:type="dxa" w:w="120"/>
            </w:tcMar>
          </w:tcPr>
          <w:p>
            <w:r>
              <w:rPr>
                <w:b w:val="false"/>
                <w:bCs w:val="false"/>
              </w:rPr>
              <w:t xml:space="preserve">ab 20. Juli, nie formal per ADR abgelöst</w:t>
            </w:r>
          </w:p>
        </w:tc>
        <w:tc>
          <w:tcPr>
            <w:tcW w:type="dxa" w:w="3200"/>
            <w:tcMar>
              <w:top w:type="dxa" w:w="100"/>
              <w:left w:type="dxa" w:w="120"/>
              <w:bottom w:type="dxa" w:w="100"/>
              <w:right w:type="dxa" w:w="120"/>
            </w:tcMar>
          </w:tcPr>
          <w:p>
            <w:r>
              <w:rPr>
                <w:b w:val="false"/>
                <w:bCs w:val="false"/>
              </w:rPr>
              <w:t xml:space="preserve">"MemFuse Brain", Tauri-GUI, Air-Gapped</w:t>
            </w:r>
          </w:p>
        </w:tc>
        <w:tc>
          <w:tcPr>
            <w:tcW w:type="dxa" w:w="3200"/>
            <w:tcMar>
              <w:top w:type="dxa" w:w="100"/>
              <w:left w:type="dxa" w:w="120"/>
              <w:bottom w:type="dxa" w:w="100"/>
              <w:right w:type="dxa" w:w="120"/>
            </w:tcMar>
          </w:tcPr>
          <w:p>
            <w:r>
              <w:rPr>
                <w:b w:val="false"/>
                <w:bCs w:val="false"/>
              </w:rPr>
              <w:t xml:space="preserve">Tauri-Crate, README-Fokus auf Desktop-Installer</w:t>
            </w:r>
          </w:p>
        </w:tc>
      </w:tr>
      <w:tr>
        <w:tc>
          <w:tcPr>
            <w:tcW w:type="dxa" w:w="2400"/>
            <w:shd w:fill="F3F4F6" w:val="clear"/>
            <w:tcMar>
              <w:top w:type="dxa" w:w="100"/>
              <w:left w:type="dxa" w:w="120"/>
              <w:bottom w:type="dxa" w:w="100"/>
              <w:right w:type="dxa" w:w="120"/>
            </w:tcMar>
          </w:tcPr>
          <w:p>
            <w:r>
              <w:rPr>
                <w:b w:val="false"/>
                <w:bCs w:val="false"/>
              </w:rPr>
              <w:t xml:space="preserve">3b. Cognitive Operating System (aktuell)</w:t>
            </w:r>
          </w:p>
        </w:tc>
        <w:tc>
          <w:tcPr>
            <w:tcW w:type="dxa" w:w="2000"/>
            <w:shd w:fill="F3F4F6" w:val="clear"/>
            <w:tcMar>
              <w:top w:type="dxa" w:w="100"/>
              <w:left w:type="dxa" w:w="120"/>
              <w:bottom w:type="dxa" w:w="100"/>
              <w:right w:type="dxa" w:w="120"/>
            </w:tcMar>
          </w:tcPr>
          <w:p>
            <w:r>
              <w:rPr>
                <w:b w:val="false"/>
                <w:bCs w:val="false"/>
              </w:rPr>
              <w:t xml:space="preserve">ab Mitte August, ADR-019 ff.</w:t>
            </w:r>
          </w:p>
        </w:tc>
        <w:tc>
          <w:tcPr>
            <w:tcW w:type="dxa" w:w="3200"/>
            <w:shd w:fill="F3F4F6" w:val="clear"/>
            <w:tcMar>
              <w:top w:type="dxa" w:w="100"/>
              <w:left w:type="dxa" w:w="120"/>
              <w:bottom w:type="dxa" w:w="100"/>
              <w:right w:type="dxa" w:w="120"/>
            </w:tcMar>
          </w:tcPr>
          <w:p>
            <w:r>
              <w:rPr>
                <w:b w:val="false"/>
                <w:bCs w:val="false"/>
              </w:rPr>
              <w:t xml:space="preserve">4-Signal-RAG + Agent-Orchestrierung + SLM-Routing als integriertes System</w:t>
            </w:r>
          </w:p>
        </w:tc>
        <w:tc>
          <w:tcPr>
            <w:tcW w:type="dxa" w:w="3200"/>
            <w:shd w:fill="F3F4F6" w:val="clear"/>
            <w:tcMar>
              <w:top w:type="dxa" w:w="100"/>
              <w:left w:type="dxa" w:w="120"/>
              <w:bottom w:type="dxa" w:w="100"/>
              <w:right w:type="dxa" w:w="120"/>
            </w:tcMar>
          </w:tcPr>
          <w:p>
            <w:r>
              <w:rPr>
                <w:b w:val="false"/>
                <w:bCs w:val="false"/>
              </w:rPr>
              <w:t xml:space="preserve">memfuse-agent, memfuse-router, bi-temporale Graphen, PPR, Community Detection</w:t>
            </w:r>
          </w:p>
        </w:tc>
      </w:tr>
    </w:tbl>
    <w:p>
      <w:pPr>
        <w:spacing w:after="200"/>
      </w:pPr>
    </w:p>
    <w:p>
      <w:pPr>
        <w:pStyle w:val="Heading3"/>
        <w:spacing w:after="100" w:before="200"/>
      </w:pPr>
      <w:r>
        <w:t xml:space="preserve">Bewertung</w:t>
      </w:r>
    </w:p>
    <w:p>
      <w:pPr>
        <w:spacing w:after="160"/>
      </w:pPr>
      <w:r>
        <w:t xml:space="preserve">Die Robotik-Idee war eine Ausgangshypothese, die nie in Code investiert wurde — das ist kein Verlust, sondern eine frühe, kostenlose Kurskorrektur. Der eigentliche Drift lag zwischen Phase 2 und 3: ADR-007 (Python/PyPI-first) wurde nie offiziell zurückgezogen, obwohl der praktische Fokus seit Wochen auf der Desktop-App liegt. Phase 3b ist die bisher kohärenteste Formulierung — sie verdient es, jetzt formal per ADR festgeschrieben zu werden, damit sie nicht das gleiche Schicksal wie ADR-007 erleidet.</w:t>
      </w:r>
    </w:p>
    <w:p>
      <w:pPr>
        <w:pStyle w:val="Heading3"/>
        <w:spacing w:after="100" w:before="200"/>
      </w:pPr>
      <w:r>
        <w:t xml:space="preserve">Konkrete Handlungsempfehlung</w:t>
      </w:r>
    </w:p>
    <w:p>
      <w:pPr>
        <w:spacing w:after="160"/>
      </w:pPr>
      <w:r>
        <w:t xml:space="preserve">Ein neuer ADR-041 sollte ADR-007 explizit als "Superseded" markieren und die aktuelle Positionierung ("Cognitive Operating System, Desktop-first, Python/MCP als Integrationsschicht statt Hauptkanal") als bindend festschreiben. Ohne diesen Schritt bleibt die Tür für die nächste unkoordinierte Drift offen.</w:t>
      </w:r>
    </w:p>
    <w:p>
      <w:pPr>
        <w:pStyle w:val="Heading1"/>
        <w:spacing w:after="200" w:before="400"/>
      </w:pPr>
      <w:r>
        <w:t xml:space="preserve">Teil 2 — Wo das Projekt heute technisch steht</w:t>
      </w:r>
    </w:p>
    <w:p>
      <w:pPr>
        <w:pStyle w:val="Heading2"/>
        <w:spacing w:after="150" w:before="300"/>
      </w:pPr>
      <w:r>
        <w:t xml:space="preserve">2.1 Reifegrad im Vergleich</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4200"/>
      </w:tblGrid>
      <w:tr>
        <w:trPr>
          <w:tblHeader/>
        </w:trPr>
        <w:tc>
          <w:tcPr>
            <w:tcW w:type="dxa" w:w="3600"/>
            <w:shd w:fill="1F2937" w:val="clear"/>
            <w:tcMar>
              <w:top w:type="dxa" w:w="100"/>
              <w:left w:type="dxa" w:w="120"/>
              <w:bottom w:type="dxa" w:w="100"/>
              <w:right w:type="dxa" w:w="120"/>
            </w:tcMar>
          </w:tcPr>
          <w:p>
            <w:r>
              <w:rPr>
                <w:b/>
                <w:bCs/>
                <w:color w:val="FFFFFF"/>
              </w:rPr>
              <w:t xml:space="preserve">Kennzahl</w:t>
            </w:r>
          </w:p>
        </w:tc>
        <w:tc>
          <w:tcPr>
            <w:tcW w:type="dxa" w:w="3000"/>
            <w:shd w:fill="1F2937" w:val="clear"/>
            <w:tcMar>
              <w:top w:type="dxa" w:w="100"/>
              <w:left w:type="dxa" w:w="120"/>
              <w:bottom w:type="dxa" w:w="100"/>
              <w:right w:type="dxa" w:w="120"/>
            </w:tcMar>
          </w:tcPr>
          <w:p>
            <w:r>
              <w:rPr>
                <w:b/>
                <w:bCs/>
                <w:color w:val="FFFFFF"/>
              </w:rPr>
              <w:t xml:space="preserve">Letzter Check (24.08.)</w:t>
            </w:r>
          </w:p>
        </w:tc>
        <w:tc>
          <w:tcPr>
            <w:tcW w:type="dxa" w:w="4200"/>
            <w:shd w:fill="1F2937" w:val="clear"/>
            <w:tcMar>
              <w:top w:type="dxa" w:w="100"/>
              <w:left w:type="dxa" w:w="120"/>
              <w:bottom w:type="dxa" w:w="100"/>
              <w:right w:type="dxa" w:w="120"/>
            </w:tcMar>
          </w:tcPr>
          <w:p>
            <w:r>
              <w:rPr>
                <w:b/>
                <w:bCs/>
                <w:color w:val="FFFFFF"/>
              </w:rPr>
              <w:t xml:space="preserve">Aktueller Stand (29.08.)</w:t>
            </w:r>
          </w:p>
        </w:tc>
      </w:tr>
      <w:tr>
        <w:tc>
          <w:tcPr>
            <w:tcW w:type="dxa" w:w="3600"/>
            <w:tcMar>
              <w:top w:type="dxa" w:w="100"/>
              <w:left w:type="dxa" w:w="120"/>
              <w:bottom w:type="dxa" w:w="100"/>
              <w:right w:type="dxa" w:w="120"/>
            </w:tcMar>
          </w:tcPr>
          <w:p>
            <w:r>
              <w:rPr>
                <w:b w:val="false"/>
                <w:bCs w:val="false"/>
              </w:rPr>
              <w:t xml:space="preserve">Commits</w:t>
            </w:r>
          </w:p>
        </w:tc>
        <w:tc>
          <w:tcPr>
            <w:tcW w:type="dxa" w:w="3000"/>
            <w:tcMar>
              <w:top w:type="dxa" w:w="100"/>
              <w:left w:type="dxa" w:w="120"/>
              <w:bottom w:type="dxa" w:w="100"/>
              <w:right w:type="dxa" w:w="120"/>
            </w:tcMar>
          </w:tcPr>
          <w:p>
            <w:r>
              <w:rPr>
                <w:b w:val="false"/>
                <w:bCs w:val="false"/>
              </w:rPr>
              <w:t xml:space="preserve">379</w:t>
            </w:r>
          </w:p>
        </w:tc>
        <w:tc>
          <w:tcPr>
            <w:tcW w:type="dxa" w:w="4200"/>
            <w:tcMar>
              <w:top w:type="dxa" w:w="100"/>
              <w:left w:type="dxa" w:w="120"/>
              <w:bottom w:type="dxa" w:w="100"/>
              <w:right w:type="dxa" w:w="120"/>
            </w:tcMar>
          </w:tcPr>
          <w:p>
            <w:r>
              <w:rPr>
                <w:b w:val="false"/>
                <w:bCs w:val="false"/>
              </w:rPr>
              <w:t xml:space="preserve">557</w:t>
            </w:r>
          </w:p>
        </w:tc>
      </w:tr>
      <w:tr>
        <w:tc>
          <w:tcPr>
            <w:tcW w:type="dxa" w:w="3600"/>
            <w:shd w:fill="F3F4F6" w:val="clear"/>
            <w:tcMar>
              <w:top w:type="dxa" w:w="100"/>
              <w:left w:type="dxa" w:w="120"/>
              <w:bottom w:type="dxa" w:w="100"/>
              <w:right w:type="dxa" w:w="120"/>
            </w:tcMar>
          </w:tcPr>
          <w:p>
            <w:r>
              <w:rPr>
                <w:b w:val="false"/>
                <w:bCs w:val="false"/>
              </w:rPr>
              <w:t xml:space="preserve">Zeilen Rust (Kern-Crates)</w:t>
            </w:r>
          </w:p>
        </w:tc>
        <w:tc>
          <w:tcPr>
            <w:tcW w:type="dxa" w:w="3000"/>
            <w:shd w:fill="F3F4F6" w:val="clear"/>
            <w:tcMar>
              <w:top w:type="dxa" w:w="100"/>
              <w:left w:type="dxa" w:w="120"/>
              <w:bottom w:type="dxa" w:w="100"/>
              <w:right w:type="dxa" w:w="120"/>
            </w:tcMar>
          </w:tcPr>
          <w:p>
            <w:r>
              <w:rPr>
                <w:b w:val="false"/>
                <w:bCs w:val="false"/>
              </w:rPr>
              <w:t xml:space="preserve">~25.500</w:t>
            </w:r>
          </w:p>
        </w:tc>
        <w:tc>
          <w:tcPr>
            <w:tcW w:type="dxa" w:w="4200"/>
            <w:shd w:fill="F3F4F6" w:val="clear"/>
            <w:tcMar>
              <w:top w:type="dxa" w:w="100"/>
              <w:left w:type="dxa" w:w="120"/>
              <w:bottom w:type="dxa" w:w="100"/>
              <w:right w:type="dxa" w:w="120"/>
            </w:tcMar>
          </w:tcPr>
          <w:p>
            <w:r>
              <w:rPr>
                <w:b w:val="false"/>
                <w:bCs w:val="false"/>
              </w:rPr>
              <w:t xml:space="preserve">~58.850</w:t>
            </w:r>
          </w:p>
        </w:tc>
      </w:tr>
      <w:tr>
        <w:tc>
          <w:tcPr>
            <w:tcW w:type="dxa" w:w="3600"/>
            <w:tcMar>
              <w:top w:type="dxa" w:w="100"/>
              <w:left w:type="dxa" w:w="120"/>
              <w:bottom w:type="dxa" w:w="100"/>
              <w:right w:type="dxa" w:w="120"/>
            </w:tcMar>
          </w:tcPr>
          <w:p>
            <w:r>
              <w:rPr>
                <w:b w:val="false"/>
                <w:bCs w:val="false"/>
              </w:rPr>
              <w:t xml:space="preserve">Crates</w:t>
            </w:r>
          </w:p>
        </w:tc>
        <w:tc>
          <w:tcPr>
            <w:tcW w:type="dxa" w:w="3000"/>
            <w:tcMar>
              <w:top w:type="dxa" w:w="100"/>
              <w:left w:type="dxa" w:w="120"/>
              <w:bottom w:type="dxa" w:w="100"/>
              <w:right w:type="dxa" w:w="120"/>
            </w:tcMar>
          </w:tcPr>
          <w:p>
            <w:r>
              <w:rPr>
                <w:b w:val="false"/>
                <w:bCs w:val="false"/>
              </w:rPr>
              <w:t xml:space="preserve">13</w:t>
            </w:r>
          </w:p>
        </w:tc>
        <w:tc>
          <w:tcPr>
            <w:tcW w:type="dxa" w:w="4200"/>
            <w:tcMar>
              <w:top w:type="dxa" w:w="100"/>
              <w:left w:type="dxa" w:w="120"/>
              <w:bottom w:type="dxa" w:w="100"/>
              <w:right w:type="dxa" w:w="120"/>
            </w:tcMar>
          </w:tcPr>
          <w:p>
            <w:r>
              <w:rPr>
                <w:b w:val="false"/>
                <w:bCs w:val="false"/>
              </w:rPr>
              <w:t xml:space="preserve">15 (+ memfuse-agent, memfuse-router)</w:t>
            </w:r>
          </w:p>
        </w:tc>
      </w:tr>
      <w:tr>
        <w:tc>
          <w:tcPr>
            <w:tcW w:type="dxa" w:w="3600"/>
            <w:shd w:fill="F3F4F6" w:val="clear"/>
            <w:tcMar>
              <w:top w:type="dxa" w:w="100"/>
              <w:left w:type="dxa" w:w="120"/>
              <w:bottom w:type="dxa" w:w="100"/>
              <w:right w:type="dxa" w:w="120"/>
            </w:tcMar>
          </w:tcPr>
          <w:p>
            <w:r>
              <w:rPr>
                <w:b w:val="false"/>
                <w:bCs w:val="false"/>
              </w:rPr>
              <w:t xml:space="preserve">Dokumentierte kritische Findings</w:t>
            </w:r>
          </w:p>
        </w:tc>
        <w:tc>
          <w:tcPr>
            <w:tcW w:type="dxa" w:w="3000"/>
            <w:shd w:fill="F3F4F6" w:val="clear"/>
            <w:tcMar>
              <w:top w:type="dxa" w:w="100"/>
              <w:left w:type="dxa" w:w="120"/>
              <w:bottom w:type="dxa" w:w="100"/>
              <w:right w:type="dxa" w:w="120"/>
            </w:tcMar>
          </w:tcPr>
          <w:p>
            <w:r>
              <w:rPr>
                <w:b w:val="false"/>
                <w:bCs w:val="false"/>
              </w:rPr>
              <w:t xml:space="preserve">13 (4 separate, teils widersprüchliche Audits)</w:t>
            </w:r>
          </w:p>
        </w:tc>
        <w:tc>
          <w:tcPr>
            <w:tcW w:type="dxa" w:w="4200"/>
            <w:shd w:fill="F3F4F6" w:val="clear"/>
            <w:tcMar>
              <w:top w:type="dxa" w:w="100"/>
              <w:left w:type="dxa" w:w="120"/>
              <w:bottom w:type="dxa" w:w="100"/>
              <w:right w:type="dxa" w:w="120"/>
            </w:tcMar>
          </w:tcPr>
          <w:p>
            <w:r>
              <w:rPr>
                <w:b w:val="false"/>
                <w:bCs w:val="false"/>
              </w:rPr>
              <w:t xml:space="preserve">6 offene AI-TAGs (konsolidiert, einheitlich getrackt)</w:t>
            </w:r>
          </w:p>
        </w:tc>
      </w:tr>
      <w:tr>
        <w:tc>
          <w:tcPr>
            <w:tcW w:type="dxa" w:w="3600"/>
            <w:tcMar>
              <w:top w:type="dxa" w:w="100"/>
              <w:left w:type="dxa" w:w="120"/>
              <w:bottom w:type="dxa" w:w="100"/>
              <w:right w:type="dxa" w:w="120"/>
            </w:tcMar>
          </w:tcPr>
          <w:p>
            <w:r>
              <w:rPr>
                <w:b w:val="false"/>
                <w:bCs w:val="false"/>
              </w:rPr>
              <w:t xml:space="preserve">Formale Architekturentscheidungen (ADRs)</w:t>
            </w:r>
          </w:p>
        </w:tc>
        <w:tc>
          <w:tcPr>
            <w:tcW w:type="dxa" w:w="3000"/>
            <w:tcMar>
              <w:top w:type="dxa" w:w="100"/>
              <w:left w:type="dxa" w:w="120"/>
              <w:bottom w:type="dxa" w:w="100"/>
              <w:right w:type="dxa" w:w="120"/>
            </w:tcMar>
          </w:tcPr>
          <w:p>
            <w:r>
              <w:rPr>
                <w:b w:val="false"/>
                <w:bCs w:val="false"/>
              </w:rPr>
              <w:t xml:space="preserve">nicht als Log geführt</w:t>
            </w:r>
          </w:p>
        </w:tc>
        <w:tc>
          <w:tcPr>
            <w:tcW w:type="dxa" w:w="4200"/>
            <w:tcMar>
              <w:top w:type="dxa" w:w="100"/>
              <w:left w:type="dxa" w:w="120"/>
              <w:bottom w:type="dxa" w:w="100"/>
              <w:right w:type="dxa" w:w="120"/>
            </w:tcMar>
          </w:tcPr>
          <w:p>
            <w:r>
              <w:rPr>
                <w:b w:val="false"/>
                <w:bCs w:val="false"/>
              </w:rPr>
              <w:t xml:space="preserve">40, chronologisch, mit Alternativen-Abwägung</w:t>
            </w:r>
          </w:p>
        </w:tc>
      </w:tr>
    </w:tbl>
    <w:p>
      <w:pPr>
        <w:spacing w:after="200"/>
      </w:pPr>
    </w:p>
    <w:p>
      <w:pPr>
        <w:spacing w:after="160"/>
      </w:pPr>
      <w:r>
        <w:t xml:space="preserve">Das ist eine reale, messbare Qualitätssteigerung — kein kosmetisches Aufhübschen.</w:t>
      </w:r>
    </w:p>
    <w:p>
      <w:pPr>
        <w:pStyle w:val="Heading2"/>
        <w:spacing w:after="150" w:before="300"/>
      </w:pPr>
      <w:r>
        <w:t xml:space="preserve">2.2 Was inzwischen bereits gelöst wurde</w:t>
      </w:r>
    </w:p>
    <w:p>
      <w:pPr>
        <w:spacing w:after="160"/>
      </w:pPr>
      <w:r>
        <w:t xml:space="preserve">Die im letzten Audit als kritisch dokumentierten Probleme wurden größtenteils systematisch abgearbeitet:</w:t>
      </w:r>
    </w:p>
    <w:p>
      <w:pPr>
        <w:pStyle w:val="ListParagraph"/>
        <w:numPr>
          <w:ilvl w:val="0"/>
          <w:numId w:val="1"/>
        </w:numPr>
        <w:spacing w:after="100"/>
      </w:pPr>
      <w:r>
        <w:rPr>
          <w:b/>
          <w:bCs/>
        </w:rPr>
        <w:t xml:space="preserve">Mmap-Race-Condition </w:t>
      </w:r>
      <w:r>
        <w:t xml:space="preserve">(SIGBUS-Risiko in diskann.rs) → ADR-032/034 sowie eigene Härtungs-Commits zu atomarem Rename-Pattern in memfuse-index</w:t>
      </w:r>
    </w:p>
    <w:p>
      <w:pPr>
        <w:pStyle w:val="ListParagraph"/>
        <w:numPr>
          <w:ilvl w:val="0"/>
          <w:numId w:val="1"/>
        </w:numPr>
        <w:spacing w:after="100"/>
      </w:pPr>
      <w:r>
        <w:rPr>
          <w:b/>
          <w:bCs/>
        </w:rPr>
        <w:t xml:space="preserve">WAL-Integritätslücke </w:t>
      </w:r>
      <w:r>
        <w:t xml:space="preserve">(tx_id nicht in HMAC-Kette einbezogen) → ADR-029: WAL-V3-Format, direkte Reaktion auf einen dokumentierten Sicherheitsbefund</w:t>
      </w:r>
    </w:p>
    <w:p>
      <w:pPr>
        <w:pStyle w:val="ListParagraph"/>
        <w:numPr>
          <w:ilvl w:val="0"/>
          <w:numId w:val="1"/>
        </w:numPr>
        <w:spacing w:after="100"/>
      </w:pPr>
      <w:r>
        <w:rPr>
          <w:b/>
          <w:bCs/>
        </w:rPr>
        <w:t xml:space="preserve">Stumme Bounds-Check-Lücken </w:t>
      </w:r>
      <w:r>
        <w:t xml:space="preserve">in SIMD-Distanzfunktionen → ADR-034, Runtime-Assertions statt debug_assert, die in Release-Builds sonst wegfallen</w:t>
      </w:r>
    </w:p>
    <w:p>
      <w:pPr>
        <w:pStyle w:val="ListParagraph"/>
        <w:numPr>
          <w:ilvl w:val="0"/>
          <w:numId w:val="1"/>
        </w:numPr>
        <w:spacing w:after="100"/>
      </w:pPr>
      <w:r>
        <w:rPr>
          <w:b/>
          <w:bCs/>
        </w:rPr>
        <w:t xml:space="preserve">God-Object collection.rs </w:t>
      </w:r>
      <w:r>
        <w:t xml:space="preserve">(~2.900 Zeilen) → ADR-040, sauber modularisiert</w:t>
      </w:r>
    </w:p>
    <w:p>
      <w:pPr>
        <w:pStyle w:val="ListParagraph"/>
        <w:numPr>
          <w:ilvl w:val="0"/>
          <w:numId w:val="1"/>
        </w:numPr>
        <w:spacing w:after="100"/>
      </w:pPr>
      <w:r>
        <w:rPr>
          <w:b/>
          <w:bCs/>
        </w:rPr>
        <w:t xml:space="preserve">Wiederkehrende Audit-Fehlklassen </w:t>
      </w:r>
      <w:r>
        <w:t xml:space="preserve">(Trait-Default-Fallen, Typ-Dopplungen) → ADR-035 führt ein eigenes Prozess-Gate dagegen ein — das Projekt verhindert jetzt Ursachen wiederkehrender Bugklassen strukturell, statt sie einzeln zu fixen</w:t>
      </w:r>
    </w:p>
    <w:p>
      <w:pPr>
        <w:pStyle w:val="Heading2"/>
        <w:spacing w:after="150" w:before="300"/>
      </w:pPr>
      <w:r>
        <w:t xml:space="preserve">2.3 Was inhaltlich neu entstanden ist</w:t>
      </w:r>
    </w:p>
    <w:p>
      <w:pPr>
        <w:spacing w:after="160"/>
      </w:pPr>
      <w:r>
        <w:t xml:space="preserve">Seit dem letzten Check wurden mehrere Features gebaut, die einzeln jeweils State-of-the-Art-RAG-Techniken abbilden:</w:t>
      </w:r>
    </w:p>
    <w:p>
      <w:pPr>
        <w:pStyle w:val="ListParagraph"/>
        <w:numPr>
          <w:ilvl w:val="0"/>
          <w:numId w:val="1"/>
        </w:numPr>
        <w:spacing w:after="100"/>
      </w:pPr>
      <w:r>
        <w:rPr>
          <w:b/>
          <w:bCs/>
        </w:rPr>
        <w:t xml:space="preserve">Bi-temporale Wissensgraphen </w:t>
      </w:r>
      <w:r>
        <w:t xml:space="preserve">(ADR-033): Kanten tragen Gültigkeits- UND Transaktionszeit — ermöglicht "was wusste das System zum Zeitpunkt X" bei gleichzeitiger Nachvollziehbarkeit, wann es geschrieben wurde</w:t>
      </w:r>
    </w:p>
    <w:p>
      <w:pPr>
        <w:pStyle w:val="ListParagraph"/>
        <w:numPr>
          <w:ilvl w:val="0"/>
          <w:numId w:val="1"/>
        </w:numPr>
        <w:spacing w:after="100"/>
      </w:pPr>
      <w:r>
        <w:rPr>
          <w:b/>
          <w:bCs/>
        </w:rPr>
        <w:t xml:space="preserve">Personalized PageRank &amp; Label-Propagation-Community-Detection </w:t>
      </w:r>
      <w:r>
        <w:t xml:space="preserve">(ADR-026, ADR-027) für Multi-Hop-Graph-Retrieval — deterministisch, ohne externe Graph-Bibliothek</w:t>
      </w:r>
    </w:p>
    <w:p>
      <w:pPr>
        <w:pStyle w:val="ListParagraph"/>
        <w:numPr>
          <w:ilvl w:val="0"/>
          <w:numId w:val="1"/>
        </w:numPr>
        <w:spacing w:after="100"/>
      </w:pPr>
      <w:r>
        <w:rPr>
          <w:b/>
          <w:bCs/>
        </w:rPr>
        <w:t xml:space="preserve">LLM-gestützte Kontext-Konsolidierung mit Provenienz-Erhalt </w:t>
      </w:r>
      <w:r>
        <w:t xml:space="preserve">(ADR-032): explizites source_doc_ids-Feld hält Herkunft jeder Zusammenfassung nachvollziehbar</w:t>
      </w:r>
    </w:p>
    <w:p>
      <w:pPr>
        <w:pStyle w:val="ListParagraph"/>
        <w:numPr>
          <w:ilvl w:val="0"/>
          <w:numId w:val="1"/>
        </w:numPr>
        <w:spacing w:after="100"/>
      </w:pPr>
      <w:r>
        <w:rPr>
          <w:b/>
          <w:bCs/>
        </w:rPr>
        <w:t xml:space="preserve">Deterministischer Agent-Orchestrator </w:t>
      </w:r>
      <w:r>
        <w:t xml:space="preserve">(memfuse-agent): Checkpoint→Execute→Commit→Audit-Loop mit RAII-basiertem automatischem Rollback bei Absturz</w:t>
      </w:r>
    </w:p>
    <w:p>
      <w:pPr>
        <w:pStyle w:val="ListParagraph"/>
        <w:numPr>
          <w:ilvl w:val="0"/>
          <w:numId w:val="1"/>
        </w:numPr>
        <w:spacing w:after="100"/>
      </w:pPr>
      <w:r>
        <w:rPr>
          <w:b/>
          <w:bCs/>
        </w:rPr>
        <w:t xml:space="preserve">Community-basiertes SLM-Routing </w:t>
      </w:r>
      <w:r>
        <w:t xml:space="preserve">(memfuse-router): Anfragen werden je nach Graph-Zugehörigkeit an spezialisierte kleine Sprachmodelle geleitet</w:t>
      </w:r>
    </w:p>
    <w:p>
      <w:pPr>
        <w:pStyle w:val="Heading3"/>
        <w:spacing w:after="100" w:before="200"/>
      </w:pPr>
      <w:r>
        <w:t xml:space="preserve">Wichtiger Befund — Dokumentations-Drift</w:t>
      </w:r>
    </w:p>
    <w:p>
      <w:pPr>
        <w:spacing w:after="160"/>
      </w:pPr>
      <w:r>
        <w:t xml:space="preserve">docs/SOURCE_OF_TRUTH.md listet PPR und Community Detection weiterhin unter "Phase 3, geplant Q1 2027", obwohl ADR-026 und ADR-027 sie bereits als final umgesetzt dokumentieren. Das ist ein Governance-Symptom: Bei der aktuellen Entwicklungsgeschwindigkeit hält die strategische Übersichtsdokumentation nicht mehr Schritt mit dem ADR-Log. Das sollte vor der nächsten Entwicklungsphase korrigiert werden, sonst trifft die nächste Strategieentscheidung auf Basis veralteter Statusangaben.</w:t>
      </w:r>
    </w:p>
    <w:p>
      <w:pPr>
        <w:pStyle w:val="Heading2"/>
        <w:spacing w:after="150" w:before="300"/>
      </w:pPr>
      <w:r>
        <w:t xml:space="preserve">2.4 Was weiterhin unklar oder unvollständig ist</w:t>
      </w:r>
    </w:p>
    <w:p>
      <w:pPr>
        <w:pStyle w:val="ListParagraph"/>
        <w:numPr>
          <w:ilvl w:val="0"/>
          <w:numId w:val="1"/>
        </w:numPr>
        <w:spacing w:after="100"/>
      </w:pPr>
      <w:r>
        <w:rPr>
          <w:b/>
          <w:bCs/>
        </w:rPr>
        <w:t xml:space="preserve">Snapshot-Isolation </w:t>
      </w:r>
      <w:r>
        <w:t xml:space="preserve">ist laut ADR-024 explizit nur für Storage- und Text-Signale vollständig — Vektor- (HNSW/DiskANN) und Graph-Suche laufen weiterhin auf dem aktuellen In-Memory-Zustand. Für ein System mit "ACID-Garantie"-Anspruch ist das eine dokumentierte, aber offene Lücke.</w:t>
      </w:r>
    </w:p>
    <w:p>
      <w:pPr>
        <w:pStyle w:val="ListParagraph"/>
        <w:numPr>
          <w:ilvl w:val="0"/>
          <w:numId w:val="1"/>
        </w:numPr>
        <w:spacing w:after="100"/>
      </w:pPr>
      <w:r>
        <w:rPr>
          <w:b/>
          <w:bCs/>
        </w:rPr>
        <w:t xml:space="preserve">Enterprise-Härtung </w:t>
      </w:r>
      <w:r>
        <w:t xml:space="preserve">(OAuth, RBAC, Multi-Tenant, Audit-Log als First-Class-Feature) ist Phase 4 — im Spannungsfeld zur erklärten Zielgruppe "Enterprise, Compliance-getrieben". Dazu mehr in Teil 3.</w:t>
      </w:r>
    </w:p>
    <w:p>
      <w:pPr>
        <w:pStyle w:val="Heading1"/>
        <w:spacing w:after="200" w:before="400"/>
      </w:pPr>
      <w:r>
        <w:t xml:space="preserve">Teil 3 — Der ungelöste Widerspruch: Enterprise-Ziel vs. aktuelle Roadmap-Reihenfolge</w:t>
      </w:r>
    </w:p>
    <w:p>
      <w:pPr>
        <w:spacing w:after="160"/>
      </w:pPr>
      <w:r>
        <w:t xml:space="preserve">Du hast bei der ersten Befragung "Enterprise (self-hosted, Compliance-getrieben)" als Zielgruppe gewählt. Der aktuelle Code bewegt sich aber konsequent in Richtung Individual-/Power-User-Produkt: Ein-Klick-Installer, Air-Gapped-Desktop-App, kein Server, kein Docker — das sind Verkaufsargumente für einen einzelnen Wissensarbeiter oder ein kleines Team, nicht für eine IT-Abteilung, die zentrale Governance über hunderte Nutzer durchsetzen muss.</w:t>
      </w:r>
    </w:p>
    <w:p>
      <w:pPr>
        <w:spacing w:after="160"/>
      </w:pPr>
      <w:r>
        <w:t xml:space="preserve">Das ist kein Fehler — es ist eine unausgesprochene Entscheidung, die jetzt bewusst getroffen werden sollte, weil sie die gesamte weitere Priorisierung bestimmt.</w:t>
      </w:r>
    </w:p>
    <w:p>
      <w:pPr>
        <w:spacing w:after="160"/>
      </w:pPr>
      <w:r>
        <w:rPr>
          <w:b/>
          <w:bCs/>
        </w:rPr>
        <w:t xml:space="preserve">Diese beiden Zielgruppen widersprechen sich nicht zwangsläufig, aber sie widersprechen sich in der Reihenfolge, in der man baut.</w:t>
      </w:r>
    </w:p>
    <w:p>
      <w:pPr>
        <w:pStyle w:val="ListParagraph"/>
        <w:numPr>
          <w:ilvl w:val="0"/>
          <w:numId w:val="1"/>
        </w:numPr>
        <w:spacing w:after="100"/>
      </w:pPr>
      <w:r>
        <w:rPr>
          <w:b/>
          <w:bCs/>
        </w:rPr>
        <w:t xml:space="preserve">Zuerst Einzelnutzer (aktueller Kurs): </w:t>
      </w:r>
      <w:r>
        <w:t xml:space="preserve">schnelles Feedback, einfache Installation, geringe Komplexität. Weg zu Enterprise führt über "Bring your own MemFuse-Instanz, zentrale Governance kommt oben drauf" — genau Phase 4.</w:t>
      </w:r>
    </w:p>
    <w:p>
      <w:pPr>
        <w:pStyle w:val="ListParagraph"/>
        <w:numPr>
          <w:ilvl w:val="0"/>
          <w:numId w:val="1"/>
        </w:numPr>
        <w:spacing w:after="100"/>
      </w:pPr>
      <w:r>
        <w:rPr>
          <w:b/>
          <w:bCs/>
        </w:rPr>
        <w:t xml:space="preserve">Zuerst Enterprise: </w:t>
      </w:r>
      <w:r>
        <w:t xml:space="preserve">erfordert von Anfang an Mandantentrennung, Identitäts-Föderation, zentrale Audit-Aggregation — verzögert jedes Feature erheblich, widerspricht der bisherigen erfolgreichen Geschwindigkeit.</w:t>
      </w:r>
    </w:p>
    <w:p>
      <w:pPr>
        <w:pStyle w:val="Heading3"/>
        <w:spacing w:after="100" w:before="200"/>
      </w:pPr>
      <w:r>
        <w:t xml:space="preserve">Empfehlung</w:t>
      </w:r>
    </w:p>
    <w:p>
      <w:pPr>
        <w:spacing w:after="160"/>
      </w:pPr>
      <w:r>
        <w:t xml:space="preserve">Aktuellen Kurs (Einzelnutzer/Team-Desktop-App zuerst) beibehalten — er hat sich als produktiver erwiesen, und die dabei entstehende Substanz (Verschlüsselung, Audit-Trail, Provenienz) ist exakt das, was Enterprise-Käufer später verlangen.</w:t>
      </w:r>
    </w:p>
    <w:p>
      <w:pPr>
        <w:spacing w:after="160"/>
      </w:pPr>
      <w:r>
        <w:rPr>
          <w:b/>
          <w:bCs/>
        </w:rPr>
        <w:t xml:space="preserve">Aber: </w:t>
      </w:r>
      <w:r>
        <w:t xml:space="preserve">Das Alleinstellungsmerkmal für Enterprise sollte schon jetzt in die Architektur eingebaut werden — nicht als eigene Phase, sondern als Eigenschaft, die von Anfang an in jedem Layer mitgedacht wird. Das führt zu Teil 4.</w:t>
      </w:r>
    </w:p>
    <w:p>
      <w:pPr>
        <w:pStyle w:val="Heading1"/>
        <w:spacing w:after="200" w:before="400"/>
      </w:pPr>
      <w:r>
        <w:t xml:space="preserve">Teil 4 — Der strukturelle Wettbewerbsvorteil: Verifiable Memory Governance</w:t>
      </w:r>
    </w:p>
    <w:p>
      <w:pPr>
        <w:pStyle w:val="Heading2"/>
        <w:spacing w:after="150" w:before="300"/>
      </w:pPr>
      <w:r>
        <w:t xml:space="preserve">4.1 Was die aktuelle Forschung sagt</w:t>
      </w:r>
    </w:p>
    <w:p>
      <w:pPr>
        <w:spacing w:after="160"/>
      </w:pPr>
      <w:r>
        <w:t xml:space="preserve">Im April 2026 wurde in der Fachliteratur ein Framework namens Verifiable Memory Governance (VMG) formalisiert — eine Antwort auf ein akutes Problem bei LLM-Agenten mit persistentem Gedächtnis: Agenten-Memory-Systeme (Mem0, MemGPT, die meisten Vektordatenbank-Wrapper) speichern Informationen dauerhaft, können aber in aller Regel nicht beweisen, woher eine Information kam, wer sie autorisiert hat, und dass eine gelöschte Information wirklich aus allen Teilsystemen entfernt wurde.</w:t>
      </w:r>
    </w:p>
    <w:p>
      <w:pPr>
        <w:spacing w:after="160"/>
      </w:pPr>
      <w:r>
        <w:t xml:space="preserve">Das Framework definiert fünf architektonische Grundbausteine: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00"/>
      </w:tblGrid>
      <w:tr>
        <w:trPr>
          <w:tblHeader/>
        </w:trPr>
        <w:tc>
          <w:tcPr>
            <w:tcW w:type="dxa" w:w="2400"/>
            <w:shd w:fill="1F2937" w:val="clear"/>
            <w:tcMar>
              <w:top w:type="dxa" w:w="100"/>
              <w:left w:type="dxa" w:w="120"/>
              <w:bottom w:type="dxa" w:w="100"/>
              <w:right w:type="dxa" w:w="120"/>
            </w:tcMar>
          </w:tcPr>
          <w:p>
            <w:r>
              <w:rPr>
                <w:b/>
                <w:bCs/>
                <w:color w:val="FFFFFF"/>
              </w:rPr>
              <w:t xml:space="preserve">Primitiv</w:t>
            </w:r>
          </w:p>
        </w:tc>
        <w:tc>
          <w:tcPr>
            <w:tcW w:type="dxa" w:w="4200"/>
            <w:shd w:fill="1F2937" w:val="clear"/>
            <w:tcMar>
              <w:top w:type="dxa" w:w="100"/>
              <w:left w:type="dxa" w:w="120"/>
              <w:bottom w:type="dxa" w:w="100"/>
              <w:right w:type="dxa" w:w="120"/>
            </w:tcMar>
          </w:tcPr>
          <w:p>
            <w:r>
              <w:rPr>
                <w:b/>
                <w:bCs/>
                <w:color w:val="FFFFFF"/>
              </w:rPr>
              <w:t xml:space="preserve">Bedeutung</w:t>
            </w:r>
          </w:p>
        </w:tc>
        <w:tc>
          <w:tcPr>
            <w:tcW w:type="dxa" w:w="2800"/>
            <w:shd w:fill="1F2937" w:val="clear"/>
            <w:tcMar>
              <w:top w:type="dxa" w:w="100"/>
              <w:left w:type="dxa" w:w="120"/>
              <w:bottom w:type="dxa" w:w="100"/>
              <w:right w:type="dxa" w:w="120"/>
            </w:tcMar>
          </w:tcPr>
          <w:p>
            <w:r>
              <w:rPr>
                <w:b/>
                <w:bCs/>
                <w:color w:val="FFFFFF"/>
              </w:rPr>
              <w:t xml:space="preserve">MemFuse-Bezug heute</w:t>
            </w:r>
          </w:p>
        </w:tc>
      </w:tr>
      <w:tr>
        <w:tc>
          <w:tcPr>
            <w:tcW w:type="dxa" w:w="2400"/>
            <w:tcMar>
              <w:top w:type="dxa" w:w="100"/>
              <w:left w:type="dxa" w:w="120"/>
              <w:bottom w:type="dxa" w:w="100"/>
              <w:right w:type="dxa" w:w="120"/>
            </w:tcMar>
          </w:tcPr>
          <w:p>
            <w:r>
              <w:rPr>
                <w:b w:val="false"/>
                <w:bCs w:val="false"/>
              </w:rPr>
              <w:t xml:space="preserve">Write Authorization</w:t>
            </w:r>
          </w:p>
        </w:tc>
        <w:tc>
          <w:tcPr>
            <w:tcW w:type="dxa" w:w="4200"/>
            <w:tcMar>
              <w:top w:type="dxa" w:w="100"/>
              <w:left w:type="dxa" w:w="120"/>
              <w:bottom w:type="dxa" w:w="100"/>
              <w:right w:type="dxa" w:w="120"/>
            </w:tcMar>
          </w:tcPr>
          <w:p>
            <w:r>
              <w:rPr>
                <w:b w:val="false"/>
                <w:bCs w:val="false"/>
              </w:rPr>
              <w:t xml:space="preserve">Jeder Schreibzugriff ist authentifiziert und autorisiert geprüft, bevor er persistiert wird</w:t>
            </w:r>
          </w:p>
        </w:tc>
        <w:tc>
          <w:tcPr>
            <w:tcW w:type="dxa" w:w="2800"/>
            <w:tcMar>
              <w:top w:type="dxa" w:w="100"/>
              <w:left w:type="dxa" w:w="120"/>
              <w:bottom w:type="dxa" w:w="100"/>
              <w:right w:type="dxa" w:w="120"/>
            </w:tcMar>
          </w:tcPr>
          <w:p>
            <w:r>
              <w:rPr>
                <w:b w:val="false"/>
                <w:bCs w:val="false"/>
              </w:rPr>
              <w:t xml:space="preserve">Fehlt als First-Class-Konzept — aktuell schreibt jeder MCP-Client ungeprüft</w:t>
            </w:r>
          </w:p>
        </w:tc>
      </w:tr>
      <w:tr>
        <w:tc>
          <w:tcPr>
            <w:tcW w:type="dxa" w:w="2400"/>
            <w:shd w:fill="F3F4F6" w:val="clear"/>
            <w:tcMar>
              <w:top w:type="dxa" w:w="100"/>
              <w:left w:type="dxa" w:w="120"/>
              <w:bottom w:type="dxa" w:w="100"/>
              <w:right w:type="dxa" w:w="120"/>
            </w:tcMar>
          </w:tcPr>
          <w:p>
            <w:r>
              <w:rPr>
                <w:b w:val="false"/>
                <w:bCs w:val="false"/>
              </w:rPr>
              <w:t xml:space="preserve">Provenance Visibility</w:t>
            </w:r>
          </w:p>
        </w:tc>
        <w:tc>
          <w:tcPr>
            <w:tcW w:type="dxa" w:w="4200"/>
            <w:shd w:fill="F3F4F6" w:val="clear"/>
            <w:tcMar>
              <w:top w:type="dxa" w:w="100"/>
              <w:left w:type="dxa" w:w="120"/>
              <w:bottom w:type="dxa" w:w="100"/>
              <w:right w:type="dxa" w:w="120"/>
            </w:tcMar>
          </w:tcPr>
          <w:p>
            <w:r>
              <w:rPr>
                <w:b w:val="false"/>
                <w:bCs w:val="false"/>
              </w:rPr>
              <w:t xml:space="preserve">Jeder Eintrag hat eine lückenlose, abfragbare Herkunftskette bis zum ursprünglichen Schreibvorgang</w:t>
            </w:r>
          </w:p>
        </w:tc>
        <w:tc>
          <w:tcPr>
            <w:tcW w:type="dxa" w:w="2800"/>
            <w:shd w:fill="F3F4F6" w:val="clear"/>
            <w:tcMar>
              <w:top w:type="dxa" w:w="100"/>
              <w:left w:type="dxa" w:w="120"/>
              <w:bottom w:type="dxa" w:w="100"/>
              <w:right w:type="dxa" w:w="120"/>
            </w:tcMar>
          </w:tcPr>
          <w:p>
            <w:r>
              <w:rPr>
                <w:b w:val="false"/>
                <w:bCs w:val="false"/>
              </w:rPr>
              <w:t xml:space="preserve">Teilweise vorhanden (HMAC-WAL, TxId, source_doc_ids) — nicht als abfragbares Objekt exponiert</w:t>
            </w:r>
          </w:p>
        </w:tc>
      </w:tr>
      <w:tr>
        <w:tc>
          <w:tcPr>
            <w:tcW w:type="dxa" w:w="2400"/>
            <w:tcMar>
              <w:top w:type="dxa" w:w="100"/>
              <w:left w:type="dxa" w:w="120"/>
              <w:bottom w:type="dxa" w:w="100"/>
              <w:right w:type="dxa" w:w="120"/>
            </w:tcMar>
          </w:tcPr>
          <w:p>
            <w:r>
              <w:rPr>
                <w:b w:val="false"/>
                <w:bCs w:val="false"/>
              </w:rPr>
              <w:t xml:space="preserve">Principal-Scoped Retrieval</w:t>
            </w:r>
          </w:p>
        </w:tc>
        <w:tc>
          <w:tcPr>
            <w:tcW w:type="dxa" w:w="4200"/>
            <w:tcMar>
              <w:top w:type="dxa" w:w="100"/>
              <w:left w:type="dxa" w:w="120"/>
              <w:bottom w:type="dxa" w:w="100"/>
              <w:right w:type="dxa" w:w="120"/>
            </w:tcMar>
          </w:tcPr>
          <w:p>
            <w:r>
              <w:rPr>
                <w:b w:val="false"/>
                <w:bCs w:val="false"/>
              </w:rPr>
              <w:t xml:space="preserve">Eine Abfrage liefert nur, wofür der Anfragende autorisiert ist</w:t>
            </w:r>
          </w:p>
        </w:tc>
        <w:tc>
          <w:tcPr>
            <w:tcW w:type="dxa" w:w="2800"/>
            <w:tcMar>
              <w:top w:type="dxa" w:w="100"/>
              <w:left w:type="dxa" w:w="120"/>
              <w:bottom w:type="dxa" w:w="100"/>
              <w:right w:type="dxa" w:w="120"/>
            </w:tcMar>
          </w:tcPr>
          <w:p>
            <w:r>
              <w:rPr>
                <w:b w:val="false"/>
                <w:bCs w:val="false"/>
              </w:rPr>
              <w:t xml:space="preserve">Fehlt als feingranulares Konzept — Collections trennen nur grob</w:t>
            </w:r>
          </w:p>
        </w:tc>
      </w:tr>
      <w:tr>
        <w:tc>
          <w:tcPr>
            <w:tcW w:type="dxa" w:w="2400"/>
            <w:shd w:fill="F3F4F6" w:val="clear"/>
            <w:tcMar>
              <w:top w:type="dxa" w:w="100"/>
              <w:left w:type="dxa" w:w="120"/>
              <w:bottom w:type="dxa" w:w="100"/>
              <w:right w:type="dxa" w:w="120"/>
            </w:tcMar>
          </w:tcPr>
          <w:p>
            <w:r>
              <w:rPr>
                <w:b w:val="false"/>
                <w:bCs w:val="false"/>
              </w:rPr>
              <w:t xml:space="preserve">Rollbackability</w:t>
            </w:r>
          </w:p>
        </w:tc>
        <w:tc>
          <w:tcPr>
            <w:tcW w:type="dxa" w:w="4200"/>
            <w:shd w:fill="F3F4F6" w:val="clear"/>
            <w:tcMar>
              <w:top w:type="dxa" w:w="100"/>
              <w:left w:type="dxa" w:w="120"/>
              <w:bottom w:type="dxa" w:w="100"/>
              <w:right w:type="dxa" w:w="120"/>
            </w:tcMar>
          </w:tcPr>
          <w:p>
            <w:r>
              <w:rPr>
                <w:b w:val="false"/>
                <w:bCs w:val="false"/>
              </w:rPr>
              <w:t xml:space="preserve">Versionierte Snapshots erlauben exakten Restore auf einen früheren Zustand</w:t>
            </w:r>
          </w:p>
        </w:tc>
        <w:tc>
          <w:tcPr>
            <w:tcW w:type="dxa" w:w="2800"/>
            <w:shd w:fill="F3F4F6" w:val="clear"/>
            <w:tcMar>
              <w:top w:type="dxa" w:w="100"/>
              <w:left w:type="dxa" w:w="120"/>
              <w:bottom w:type="dxa" w:w="100"/>
              <w:right w:type="dxa" w:w="120"/>
            </w:tcMar>
          </w:tcPr>
          <w:p>
            <w:r>
              <w:rPr>
                <w:b w:val="false"/>
                <w:bCs w:val="false"/>
              </w:rPr>
              <w:t xml:space="preserve">Fundament vorhanden (memfuse-checkpoint, MVCC, CheckpointGuard) — dein "Versionierungssystem"-Instinkt</w:t>
            </w:r>
          </w:p>
        </w:tc>
      </w:tr>
      <w:tr>
        <w:tc>
          <w:tcPr>
            <w:tcW w:type="dxa" w:w="2400"/>
            <w:tcMar>
              <w:top w:type="dxa" w:w="100"/>
              <w:left w:type="dxa" w:w="120"/>
              <w:bottom w:type="dxa" w:w="100"/>
              <w:right w:type="dxa" w:w="120"/>
            </w:tcMar>
          </w:tcPr>
          <w:p>
            <w:r>
              <w:rPr>
                <w:b w:val="false"/>
                <w:bCs w:val="false"/>
              </w:rPr>
              <w:t xml:space="preserve">Verified Forgetting</w:t>
            </w:r>
          </w:p>
        </w:tc>
        <w:tc>
          <w:tcPr>
            <w:tcW w:type="dxa" w:w="4200"/>
            <w:tcMar>
              <w:top w:type="dxa" w:w="100"/>
              <w:left w:type="dxa" w:w="120"/>
              <w:bottom w:type="dxa" w:w="100"/>
              <w:right w:type="dxa" w:w="120"/>
            </w:tcMar>
          </w:tcPr>
          <w:p>
            <w:r>
              <w:rPr>
                <w:b w:val="false"/>
                <w:bCs w:val="false"/>
              </w:rPr>
              <w:t xml:space="preserve">Beweisbar, dass gelöschte Inhalte in KEINEM Teilsystem mehr existieren</w:t>
            </w:r>
          </w:p>
        </w:tc>
        <w:tc>
          <w:tcPr>
            <w:tcW w:type="dxa" w:w="2800"/>
            <w:tcMar>
              <w:top w:type="dxa" w:w="100"/>
              <w:left w:type="dxa" w:w="120"/>
              <w:bottom w:type="dxa" w:w="100"/>
              <w:right w:type="dxa" w:w="120"/>
            </w:tcMar>
          </w:tcPr>
          <w:p>
            <w:r>
              <w:rPr>
                <w:b w:val="false"/>
                <w:bCs w:val="false"/>
              </w:rPr>
              <w:t xml:space="preserve">Fehlt komplett</w:t>
            </w:r>
          </w:p>
        </w:tc>
      </w:tr>
    </w:tbl>
    <w:p>
      <w:pPr>
        <w:spacing w:after="200"/>
      </w:pPr>
    </w:p>
    <w:p>
      <w:pPr>
        <w:spacing w:after="160"/>
      </w:pPr>
      <w:r>
        <w:rPr>
          <w:b/>
          <w:bCs/>
        </w:rPr>
        <w:t xml:space="preserve">Entscheidende Priorisierungs-Erkenntnis der Forschung: </w:t>
      </w:r>
      <w:r>
        <w:t xml:space="preserve">Provenance Visibility ist das Fundament, auf dem Rollbackability und Verified Forgetting erst korrekt aufgebaut werden können — und es ist in der Praxis das am seltensten implementierte der fünf Primitive. Kein bekanntes Konkurrenzprodukt (Mem0, MemGPT/Letta, Zep, Chroma-basierte Wrapper) implementiert es vollständig.</w:t>
      </w:r>
    </w:p>
    <w:p>
      <w:pPr>
        <w:pStyle w:val="Heading2"/>
        <w:spacing w:after="150" w:before="300"/>
      </w:pPr>
      <w:r>
        <w:t xml:space="preserve">4.2 Warum das der richtige Hebel für Marktherrschaft ist</w:t>
      </w:r>
    </w:p>
    <w:p>
      <w:pPr>
        <w:spacing w:after="160"/>
      </w:pPr>
      <w:r>
        <w:t xml:space="preserve">Featurebreite (mehr Signale, mehr Suchmodi, mehr Konnektoren) ist von jedem gut finanzierten Wettbewerber innerhalb weniger Monate nachbaubar. Ein durchgängiges, kryptographisch verankertes Beweissystem für "was wusste der Agent wann, woher kam es, und ist es wirklich weg, wenn ich es lösche" ist das nicht — es erfordert, von der WAL-Ebene bis zur GUI, an jeder Stelle konsequent mitgedacht zu werden. Genau das ist der Vorteil, den MemFuse bereits in seinem Fundament trägt (HMAC-Ketten, MVCC, RAII-Checkpoint-Guards, Zeroize) — bisher aber nicht als zusammenhängendes, benanntes und vermarktetes Merkmal.</w:t>
      </w:r>
    </w:p>
    <w:p>
      <w:pPr>
        <w:spacing w:after="160"/>
      </w:pPr>
      <w:r>
        <w:rPr>
          <w:b/>
          <w:bCs/>
        </w:rPr>
        <w:t xml:space="preserve">Dies ist die Antwort auf die Frage nach der ultimativen Ergänzung zu LLMs: </w:t>
      </w:r>
      <w:r>
        <w:t xml:space="preserve">Nicht "noch eine Vektordatenbank mit mehr Signalen", sondern das erste Agenten-Gedächtnis, dessen Inhalt zu jedem Zeitpunkt lückenlos nachweisbar, versionierbar und beweisbar löschbar ist — geprüft, testbar, bis auf die kleinste Speichereinheit.</w:t>
      </w:r>
    </w:p>
    <w:p>
      <w:pPr>
        <w:pStyle w:val="Heading2"/>
        <w:spacing w:after="150" w:before="300"/>
      </w:pPr>
      <w:r>
        <w:t xml:space="preserve">4.3 Ergänzende, aktuelle Retrieval-Forschung</w:t>
      </w:r>
    </w:p>
    <w:p>
      <w:pPr>
        <w:spacing w:after="160"/>
      </w:pPr>
      <w:r>
        <w:t xml:space="preserve">Unabhängig von VMG bestätigt die aktuelle Literatur zwei konkrete Verbesserungen, die bereits in MemFuse umgesetzt sind:</w:t>
      </w:r>
    </w:p>
    <w:p>
      <w:pPr>
        <w:pStyle w:val="ListParagraph"/>
        <w:numPr>
          <w:ilvl w:val="0"/>
          <w:numId w:val="1"/>
        </w:numPr>
        <w:spacing w:after="100"/>
      </w:pPr>
      <w:r>
        <w:rPr>
          <w:b/>
          <w:bCs/>
        </w:rPr>
        <w:t xml:space="preserve">Contextual Retrieval </w:t>
      </w:r>
      <w:r>
        <w:t xml:space="preserve">(ADR-019/ADR-021) — konsistent replizierte Qualitätsverbesserung, moderate Zusatzkosten. Bereits implementiert.</w:t>
      </w:r>
    </w:p>
    <w:p>
      <w:pPr>
        <w:pStyle w:val="ListParagraph"/>
        <w:numPr>
          <w:ilvl w:val="0"/>
          <w:numId w:val="1"/>
        </w:numPr>
        <w:spacing w:after="100"/>
      </w:pPr>
      <w:r>
        <w:rPr>
          <w:b/>
          <w:bCs/>
        </w:rPr>
        <w:t xml:space="preserve">Cross-Encoder-Reranking nach RRF-Fusion </w:t>
      </w:r>
      <w:r>
        <w:t xml:space="preserve">— in vielen Benchmarks der größte einzelne Qualitätsgewinn im Retrieval-Stack. Bereits implementiert.</w:t>
      </w:r>
    </w:p>
    <w:p>
      <w:pPr>
        <w:spacing w:after="160"/>
      </w:pPr>
      <w:r>
        <w:t xml:space="preserve">Die offene Lücke liegt also nicht in der Retrieval-Qualität, sondern in der Governance-Schicht darüber.</w:t>
      </w:r>
    </w:p>
    <w:p>
      <w:pPr>
        <w:pStyle w:val="Heading1"/>
        <w:spacing w:after="200" w:before="400"/>
      </w:pPr>
      <w:r>
        <w:t xml:space="preserve">Teil 5 — Priorisierte Roadmap: Bugs und Governance parallel</w:t>
      </w:r>
    </w:p>
    <w:p>
      <w:pPr>
        <w:pStyle w:val="Heading2"/>
        <w:spacing w:after="150" w:before="300"/>
      </w:pPr>
      <w:r>
        <w:t xml:space="preserve">Spur A — Technische Restschulden (kurzfristig, 1–2 Wochen)</w:t>
      </w:r>
    </w:p>
    <w:p>
      <w:pPr>
        <w:pStyle w:val="ListParagraph"/>
        <w:numPr>
          <w:ilvl w:val="0"/>
          <w:numId w:val="1"/>
        </w:numPr>
        <w:spacing w:after="100"/>
      </w:pPr>
      <w:r>
        <w:rPr>
          <w:b/>
          <w:bCs/>
        </w:rPr>
        <w:t xml:space="preserve">1. Snapshot-Isolation für Vektor- und Graph-Signale schließen </w:t>
      </w:r>
      <w:r>
        <w:t xml:space="preserve">(ADR-024-Lücke). Ohne das ist jede spätere "beweisbare Konsistenz"-Aussage angreifbar.</w:t>
      </w:r>
    </w:p>
    <w:p>
      <w:pPr>
        <w:pStyle w:val="ListParagraph"/>
        <w:numPr>
          <w:ilvl w:val="0"/>
          <w:numId w:val="1"/>
        </w:numPr>
        <w:spacing w:after="100"/>
      </w:pPr>
      <w:r>
        <w:rPr>
          <w:b/>
          <w:bCs/>
        </w:rPr>
        <w:t xml:space="preserve">2. Verbleibende 6 offene AI-TAGs abarbeiten, </w:t>
      </w:r>
      <w:r>
        <w:t xml:space="preserve">inklusive der beiden .expect()-Stellen (SessionPool, snapshot.rs) — Zero-Panic-Invariante vollständig schließen.</w:t>
      </w:r>
    </w:p>
    <w:p>
      <w:pPr>
        <w:pStyle w:val="ListParagraph"/>
        <w:numPr>
          <w:ilvl w:val="0"/>
          <w:numId w:val="1"/>
        </w:numPr>
        <w:spacing w:after="100"/>
      </w:pPr>
      <w:r>
        <w:rPr>
          <w:b/>
          <w:bCs/>
        </w:rPr>
        <w:t xml:space="preserve">3. SOURCE_OF_TRUTH.md mit dem ADR-Log synchronisieren </w:t>
      </w:r>
      <w:r>
        <w:t xml:space="preserve">(PPR-/Community-Detection-Status korrigieren) — Voraussetzung für korrekte künftige Strategieentscheidungen.</w:t>
      </w:r>
    </w:p>
    <w:p>
      <w:pPr>
        <w:pStyle w:val="Heading2"/>
        <w:spacing w:after="150" w:before="300"/>
      </w:pPr>
      <w:r>
        <w:t xml:space="preserve">Spur B — Verifiable Memory Governance als neues Fundament (mittelfristig)</w:t>
      </w:r>
    </w:p>
    <w:p>
      <w:pPr>
        <w:spacing w:after="160"/>
      </w:pPr>
      <w:r>
        <w:t xml:space="preserve">Reihenfolge folgt der Abhängigkeits-Erkenntnis aus der Forschung — Provenance zuerst, alles andere baut darauf auf:</w:t>
      </w:r>
    </w:p>
    <w:p>
      <w:pPr>
        <w:pStyle w:val="ListParagraph"/>
        <w:numPr>
          <w:ilvl w:val="0"/>
          <w:numId w:val="1"/>
        </w:numPr>
        <w:spacing w:after="100"/>
      </w:pPr>
      <w:r>
        <w:rPr>
          <w:b/>
          <w:bCs/>
        </w:rPr>
        <w:t xml:space="preserve">1. Provenance Visibility zuerst. </w:t>
      </w:r>
      <w:r>
        <w:t xml:space="preserve">Ausbau der vorhandenen Bausteine (HMAC-WAL, TxId, source_doc_ids) zu einem eigenständigen, abfragbaren ProvenanceRecord-Konzept.</w:t>
      </w:r>
    </w:p>
    <w:p>
      <w:pPr>
        <w:pStyle w:val="ListParagraph"/>
        <w:numPr>
          <w:ilvl w:val="0"/>
          <w:numId w:val="1"/>
        </w:numPr>
        <w:spacing w:after="100"/>
      </w:pPr>
      <w:r>
        <w:rPr>
          <w:b/>
          <w:bCs/>
        </w:rPr>
        <w:t xml:space="preserve">2. Rollbackability konsolidieren. </w:t>
      </w:r>
      <w:r>
        <w:t xml:space="preserve">MVCC/Checkpoint-Fundament ist da — es fehlt die nutzerseitige Zusicherung "stelle exakten Zustand von Zeitpunkt X wieder her" als dokumentiertes, getestetes Feature.</w:t>
      </w:r>
    </w:p>
    <w:p>
      <w:pPr>
        <w:pStyle w:val="ListParagraph"/>
        <w:numPr>
          <w:ilvl w:val="0"/>
          <w:numId w:val="1"/>
        </w:numPr>
        <w:spacing w:after="100"/>
      </w:pPr>
      <w:r>
        <w:rPr>
          <w:b/>
          <w:bCs/>
        </w:rPr>
        <w:t xml:space="preserve">3. Write Authorization. </w:t>
      </w:r>
      <w:r>
        <w:t xml:space="preserve">Autorisierungsprüfung vor jedem persistenten Schreibvorgang, beginnend beim MCP-Sandbox-Layer.</w:t>
      </w:r>
    </w:p>
    <w:p>
      <w:pPr>
        <w:pStyle w:val="ListParagraph"/>
        <w:numPr>
          <w:ilvl w:val="0"/>
          <w:numId w:val="1"/>
        </w:numPr>
        <w:spacing w:after="100"/>
      </w:pPr>
      <w:r>
        <w:rPr>
          <w:b/>
          <w:bCs/>
        </w:rPr>
        <w:t xml:space="preserve">4. Principal-Scoped Retrieval. </w:t>
      </w:r>
      <w:r>
        <w:t xml:space="preserve">Feingranulare Zugriffsprüfung pro Eintrag statt nur pro Collection.</w:t>
      </w:r>
    </w:p>
    <w:p>
      <w:pPr>
        <w:pStyle w:val="ListParagraph"/>
        <w:numPr>
          <w:ilvl w:val="0"/>
          <w:numId w:val="1"/>
        </w:numPr>
        <w:spacing w:after="100"/>
      </w:pPr>
      <w:r>
        <w:rPr>
          <w:b/>
          <w:bCs/>
        </w:rPr>
        <w:t xml:space="preserve">5. Verified Forgetting zuletzt </w:t>
      </w:r>
      <w:r>
        <w:t xml:space="preserve">— technisch am anspruchsvollsten, da Löschbeweise über LSM, HNSW, Graph und LLM-Zusammenfassungen hinweg erforderlich sind. Baut auf allen vorherigen Primitiven auf.</w:t>
      </w:r>
    </w:p>
    <w:p>
      <w:pPr>
        <w:pStyle w:val="Heading2"/>
        <w:spacing w:after="150" w:before="300"/>
      </w:pPr>
      <w:r>
        <w:t xml:space="preserve">Spur C — Positionierung festschreiben</w:t>
      </w:r>
    </w:p>
    <w:p>
      <w:pPr>
        <w:pStyle w:val="ListParagraph"/>
        <w:numPr>
          <w:ilvl w:val="0"/>
          <w:numId w:val="1"/>
        </w:numPr>
        <w:spacing w:after="100"/>
      </w:pPr>
      <w:r>
        <w:t xml:space="preserve">Neuer ADR: ADR-007 formal als "Superseded" markieren, aktuelle Positionierung ("Cognitive Operating System", Desktop-first) als bindend festschreiben.</w:t>
      </w:r>
    </w:p>
    <w:p>
      <w:pPr>
        <w:pStyle w:val="ListParagraph"/>
        <w:numPr>
          <w:ilvl w:val="0"/>
          <w:numId w:val="1"/>
        </w:numPr>
        <w:spacing w:after="100"/>
      </w:pPr>
      <w:r>
        <w:t xml:space="preserve">README und Source-of-Truth um die VMG-Story als explizites, benanntes Alleinstellungsmerkmal ergänzen — als durchgehendes Architekturprinzip von Anfang an, nicht als "Enterprise Phase 4".</w:t>
      </w:r>
    </w:p>
    <w:p>
      <w:pPr>
        <w:pStyle w:val="Heading1"/>
        <w:spacing w:after="200" w:before="400"/>
      </w:pPr>
      <w:r>
        <w:t xml:space="preserve">Teil 6 — Kurz beantwortet: Deine ursprünglichen drei Ziele</w:t>
      </w:r>
    </w:p>
    <w:p>
      <w:pPr>
        <w:pStyle w:val="ListParagraph"/>
        <w:numPr>
          <w:ilvl w:val="0"/>
          <w:numId w:val="1"/>
        </w:numPr>
        <w:spacing w:after="100"/>
      </w:pPr>
      <w:r>
        <w:rPr>
          <w:b/>
          <w:bCs/>
        </w:rPr>
        <w:t xml:space="preserve">"Auditierbar bis aufs Atom" </w:t>
      </w:r>
      <w:r>
        <w:t xml:space="preserve">→ exakt die Provenance-Visibility-Komponente von VMG. Die Formulierung passt fast wörtlich zum Forschungsbegriff.</w:t>
      </w:r>
    </w:p>
    <w:p>
      <w:pPr>
        <w:pStyle w:val="ListParagraph"/>
        <w:numPr>
          <w:ilvl w:val="0"/>
          <w:numId w:val="1"/>
        </w:numPr>
        <w:spacing w:after="100"/>
      </w:pPr>
      <w:r>
        <w:rPr>
          <w:b/>
          <w:bCs/>
        </w:rPr>
        <w:t xml:space="preserve">"Alles testbar und beweisbar" </w:t>
      </w:r>
      <w:r>
        <w:t xml:space="preserve">→ Rollbackability + Verified Forgetting geben genau diese Beweisbarkeit als technisches, nicht nur als Marketing-Versprechen.</w:t>
      </w:r>
    </w:p>
    <w:p>
      <w:pPr>
        <w:pStyle w:val="ListParagraph"/>
        <w:numPr>
          <w:ilvl w:val="0"/>
          <w:numId w:val="1"/>
        </w:numPr>
        <w:spacing w:after="100"/>
      </w:pPr>
      <w:r>
        <w:rPr>
          <w:b/>
          <w:bCs/>
        </w:rPr>
        <w:t xml:space="preserve">"Eine Art Versionierungssystem" </w:t>
      </w:r>
      <w:r>
        <w:t xml:space="preserve">→ der Instinkt war richtig und deckt sich mit dem bereits gebauten memfuse-checkpoint/MVCC-Fundament — es fehlt nur die konsequente Ausformulierung zu Rollbackability im VMG-Sinn.</w:t>
      </w:r>
    </w:p>
    <w:p>
      <w:pPr>
        <w:spacing w:after="200"/>
      </w:pPr>
    </w:p>
    <w:p>
      <w:pPr>
        <w:pBdr>
          <w:bottom w:val="single" w:color="D1D5DB" w:sz="6" w:space="1"/>
        </w:pBdr>
        <w:spacing w:after="240"/>
      </w:pPr>
    </w:p>
    <w:p>
      <w:pPr>
        <w:spacing w:before="200"/>
      </w:pPr>
      <w:r>
        <w:rPr>
          <w:i/>
          <w:iCs/>
          <w:sz w:val="22"/>
          <w:szCs w:val="22"/>
        </w:rPr>
        <w:t xml:space="preserve">Du hattest die richtige Intuition, bevor die Forschung dazu einen Namen hatte. Das ist der eigentliche Ausgangspunkt für Marktführerschaft — nicht, weil die Idee neu erfunden werden muss, sondern weil sie zu Ende gebaut und klar benannt werden muss, bevor es ein Wettbewerber tut.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8" w:space="4"/>
      </w:pBdr>
      <w:spacing w:after="180" w:before="360"/>
    </w:pPr>
    <w:rPr>
      <w:rFonts w:ascii="Calibri" w:cs="Calibri" w:eastAsia="Calibri" w:hAnsi="Calibri"/>
      <w:b/>
      <w:bCs/>
      <w:color w:val="1F2937"/>
      <w:sz w:val="30"/>
      <w:szCs w:val="30"/>
    </w:rPr>
  </w:style>
  <w:style w:type="paragraph" w:styleId="Heading2">
    <w:name w:val="Heading 2"/>
    <w:basedOn w:val="Normal"/>
    <w:next w:val="Normal"/>
    <w:qFormat/>
    <w:pPr>
      <w:spacing w:after="140" w:before="280"/>
    </w:pPr>
    <w:rPr>
      <w:rFonts w:ascii="Calibri" w:cs="Calibri" w:eastAsia="Calibri" w:hAnsi="Calibri"/>
      <w:b/>
      <w:bCs/>
      <w:color w:val="2563EB"/>
      <w:sz w:val="26"/>
      <w:szCs w:val="26"/>
    </w:rPr>
  </w:style>
  <w:style w:type="paragraph" w:styleId="Heading3">
    <w:name w:val="Heading 3"/>
    <w:basedOn w:val="Normal"/>
    <w:next w:val="Normal"/>
    <w:qFormat/>
    <w:pPr>
      <w:spacing w:after="100" w:before="200"/>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2026-08-29T15:28:54.336Z</dcterms:created>
  <dcterms:modified xsi:type="dcterms:W3CDTF">2026-08-29T15:28:54.350Z</dcterms:modified>
</cp:coreProperties>
</file>

<file path=docProps/custom.xml><?xml version="1.0" encoding="utf-8"?>
<Properties xmlns="http://schemas.openxmlformats.org/officeDocument/2006/custom-properties" xmlns:vt="http://schemas.openxmlformats.org/officeDocument/2006/docPropsVTypes"/>
</file>