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0B1A30"/>
          <w:sz w:val="44"/>
        </w:rPr>
        <w:t>LABORATORY REPORT: ADVERSARY EMULATION &amp; DETECTION</w:t>
      </w:r>
    </w:p>
    <w:p>
      <w:pPr>
        <w:spacing w:after="560" w:line="312" w:lineRule="auto"/>
      </w:pPr>
      <w:r>
        <w:rPr>
          <w:color w:val="1F4E79"/>
          <w:sz w:val="22"/>
        </w:rPr>
        <w:t>Student Name: Azmul Hosen Titu</w:t>
        <w:br/>
        <w:t>Roll Number: 60027</w:t>
        <w:br/>
        <w:t>Platform Architecture: VMware / VirtualBox (Host-Only Network Deployment)</w:t>
        <w:br/>
        <w:t>SIEM Deployment: Splunk Enterprise on Kali Linux (Control Node)</w:t>
        <w:br/>
        <w:t>Endpoint Configuration: Windows Server 2019 (Victim Node with Telemetry Tracking)</w:t>
      </w:r>
    </w:p>
    <w:p>
      <w:pPr>
        <w:keepNext/>
        <w:spacing w:before="400" w:after="120"/>
        <w:pBdr>
          <w:bottom w:val="single" w:sz="12" w:space="4" w:color="0B1A30"/>
        </w:pBdr>
      </w:pPr>
      <w:r>
        <w:rPr>
          <w:rFonts w:ascii="Arial" w:hAnsi="Arial"/>
          <w:b/>
          <w:color w:val="0B1A30"/>
          <w:sz w:val="32"/>
        </w:rPr>
        <w:t>1. Infrastructure Setup &amp; Network Topology</w:t>
      </w:r>
    </w:p>
    <w:p>
      <w:r>
        <w:t>This laboratory exercise constructs an isolated, enterprise-grade simulation network designed to test adversary emulation vectors and trace defensive telemetry data. The network architecture splits into a dedicated control node running Kali Linux (SIEM Engine) and a target Windows Server 2019 instance serving as the data telemetry victim.</w:t>
      </w:r>
    </w:p>
    <w:p>
      <w:pPr>
        <w:keepNext/>
        <w:spacing w:before="280" w:after="80"/>
      </w:pPr>
      <w:r>
        <w:rPr>
          <w:rFonts w:ascii="Arial" w:hAnsi="Arial"/>
          <w:b/>
          <w:color w:val="1F4E79"/>
          <w:sz w:val="25"/>
        </w:rPr>
        <w:t>1.1 Network Architecture Specifications</w:t>
      </w:r>
    </w:p>
    <w:p>
      <w:r>
        <w:t>The hardware topology and virtual infrastructure comply with the defined sandbox boundary guidelines:</w:t>
      </w:r>
    </w:p>
    <w:tbl>
      <w:tblPr>
        <w:tblW w:type="auto" w:w="0"/>
        <w:jc w:val="center"/>
        <w:tblLook w:firstColumn="1" w:firstRow="1" w:lastColumn="0" w:lastRow="0" w:noHBand="0" w:noVBand="1" w:val="04A0"/>
      </w:tblPr>
      <w:tblGrid>
        <w:gridCol w:w="2257"/>
        <w:gridCol w:w="2257"/>
        <w:gridCol w:w="2257"/>
        <w:gridCol w:w="2257"/>
      </w:tblGrid>
      <w:tr>
        <w:tc>
          <w:tcPr>
            <w:tcW w:type="dxa" w:w="2257"/>
            <w:shd w:fill="0B1A30"/>
            <w:tcBorders>
              <w:top w:val="single" w:color="CCCCCC"/>
              <w:left w:val="single" w:color="CCCCCC"/>
              <w:bottom w:val="single" w:color="CCCCCC"/>
              <w:right w:val="single" w:color="CCCCCC"/>
            </w:tcBorders>
          </w:tcPr>
          <w:p>
            <w:r>
              <w:rPr>
                <w:b/>
                <w:color w:val="FFFFFF"/>
              </w:rPr>
              <w:t>Virtual Machine</w:t>
            </w:r>
          </w:p>
        </w:tc>
        <w:tc>
          <w:tcPr>
            <w:tcW w:type="dxa" w:w="2257"/>
            <w:shd w:fill="0B1A30"/>
            <w:tcBorders>
              <w:top w:val="single" w:color="CCCCCC"/>
              <w:left w:val="single" w:color="CCCCCC"/>
              <w:bottom w:val="single" w:color="CCCCCC"/>
              <w:right w:val="single" w:color="CCCCCC"/>
            </w:tcBorders>
          </w:tcPr>
          <w:p>
            <w:r>
              <w:rPr>
                <w:b/>
                <w:color w:val="FFFFFF"/>
              </w:rPr>
              <w:t>CPU Cores</w:t>
            </w:r>
          </w:p>
        </w:tc>
        <w:tc>
          <w:tcPr>
            <w:tcW w:type="dxa" w:w="2257"/>
            <w:shd w:fill="0B1A30"/>
            <w:tcBorders>
              <w:top w:val="single" w:color="CCCCCC"/>
              <w:left w:val="single" w:color="CCCCCC"/>
              <w:bottom w:val="single" w:color="CCCCCC"/>
              <w:right w:val="single" w:color="CCCCCC"/>
            </w:tcBorders>
          </w:tcPr>
          <w:p>
            <w:r>
              <w:rPr>
                <w:b/>
                <w:color w:val="FFFFFF"/>
              </w:rPr>
              <w:t>RAM Size</w:t>
            </w:r>
          </w:p>
        </w:tc>
        <w:tc>
          <w:tcPr>
            <w:tcW w:type="dxa" w:w="2257"/>
            <w:shd w:fill="0B1A30"/>
            <w:tcBorders>
              <w:top w:val="single" w:color="CCCCCC"/>
              <w:left w:val="single" w:color="CCCCCC"/>
              <w:bottom w:val="single" w:color="CCCCCC"/>
              <w:right w:val="single" w:color="CCCCCC"/>
            </w:tcBorders>
          </w:tcPr>
          <w:p>
            <w:r>
              <w:rPr>
                <w:b/>
                <w:color w:val="FFFFFF"/>
              </w:rPr>
              <w:t>Network Adapter Mode</w:t>
            </w:r>
          </w:p>
        </w:tc>
      </w:tr>
      <w:tr>
        <w:tc>
          <w:tcPr>
            <w:tcW w:type="dxa" w:w="2257"/>
            <w:tcBorders>
              <w:top w:val="single" w:color="CCCCCC"/>
              <w:left w:val="single" w:color="CCCCCC"/>
              <w:bottom w:val="single" w:color="CCCCCC"/>
              <w:right w:val="single" w:color="CCCCCC"/>
            </w:tcBorders>
          </w:tcPr>
          <w:p>
            <w:r>
              <w:t>Kali Linux (Control Node)</w:t>
            </w:r>
          </w:p>
        </w:tc>
        <w:tc>
          <w:tcPr>
            <w:tcW w:type="dxa" w:w="2257"/>
            <w:tcBorders>
              <w:top w:val="single" w:color="CCCCCC"/>
              <w:left w:val="single" w:color="CCCCCC"/>
              <w:bottom w:val="single" w:color="CCCCCC"/>
              <w:right w:val="single" w:color="CCCCCC"/>
            </w:tcBorders>
          </w:tcPr>
          <w:p>
            <w:r>
              <w:t>2 Cores</w:t>
            </w:r>
          </w:p>
        </w:tc>
        <w:tc>
          <w:tcPr>
            <w:tcW w:type="dxa" w:w="2257"/>
            <w:tcBorders>
              <w:top w:val="single" w:color="CCCCCC"/>
              <w:left w:val="single" w:color="CCCCCC"/>
              <w:bottom w:val="single" w:color="CCCCCC"/>
              <w:right w:val="single" w:color="CCCCCC"/>
            </w:tcBorders>
          </w:tcPr>
          <w:p>
            <w:r>
              <w:t>4 GB (Minimum Allocated)</w:t>
            </w:r>
          </w:p>
        </w:tc>
        <w:tc>
          <w:tcPr>
            <w:tcW w:type="dxa" w:w="2257"/>
            <w:tcBorders>
              <w:top w:val="single" w:color="CCCCCC"/>
              <w:left w:val="single" w:color="CCCCCC"/>
              <w:bottom w:val="single" w:color="CCCCCC"/>
              <w:right w:val="single" w:color="CCCCCC"/>
            </w:tcBorders>
          </w:tcPr>
          <w:p>
            <w:r>
              <w:t>Host-Only / NAT Shared</w:t>
            </w:r>
          </w:p>
        </w:tc>
      </w:tr>
      <w:tr>
        <w:tc>
          <w:tcPr>
            <w:tcW w:type="dxa" w:w="2257"/>
            <w:tcBorders>
              <w:top w:val="single" w:color="CCCCCC"/>
              <w:left w:val="single" w:color="CCCCCC"/>
              <w:bottom w:val="single" w:color="CCCCCC"/>
              <w:right w:val="single" w:color="CCCCCC"/>
            </w:tcBorders>
          </w:tcPr>
          <w:p>
            <w:r>
              <w:t>Windows Server 2019 (Telemetry Victim)</w:t>
            </w:r>
          </w:p>
        </w:tc>
        <w:tc>
          <w:tcPr>
            <w:tcW w:type="dxa" w:w="2257"/>
            <w:tcBorders>
              <w:top w:val="single" w:color="CCCCCC"/>
              <w:left w:val="single" w:color="CCCCCC"/>
              <w:bottom w:val="single" w:color="CCCCCC"/>
              <w:right w:val="single" w:color="CCCCCC"/>
            </w:tcBorders>
          </w:tcPr>
          <w:p>
            <w:r>
              <w:t>2 Cores</w:t>
            </w:r>
          </w:p>
        </w:tc>
        <w:tc>
          <w:tcPr>
            <w:tcW w:type="dxa" w:w="2257"/>
            <w:tcBorders>
              <w:top w:val="single" w:color="CCCCCC"/>
              <w:left w:val="single" w:color="CCCCCC"/>
              <w:bottom w:val="single" w:color="CCCCCC"/>
              <w:right w:val="single" w:color="CCCCCC"/>
            </w:tcBorders>
          </w:tcPr>
          <w:p>
            <w:r>
              <w:t>4 GB (Minimum Allocated)</w:t>
            </w:r>
          </w:p>
        </w:tc>
        <w:tc>
          <w:tcPr>
            <w:tcW w:type="dxa" w:w="2257"/>
            <w:tcBorders>
              <w:top w:val="single" w:color="CCCCCC"/>
              <w:left w:val="single" w:color="CCCCCC"/>
              <w:bottom w:val="single" w:color="CCCCCC"/>
              <w:right w:val="single" w:color="CCCCCC"/>
            </w:tcBorders>
          </w:tcPr>
          <w:p>
            <w:r>
              <w:t>Host-Only / NAT Shared</w:t>
            </w:r>
          </w:p>
        </w:tc>
      </w:tr>
    </w:tbl>
    <w:p>
      <w:pPr>
        <w:keepNext/>
        <w:spacing w:before="280" w:after="80"/>
      </w:pPr>
      <w:r>
        <w:rPr>
          <w:rFonts w:ascii="Arial" w:hAnsi="Arial"/>
          <w:b/>
          <w:color w:val="1F4E79"/>
          <w:sz w:val="25"/>
        </w:rPr>
        <w:t>1.2 Splunk Enterprise Server Deployment on Kali Linux</w:t>
      </w:r>
    </w:p>
    <w:p>
      <w:r>
        <w:t>Splunk Enterprise was set up as the central ingestion repository on the Kali Linux virtual engine. After unpacking and running the daemon installation binaries, listening server rules were established to open network sockets.</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 Command to activate network listening pipelines on the Splunk instance</w:t>
              <w:br/>
              <w:t>./splunk enable listen 9997 -auth admin:password</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Receiving Port 9997 Configuration Verification ]</w:t>
              <w:br/>
            </w:r>
          </w:p>
        </w:tc>
      </w:tr>
    </w:tbl>
    <w:p>
      <w:pPr>
        <w:keepNext/>
        <w:spacing w:before="280" w:after="80"/>
      </w:pPr>
      <w:r>
        <w:rPr>
          <w:rFonts w:ascii="Arial" w:hAnsi="Arial"/>
          <w:b/>
          <w:color w:val="1F4E79"/>
          <w:sz w:val="25"/>
        </w:rPr>
        <w:t>1.3 Splunk Universal Forwarder Setup on Windows Server</w:t>
      </w:r>
    </w:p>
    <w:p>
      <w:r>
        <w:t>To safely stream local execution events across the infrastructure boundary, the Splunk Universal Forwarder client was installed locally inside the Windows Server directory. Its pipeline parameters direct logs across Port 9997.</w:t>
      </w:r>
    </w:p>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Universal Forwarder Active Service &amp; Installation Setup ]</w:t>
              <w:br/>
            </w:r>
          </w:p>
        </w:tc>
      </w:tr>
    </w:tbl>
    <w:p>
      <w:pPr>
        <w:keepNext/>
        <w:spacing w:before="400" w:after="120"/>
        <w:pBdr>
          <w:bottom w:val="single" w:sz="12" w:space="4" w:color="0B1A30"/>
        </w:pBdr>
      </w:pPr>
      <w:r>
        <w:rPr>
          <w:rFonts w:ascii="Arial" w:hAnsi="Arial"/>
          <w:b/>
          <w:color w:val="0B1A30"/>
          <w:sz w:val="32"/>
        </w:rPr>
        <w:t>2. Endpoint Telemetry &amp; Sysmon Configuration</w:t>
      </w:r>
    </w:p>
    <w:p>
      <w:r>
        <w:t>To enable high-fidelity analysis that transcends basic security tracking, Microsoft Sysmon was injected into the Windows kernel space using a structured, matrixed configuration format.</w:t>
      </w:r>
    </w:p>
    <w:p>
      <w:pPr>
        <w:keepNext/>
        <w:spacing w:before="280" w:after="80"/>
      </w:pPr>
      <w:r>
        <w:rPr>
          <w:rFonts w:ascii="Arial" w:hAnsi="Arial"/>
          <w:b/>
          <w:color w:val="1F4E79"/>
          <w:sz w:val="25"/>
        </w:rPr>
        <w:t>2.1 Sysmon Installation Sequence</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 Initializing the Sysmon service engine with localized logging parameters</w:t>
              <w:br/>
              <w:t>sysmon.exe -i sysmonconfig.xml -acceptiea</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Sysmon Kernel Driver Running State Verification ]</w:t>
              <w:br/>
            </w:r>
          </w:p>
        </w:tc>
      </w:tr>
    </w:tbl>
    <w:p>
      <w:pPr>
        <w:keepNext/>
        <w:spacing w:before="280" w:after="80"/>
      </w:pPr>
      <w:r>
        <w:rPr>
          <w:rFonts w:ascii="Arial" w:hAnsi="Arial"/>
          <w:b/>
          <w:color w:val="1F4E79"/>
          <w:sz w:val="25"/>
        </w:rPr>
        <w:t>2.2 Universal Forwarder Logging Manifest (inputs.conf)</w:t>
      </w:r>
    </w:p>
    <w:p>
      <w:r>
        <w:t>The client ingestion engine utilizes a structured configuration template to properly pick up raw XML output from the operational channel and assign them into the target ingestion directory profile.</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[WinEventLog://Microsoft-Windows-Sysmon/Operational]</w:t>
              <w:br/>
              <w:t>disabled = false</w:t>
              <w:br/>
              <w:t>renderXml = true</w:t>
              <w:br/>
              <w:t>index = main</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Dashboard Showing Live Data Feed Ingestion Matrix from Windows Server ]</w:t>
              <w:br/>
            </w:r>
          </w:p>
        </w:tc>
      </w:tr>
    </w:tbl>
    <w:p>
      <w:pPr>
        <w:keepNext/>
        <w:spacing w:before="400" w:after="120"/>
        <w:pBdr>
          <w:bottom w:val="single" w:sz="12" w:space="4" w:color="0B1A30"/>
        </w:pBdr>
      </w:pPr>
      <w:r>
        <w:rPr>
          <w:rFonts w:ascii="Arial" w:hAnsi="Arial"/>
          <w:b/>
          <w:color w:val="0B1A30"/>
          <w:sz w:val="32"/>
        </w:rPr>
        <w:t>3. Invoke-AtomicRedTeam Setup Lifecycle</w:t>
      </w:r>
    </w:p>
    <w:p>
      <w:r>
        <w:t>The environment implements Red Canary's adversary framework to replicate tactical adversary patterns. To stabilize execution boundaries and bypass execution blockers, the toolkit environment was loaded manually into specialized paths.</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 Framework Initialization and Manual Variable Path Engineering</w:t>
              <w:br/>
              <w:t>Import-Module C:\AtomicRedTeam\invoke-atomicredteam\Invoke-AtomicRedTeam.psd1 -Force</w:t>
              <w:br/>
              <w:t>$global:PathToAtomicsFolder = "C:\AtomicRedTeam\atomics"</w:t>
              <w:br/>
              <w:t>Add-MpPreference -ExclusionPath "C:\AtomicRedTeam"</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Invoke-AtomicRedTeam Framework Functional Verification (ShowDetailsBrief) ]</w:t>
              <w:br/>
            </w:r>
          </w:p>
        </w:tc>
      </w:tr>
    </w:tbl>
    <w:p>
      <w:pPr>
        <w:keepNext/>
        <w:spacing w:before="400" w:after="120"/>
        <w:pBdr>
          <w:bottom w:val="single" w:sz="12" w:space="4" w:color="0B1A30"/>
        </w:pBdr>
      </w:pPr>
      <w:r>
        <w:rPr>
          <w:rFonts w:ascii="Arial" w:hAnsi="Arial"/>
          <w:b/>
          <w:color w:val="0B1A30"/>
          <w:sz w:val="32"/>
        </w:rPr>
        <w:t>4. Adversary Emulation &amp; Defending Detection Engineering</w:t>
      </w:r>
    </w:p>
    <w:p>
      <w:pPr>
        <w:keepNext/>
        <w:spacing w:before="280" w:after="80"/>
      </w:pPr>
      <w:r>
        <w:rPr>
          <w:rFonts w:ascii="Arial" w:hAnsi="Arial"/>
          <w:b/>
          <w:color w:val="1F4E79"/>
          <w:sz w:val="25"/>
        </w:rPr>
        <w:t>4.1 Technique 1: T1053.005 — Scheduled Task (Persistence)</w:t>
      </w:r>
    </w:p>
    <w:p>
      <w:r>
        <w:t>Replicates the persistence mechanisms used by attackers to ensure code survivability across host reboots.</w:t>
      </w:r>
    </w:p>
    <w:p>
      <w:pPr>
        <w:keepNext/>
        <w:spacing w:before="200" w:after="40"/>
      </w:pPr>
      <w:r>
        <w:rPr>
          <w:rFonts w:ascii="Arial" w:hAnsi="Arial"/>
          <w:b/>
          <w:i/>
          <w:color w:val="2B2B2B"/>
          <w:sz w:val="22"/>
        </w:rPr>
        <w:t>Red Team Execution Vector:</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T1053.005 -TestNumbers 1</w:t>
            </w:r>
          </w:p>
        </w:tc>
      </w:tr>
    </w:tbl>
    <w:p>
      <w:pPr>
        <w:keepNext/>
        <w:spacing w:before="200" w:after="40"/>
      </w:pPr>
      <w:r>
        <w:rPr>
          <w:rFonts w:ascii="Arial" w:hAnsi="Arial"/>
          <w:b/>
          <w:i/>
          <w:color w:val="2B2B2B"/>
          <w:sz w:val="22"/>
        </w:rPr>
        <w:t>Blue Team Splunk Search Processing Language (SPL) Query:</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index=main sourcetype="XmlWinEventLog:Microsoft-Windows-Sysmon/Operational" "schtasks.exe"</w:t>
              <w:br/>
              <w:t>| rex field=_raw "&lt;EventID&gt;(?&lt;Event_ID&gt;\d+)&lt;/EventID&gt;"</w:t>
              <w:br/>
              <w:t>| rex field=_raw "&lt;Data Name='Image'&gt;(?&lt;Process_Name&gt;[^&lt;]+)&lt;/Data&gt;"</w:t>
              <w:br/>
              <w:t>| rex field=_raw "&lt;Data Name='CommandLine'&gt;(?&lt;Command_Line&gt;[^&lt;]+)&lt;/Data&gt;"</w:t>
              <w:br/>
              <w:t>| search Event_ID=1</w:t>
              <w:br/>
              <w:t>| table _time, host, Event_ID, Process_Name, Command_Line</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Table Detection Matrix for T1053.005 ]</w:t>
              <w:br/>
            </w:r>
          </w:p>
        </w:tc>
      </w:tr>
    </w:tbl>
    <w:p>
      <w:r>
        <w:t>Analysis &amp; Assessment: Sysmon Event ID 1 (Process Creation) proved critical for tracking this activity. It exposed the direct interaction with 'schtasks.exe' along with arguments establishing a persistent task footprint ('/create /tn T1053_005_OnLogon').</w:t>
      </w:r>
    </w:p>
    <w:p>
      <w:pPr>
        <w:keepNext/>
        <w:spacing w:before="280" w:after="80"/>
      </w:pPr>
      <w:r>
        <w:rPr>
          <w:rFonts w:ascii="Arial" w:hAnsi="Arial"/>
          <w:b/>
          <w:color w:val="1F4E79"/>
          <w:sz w:val="25"/>
        </w:rPr>
        <w:t>4.2 Technique 2: T1218.005 — MSHTA Execution (Defense Evasion)</w:t>
      </w:r>
    </w:p>
    <w:p>
      <w:r>
        <w:t>Abuses native trusted binaries (Living-Off-the-Land Binaries or LOLBINs) to run unauthorized inline JavaScript code blocks.</w:t>
      </w:r>
    </w:p>
    <w:p>
      <w:pPr>
        <w:keepNext/>
        <w:spacing w:before="200" w:after="40"/>
      </w:pPr>
      <w:r>
        <w:rPr>
          <w:rFonts w:ascii="Arial" w:hAnsi="Arial"/>
          <w:b/>
          <w:i/>
          <w:color w:val="2B2B2B"/>
          <w:sz w:val="22"/>
        </w:rPr>
        <w:t>Red Team Execution Vector:</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T1218.005 -TestNumbers 1</w:t>
            </w:r>
          </w:p>
        </w:tc>
      </w:tr>
    </w:tbl>
    <w:p>
      <w:pPr>
        <w:keepNext/>
        <w:spacing w:before="200" w:after="40"/>
      </w:pPr>
      <w:r>
        <w:rPr>
          <w:rFonts w:ascii="Arial" w:hAnsi="Arial"/>
          <w:b/>
          <w:i/>
          <w:color w:val="2B2B2B"/>
          <w:sz w:val="22"/>
        </w:rPr>
        <w:t>Blue Team Splunk Search Processing Language (SPL) Query:</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index=main sourcetype="XmlWinEventLog:Microsoft-Windows-Sysmon/Operational" "mshta.exe"</w:t>
              <w:br/>
              <w:t>| rex field=_raw "&lt;EventID&gt;(?&lt;Event_ID&gt;\d+)&lt;/EventID&gt;"</w:t>
              <w:br/>
              <w:t>| rex field=_raw "&lt;Data Name='Image'&gt;(?&lt;Process_Name&gt;[^&lt;]+)&lt;/Data&gt;"</w:t>
              <w:br/>
              <w:t>| rex field=_raw "&lt;Data Name='CommandLine'&gt;(?&lt;Command_Line&gt;[^&lt;]+)&lt;/Data&gt;"</w:t>
              <w:br/>
              <w:t>| search Event_ID=1</w:t>
              <w:br/>
              <w:t>| table _time, host, Event_ID, Process_Name, Command_Line</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Table Detection Matrix for T1218.005 ]</w:t>
              <w:br/>
            </w:r>
          </w:p>
        </w:tc>
      </w:tr>
    </w:tbl>
    <w:p>
      <w:r>
        <w:t>Analysis &amp; Assessment: Sysmon Event ID 1 tracked the binary execution path. By intercepting 'mshta.exe' processing a script block ('javascript:a=(GetObject(...)).Exec()'), the query flags application control evasion patterns directly at execution time.</w:t>
      </w:r>
    </w:p>
    <w:p>
      <w:pPr>
        <w:keepNext/>
        <w:spacing w:before="280" w:after="80"/>
      </w:pPr>
      <w:r>
        <w:rPr>
          <w:rFonts w:ascii="Arial" w:hAnsi="Arial"/>
          <w:b/>
          <w:color w:val="1F4E79"/>
          <w:sz w:val="25"/>
        </w:rPr>
        <w:t>4.3 Technique 3: T1003.001 — LSASS Dumping via ProcDump (Credential Access)</w:t>
      </w:r>
    </w:p>
    <w:p>
      <w:r>
        <w:t>Simulates standard credential extraction attempts directed at accessing system password hashes out of host storage memory.</w:t>
      </w:r>
    </w:p>
    <w:p>
      <w:pPr>
        <w:keepNext/>
        <w:spacing w:before="200" w:after="40"/>
      </w:pPr>
      <w:r>
        <w:rPr>
          <w:rFonts w:ascii="Arial" w:hAnsi="Arial"/>
          <w:b/>
          <w:i/>
          <w:color w:val="2B2B2B"/>
          <w:sz w:val="22"/>
        </w:rPr>
        <w:t>Red Team Execution Vector:</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T1003.001 -TestNumbers 1</w:t>
            </w:r>
          </w:p>
        </w:tc>
      </w:tr>
    </w:tbl>
    <w:p>
      <w:pPr>
        <w:keepNext/>
        <w:spacing w:before="200" w:after="40"/>
      </w:pPr>
      <w:r>
        <w:rPr>
          <w:rFonts w:ascii="Arial" w:hAnsi="Arial"/>
          <w:b/>
          <w:i/>
          <w:color w:val="2B2B2B"/>
          <w:sz w:val="22"/>
        </w:rPr>
        <w:t>Blue Team Splunk Search Processing Language (SPL) Query:</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index=main sourcetype="XmlWinEventLog:Microsoft-Windows-Sysmon/Operational" "procdump"</w:t>
              <w:br/>
              <w:t>| rex field=_raw "&lt;EventID&gt;(?&lt;Event_ID&gt;\d+)&lt;/EventID&gt;"</w:t>
              <w:br/>
              <w:t>| rex field=_raw "&lt;Data Name='Image'&gt;(?&lt;Process_Name&gt;[^&lt;]+)&lt;/Data&gt;"</w:t>
              <w:br/>
              <w:t>| rex field=_raw "&lt;Data Name='CommandLine'&gt;(?&lt;Command_Line&gt;[^&lt;]+)&lt;/Data&gt;"</w:t>
              <w:br/>
              <w:t>| search Event_ID=1</w:t>
              <w:br/>
              <w:t>| table _time, host, Event_ID, Process_Name, Command_Line</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Table Detection Matrix for T1003.001 ]</w:t>
              <w:br/>
            </w:r>
          </w:p>
        </w:tc>
      </w:tr>
    </w:tbl>
    <w:p>
      <w:r>
        <w:t>Analysis &amp; Assessment: While Sysmon Event ID 1 isolates the installation or execution flags of 'procdump.exe', Sysmon Event ID 10 (Process Access) offers stronger analytical confirmation by tracking unauthorized sub-processes requesting high-privilege read access to 'lsass.exe'.</w:t>
      </w:r>
    </w:p>
    <w:p>
      <w:pPr>
        <w:keepNext/>
        <w:spacing w:before="280" w:after="80"/>
      </w:pPr>
      <w:r>
        <w:rPr>
          <w:rFonts w:ascii="Arial" w:hAnsi="Arial"/>
          <w:b/>
          <w:color w:val="1F4E79"/>
          <w:sz w:val="25"/>
        </w:rPr>
        <w:t>4.4 Technique 4: T1059.001 — PowerShell Download Script (Execution)</w:t>
      </w:r>
    </w:p>
    <w:p>
      <w:r>
        <w:t>Replicates malicious staging scripts pulling secondary execution payloads from external web endpoints.</w:t>
      </w:r>
    </w:p>
    <w:p>
      <w:pPr>
        <w:keepNext/>
        <w:spacing w:before="200" w:after="40"/>
      </w:pPr>
      <w:r>
        <w:rPr>
          <w:rFonts w:ascii="Arial" w:hAnsi="Arial"/>
          <w:b/>
          <w:i/>
          <w:color w:val="2B2B2B"/>
          <w:sz w:val="22"/>
        </w:rPr>
        <w:t>Red Team Execution Vector:</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T1059.001 -TestNumbers 1</w:t>
            </w:r>
          </w:p>
        </w:tc>
      </w:tr>
    </w:tbl>
    <w:p>
      <w:pPr>
        <w:keepNext/>
        <w:spacing w:before="200" w:after="40"/>
      </w:pPr>
      <w:r>
        <w:rPr>
          <w:rFonts w:ascii="Arial" w:hAnsi="Arial"/>
          <w:b/>
          <w:i/>
          <w:color w:val="2B2B2B"/>
          <w:sz w:val="22"/>
        </w:rPr>
        <w:t>Blue Team Splunk Search Processing Language (SPL) Query:</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index=main sourcetype="XmlWinEventLog:Microsoft-Windows-Sysmon/Operational" "powershell.exe"</w:t>
              <w:br/>
              <w:t>| rex field=_raw "&lt;EventID&gt;(?&lt;Event_ID&gt;\d+)&lt;/EventID&gt;"</w:t>
              <w:br/>
              <w:t>| rex field=_raw "&lt;Data Name='Image'&gt;(?&lt;Process_Name&gt;[^&lt;]+)&lt;/Data&gt;"</w:t>
              <w:br/>
              <w:t>| rex field=_raw "&lt;Data Name='CommandLine'&gt;(?&lt;Command_Line&gt;[^&lt;]+)&lt;/Data&gt;"</w:t>
              <w:br/>
              <w:t>| search Event_ID=1 ("Command_Line"=*DownloadString* OR "Command_Line"=*Invoke-WebRequest* OR "Command_Line"=*iwr*)</w:t>
              <w:br/>
              <w:t>| table _time, host, Event_ID, Process_Name, Command_Line</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Table Detection Matrix for T1059.001 ]</w:t>
              <w:br/>
            </w:r>
          </w:p>
        </w:tc>
      </w:tr>
    </w:tbl>
    <w:p>
      <w:r>
        <w:t>Analysis &amp; Assessment: Captured using Event ID 1 to unpack command arguments. Looking for suspicious string functions ('DownloadString' or 'Invoke-WebRequest') within active command logs allows teams to pinpoint active network cradles before payloads fully stage.</w:t>
      </w:r>
    </w:p>
    <w:p>
      <w:pPr>
        <w:keepNext/>
        <w:spacing w:before="280" w:after="80"/>
      </w:pPr>
      <w:r>
        <w:rPr>
          <w:rFonts w:ascii="Arial" w:hAnsi="Arial"/>
          <w:b/>
          <w:color w:val="1F4E79"/>
          <w:sz w:val="25"/>
        </w:rPr>
        <w:t>4.5 Technique 5: T1112 — Registry Modification / Persistence (Defense Evasion)</w:t>
      </w:r>
    </w:p>
    <w:p>
      <w:r>
        <w:t>Analyzes the direct injection of startup variables into system registry branches to achieve boot-up persistence.</w:t>
      </w:r>
    </w:p>
    <w:p>
      <w:pPr>
        <w:keepNext/>
        <w:spacing w:before="200" w:after="40"/>
      </w:pPr>
      <w:r>
        <w:rPr>
          <w:rFonts w:ascii="Arial" w:hAnsi="Arial"/>
          <w:b/>
          <w:i/>
          <w:color w:val="2B2B2B"/>
          <w:sz w:val="22"/>
        </w:rPr>
        <w:t>Red Team Execution Vector:</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T1112 -TestNumbers 2</w:t>
            </w:r>
          </w:p>
        </w:tc>
      </w:tr>
    </w:tbl>
    <w:p>
      <w:pPr>
        <w:keepNext/>
        <w:spacing w:before="200" w:after="40"/>
      </w:pPr>
      <w:r>
        <w:rPr>
          <w:rFonts w:ascii="Arial" w:hAnsi="Arial"/>
          <w:b/>
          <w:i/>
          <w:color w:val="2B2B2B"/>
          <w:sz w:val="22"/>
        </w:rPr>
        <w:t>Blue Team Splunk Search Processing Language (SPL) Query:</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index=main sourcetype="XmlWinEventLog:Microsoft-Windows-Sysmon/Operational" "reg.exe"</w:t>
              <w:br/>
              <w:t>| rex field=_raw "&lt;EventID&gt;(?&lt;Event_ID&gt;\d+)&lt;/EventID&gt;"</w:t>
              <w:br/>
              <w:t>| rex field=_raw "&lt;Data Name='Image'&gt;(?&lt;Process_Name&gt;[^&lt;]+)&lt;/Data&gt;"</w:t>
              <w:br/>
              <w:t>| rex field=_raw "&lt;Data Name='CommandLine'&gt;(?&lt;Command_Line&gt;[^&lt;]+)&lt;/Data&gt;"</w:t>
              <w:br/>
              <w:t>| search Event_ID=1</w:t>
              <w:br/>
              <w:t>| table _time, host, Event_ID, Process_Name, Command_Line</w:t>
            </w:r>
          </w:p>
        </w:tc>
      </w:tr>
    </w:tbl>
    <w:p>
      <w:pPr>
        <w:spacing w:before="120" w:after="240"/>
        <w:jc w:val="center"/>
      </w:pPr>
    </w:p>
    <w:tbl>
      <w:tblPr>
        <w:tblW w:type="auto" w:w="0"/>
        <w:jc w:val="center"/>
        <w:tblLook w:firstColumn="1" w:firstRow="1" w:lastColumn="0" w:lastRow="0" w:noHBand="0" w:noVBand="1" w:val="04A0"/>
      </w:tblPr>
      <w:tblGrid>
        <w:gridCol w:w="9029"/>
      </w:tblGrid>
      <w:tr>
        <w:tc>
          <w:tcPr>
            <w:tcW w:type="dxa" w:w="7920"/>
            <w:shd w:fill="FAFBCB"/>
            <w:tcBorders>
              <w:top w:val="dashed" w:color="999999"/>
              <w:left w:val="dashed" w:color="999999"/>
              <w:bottom w:val="dashed" w:color="999999"/>
              <w:right w:val="dashed" w:color="999999"/>
            </w:tcBorders>
          </w:tcPr>
          <w:p>
            <w:pPr>
              <w:jc w:val="center"/>
            </w:pPr>
            <w:r>
              <w:rPr>
                <w:rFonts w:ascii="Arial" w:hAnsi="Arial"/>
                <w:b/>
                <w:color w:val="555555"/>
                <w:sz w:val="20"/>
              </w:rPr>
              <w:br/>
              <w:t>[ INSERT SCREENSHOT: Splunk Table Detection Matrix for T1112 ]</w:t>
              <w:br/>
            </w:r>
          </w:p>
        </w:tc>
      </w:tr>
    </w:tbl>
    <w:p>
      <w:r>
        <w:t>Analysis &amp; Assessment: While Sysmon Event ID 13 captures granular registry modifications, checking Event ID 1 for 'reg.exe' unmasked an evasion maneuver. The command added an entry named 'SecurityHealth' (mimicking Windows Defender) under the system Run key to silently deploy a test binary ('calc.exe').</w:t>
      </w:r>
    </w:p>
    <w:p>
      <w:pPr>
        <w:keepNext/>
        <w:spacing w:before="400" w:after="120"/>
        <w:pBdr>
          <w:bottom w:val="single" w:sz="12" w:space="4" w:color="0B1A30"/>
        </w:pBdr>
      </w:pPr>
      <w:r>
        <w:rPr>
          <w:rFonts w:ascii="Arial" w:hAnsi="Arial"/>
          <w:b/>
          <w:color w:val="0B1A30"/>
          <w:sz w:val="32"/>
        </w:rPr>
        <w:t>5. Environment Cleanup Cycle</w:t>
      </w:r>
    </w:p>
    <w:p>
      <w:r>
        <w:t>Following active analysis, the infrastructure was reverted to a secure state by running the cleanup manifests associated with each emulation module. This standard process purges persistence footprints, created tasks, and keys from the environment.</w:t>
      </w:r>
    </w:p>
    <w:tbl>
      <w:tblPr>
        <w:tblW w:type="auto" w:w="0"/>
        <w:jc w:val="center"/>
        <w:tblLayout w:type="fixed"/>
        <w:tblLook w:firstColumn="1" w:firstRow="1" w:lastColumn="0" w:lastRow="0" w:noHBand="0" w:noVBand="1" w:val="04A0"/>
      </w:tblPr>
      <w:tblGrid>
        <w:gridCol w:w="9029"/>
      </w:tblGrid>
      <w:tr>
        <w:tc>
          <w:tcPr>
            <w:tcW w:type="dxa" w:w="9029"/>
            <w:shd w:fill="F4F6F8"/>
            <w:tcBorders>
              <w:top w:val="none"/>
              <w:left w:val="single" w:sz="24" w:space="0" w:color="0B1A30"/>
              <w:bottom w:val="none"/>
              <w:right w:val="none"/>
            </w:tcBorders>
          </w:tcPr>
          <w:p>
            <w:pPr>
              <w:spacing w:before="80" w:after="80"/>
              <w:ind w:left="120"/>
            </w:pPr>
            <w:r>
              <w:rPr>
                <w:rFonts w:ascii="Consolas" w:hAnsi="Consolas"/>
                <w:color w:val="111111"/>
                <w:sz w:val="19"/>
              </w:rPr>
              <w:t>Invoke-AtomicTest T1053.005 -Cleanup</w:t>
              <w:br/>
              <w:t>Invoke-AtomicTest T1218.005 -Cleanup</w:t>
              <w:br/>
              <w:t>Invoke-AtomicTest T1003.001 -Cleanup</w:t>
              <w:br/>
              <w:t>Invoke-AtomicTest T1059.001 -Cleanup</w:t>
              <w:br/>
              <w:t>Invoke-AtomicTest T1112 -Cleanup</w:t>
            </w:r>
          </w:p>
        </w:tc>
      </w:tr>
    </w:tbl>
    <w:p>
      <w:pPr>
        <w:keepNext/>
        <w:spacing w:before="400" w:after="120"/>
        <w:pBdr>
          <w:bottom w:val="single" w:sz="12" w:space="4" w:color="0B1A30"/>
        </w:pBdr>
      </w:pPr>
      <w:r>
        <w:rPr>
          <w:rFonts w:ascii="Arial" w:hAnsi="Arial"/>
          <w:b/>
          <w:color w:val="0B1A30"/>
          <w:sz w:val="32"/>
        </w:rPr>
        <w:t>6. Analytical Conclusions &amp; Tactical Recommendations</w:t>
      </w:r>
    </w:p>
    <w:p>
      <w:pPr>
        <w:pStyle w:val="ListBullet"/>
      </w:pPr>
      <w:r>
        <w:rPr>
          <w:b/>
        </w:rPr>
        <w:t xml:space="preserve">Kernel Telemetry is Essential: </w:t>
      </w:r>
      <w:r>
        <w:t>Standard security event monitoring lacks the granularity needed to stop LOLBIN abuses. Deploying kernel trackers like Sysmon provides critical context into process chains and configuration changes.</w:t>
      </w:r>
    </w:p>
    <w:p>
      <w:pPr>
        <w:pStyle w:val="ListBullet"/>
      </w:pPr>
      <w:r>
        <w:rPr>
          <w:b/>
        </w:rPr>
        <w:t xml:space="preserve">Robust Filtering Strategy: </w:t>
      </w:r>
      <w:r>
        <w:t>When handling unstructured XML strings inside raw indices, relying on regular expression extraction pipelines (| rex) ensures analytical flexibility and prevents monitoring gaps caused by parsing errors.</w:t>
      </w:r>
    </w:p>
    <w:p>
      <w:pPr>
        <w:pStyle w:val="ListBullet"/>
      </w:pPr>
      <w:r>
        <w:rPr>
          <w:b/>
        </w:rPr>
        <w:t xml:space="preserve">Proactive Hardening: </w:t>
      </w:r>
      <w:r>
        <w:t>Security teams should enforce application control rules (AppLocker / WDAC) to restrict binaries like 'mshta.exe' and monitor modifications to baseline operating registry run keys.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