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DA70" w14:textId="77777777" w:rsidR="00C53840" w:rsidRPr="00C53840" w:rsidRDefault="00C53840" w:rsidP="00F856B9">
      <w:pPr>
        <w:pStyle w:val="Heading1"/>
        <w:rPr>
          <w:sz w:val="24"/>
          <w:szCs w:val="24"/>
        </w:rPr>
      </w:pPr>
      <w:r w:rsidRPr="00C53840">
        <w:t>Description</w:t>
      </w:r>
    </w:p>
    <w:p w14:paraId="02FCC2B3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As the platform grows, the existing scaling paradigm is a bottleneck to uptime, availability, and performance. This PoC EPIC delivers a standalone Awards microservice using Azure cloud-native patterns to prove improved stability, performance, and operability. The result will be a hardened, reusable template that Registration and the broader platform can adopt via the Strangler Fig approach.</w:t>
      </w:r>
    </w:p>
    <w:p w14:paraId="35C5EF7F" w14:textId="77777777" w:rsidR="00C53840" w:rsidRPr="00C53840" w:rsidRDefault="00C53840" w:rsidP="00F856B9">
      <w:pPr>
        <w:pStyle w:val="Heading1"/>
        <w:rPr>
          <w:sz w:val="24"/>
          <w:szCs w:val="24"/>
        </w:rPr>
      </w:pPr>
      <w:r w:rsidRPr="00C53840">
        <w:t>Business</w:t>
      </w:r>
      <w:r w:rsidRPr="00C53840">
        <w:rPr>
          <w:sz w:val="24"/>
          <w:szCs w:val="24"/>
        </w:rPr>
        <w:t xml:space="preserve"> </w:t>
      </w:r>
      <w:r w:rsidRPr="00F856B9">
        <w:t>Goal</w:t>
      </w:r>
    </w:p>
    <w:p w14:paraId="0581A3E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Prove the application of Azure cloud-native patterns in the Awards domain to:</w:t>
      </w:r>
    </w:p>
    <w:p w14:paraId="597960FB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208A6064" w14:textId="77777777" w:rsidR="00C53840" w:rsidRPr="00C53840" w:rsidRDefault="00C53840" w:rsidP="00C53840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53840">
        <w:rPr>
          <w:sz w:val="20"/>
          <w:szCs w:val="20"/>
        </w:rPr>
        <w:t>Measurably improve stability, performance, and resilience under peak load</w:t>
      </w:r>
    </w:p>
    <w:p w14:paraId="77A0A2AF" w14:textId="77777777" w:rsidR="00C53840" w:rsidRPr="00C53840" w:rsidRDefault="00C53840" w:rsidP="00C53840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53840">
        <w:rPr>
          <w:sz w:val="20"/>
          <w:szCs w:val="20"/>
        </w:rPr>
        <w:t>Establish a reusable, production-ready microservice template (code + infra + ops) for Registration and, subsequently, the full platform</w:t>
      </w:r>
    </w:p>
    <w:p w14:paraId="688E02EA" w14:textId="77777777" w:rsidR="00C53840" w:rsidRPr="00C53840" w:rsidRDefault="00C53840" w:rsidP="00C53840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53840">
        <w:rPr>
          <w:sz w:val="20"/>
          <w:szCs w:val="20"/>
        </w:rPr>
        <w:t>Reduce operational risk and MTTR through centralized events, observability, and standard security baselines</w:t>
      </w:r>
    </w:p>
    <w:p w14:paraId="2B12C837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A97AD77" w14:textId="77777777" w:rsidR="00C53840" w:rsidRPr="00C53840" w:rsidRDefault="00C53840" w:rsidP="00F856B9">
      <w:pPr>
        <w:pStyle w:val="Heading1"/>
      </w:pPr>
      <w:r w:rsidRPr="00C53840">
        <w:t>In Scope (PoC)</w:t>
      </w:r>
    </w:p>
    <w:p w14:paraId="77E66CA5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DE2DB8B" w14:textId="77777777" w:rsidR="00C53840" w:rsidRPr="00C53840" w:rsidRDefault="00C53840" w:rsidP="00F856B9">
      <w:pPr>
        <w:pStyle w:val="Heading2"/>
      </w:pPr>
      <w:r w:rsidRPr="00C53840">
        <w:t>Architecture/Patterns</w:t>
      </w:r>
    </w:p>
    <w:p w14:paraId="630D490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FB749BE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DDD-aligned service boundary for Awards</w:t>
      </w:r>
    </w:p>
    <w:p w14:paraId="0594BA58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Asynchronous Request-Reply using Azure Service Bus; DLQ; priority queueing</w:t>
      </w:r>
    </w:p>
    <w:p w14:paraId="35BD7DEA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 xml:space="preserve">Web </w:t>
      </w:r>
      <w:proofErr w:type="spellStart"/>
      <w:r w:rsidRPr="00C53840">
        <w:rPr>
          <w:sz w:val="20"/>
          <w:szCs w:val="20"/>
        </w:rPr>
        <w:t>PubSub</w:t>
      </w:r>
      <w:proofErr w:type="spellEnd"/>
      <w:r w:rsidRPr="00C53840">
        <w:rPr>
          <w:sz w:val="20"/>
          <w:szCs w:val="20"/>
        </w:rPr>
        <w:t xml:space="preserve"> for UI response to long-running tasks</w:t>
      </w:r>
    </w:p>
    <w:p w14:paraId="41943979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Durable Functions for long-running workflows where applicable</w:t>
      </w:r>
    </w:p>
    <w:p w14:paraId="6E6DAB06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Event consolidation via Event Grid</w:t>
      </w:r>
    </w:p>
    <w:p w14:paraId="3E811F8A" w14:textId="412C5E60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Resilience: Circuit Breaker, Bulkhead, Retry/Timeout, idempotency</w:t>
      </w:r>
    </w:p>
    <w:p w14:paraId="7AA3CFD7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C188984" w14:textId="4F046187" w:rsidR="00C53840" w:rsidRDefault="00C53840" w:rsidP="00F856B9">
      <w:pPr>
        <w:pStyle w:val="Heading2"/>
      </w:pPr>
      <w:r w:rsidRPr="00C53840">
        <w:t>Platform/Operations</w:t>
      </w:r>
    </w:p>
    <w:p w14:paraId="34606299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Observability: tracing, logging, metrics, correlation IDs; dashboards and alerts</w:t>
      </w:r>
    </w:p>
    <w:p w14:paraId="70B352A8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 xml:space="preserve">Security: </w:t>
      </w:r>
      <w:proofErr w:type="gramStart"/>
      <w:r w:rsidRPr="00C53840">
        <w:rPr>
          <w:sz w:val="20"/>
          <w:szCs w:val="20"/>
        </w:rPr>
        <w:t>least-privilege</w:t>
      </w:r>
      <w:proofErr w:type="gramEnd"/>
      <w:r w:rsidRPr="00C53840">
        <w:rPr>
          <w:sz w:val="20"/>
          <w:szCs w:val="20"/>
        </w:rPr>
        <w:t>, managed identity, JWT validation, encryption in transit/at rest, private endpoints/VNETs</w:t>
      </w:r>
    </w:p>
    <w:p w14:paraId="2A76F763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proofErr w:type="spellStart"/>
      <w:r w:rsidRPr="00C53840">
        <w:rPr>
          <w:sz w:val="20"/>
          <w:szCs w:val="20"/>
        </w:rPr>
        <w:t>Deployability</w:t>
      </w:r>
      <w:proofErr w:type="spellEnd"/>
      <w:r w:rsidRPr="00C53840">
        <w:rPr>
          <w:sz w:val="20"/>
          <w:szCs w:val="20"/>
        </w:rPr>
        <w:t xml:space="preserve">: </w:t>
      </w:r>
      <w:proofErr w:type="spellStart"/>
      <w:r w:rsidRPr="00C53840">
        <w:rPr>
          <w:sz w:val="20"/>
          <w:szCs w:val="20"/>
        </w:rPr>
        <w:t>IaC</w:t>
      </w:r>
      <w:proofErr w:type="spellEnd"/>
      <w:r w:rsidRPr="00C53840">
        <w:rPr>
          <w:sz w:val="20"/>
          <w:szCs w:val="20"/>
        </w:rPr>
        <w:t>, CI/CD, zero-downtime rollout (blue/green or canary)</w:t>
      </w:r>
    </w:p>
    <w:p w14:paraId="30FD4A49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Autoscaling via KEDA</w:t>
      </w:r>
    </w:p>
    <w:p w14:paraId="5EFB499F" w14:textId="00C67000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Containerization using Azure Container Apps and Docker</w:t>
      </w:r>
    </w:p>
    <w:p w14:paraId="100ADE3E" w14:textId="22E5AFFA" w:rsidR="00C53840" w:rsidRPr="00C53840" w:rsidRDefault="00C53840" w:rsidP="00F856B9">
      <w:pPr>
        <w:pStyle w:val="Heading2"/>
      </w:pPr>
      <w:r w:rsidRPr="00C53840">
        <w:t>Template/Enablement</w:t>
      </w:r>
    </w:p>
    <w:p w14:paraId="3D415B6E" w14:textId="77777777" w:rsidR="00C53840" w:rsidRPr="00C53840" w:rsidRDefault="00C53840" w:rsidP="00C53840">
      <w:pPr>
        <w:pStyle w:val="NoSpacing"/>
        <w:numPr>
          <w:ilvl w:val="1"/>
          <w:numId w:val="3"/>
        </w:numPr>
        <w:rPr>
          <w:sz w:val="20"/>
          <w:szCs w:val="20"/>
        </w:rPr>
      </w:pPr>
      <w:r w:rsidRPr="00C53840">
        <w:rPr>
          <w:sz w:val="20"/>
          <w:szCs w:val="20"/>
        </w:rPr>
        <w:t>Reusable repo scaffold, infrastructure as code, CI/CD pipelines, policies as code, runbooks/SRE playbooks validated with Registration</w:t>
      </w:r>
    </w:p>
    <w:p w14:paraId="0F5D5EA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C0528C1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CF91FC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C45AAFA" w14:textId="77777777" w:rsidR="00C53840" w:rsidRPr="00C53840" w:rsidRDefault="00C53840" w:rsidP="00F856B9">
      <w:pPr>
        <w:pStyle w:val="Heading1"/>
      </w:pPr>
      <w:r w:rsidRPr="00C53840">
        <w:lastRenderedPageBreak/>
        <w:t>Out of Scope (PoC)</w:t>
      </w:r>
    </w:p>
    <w:p w14:paraId="57BD18CD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C6D6477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 xml:space="preserve">Full decomposition of Registration </w:t>
      </w:r>
      <w:proofErr w:type="gramStart"/>
      <w:r w:rsidRPr="00C53840">
        <w:rPr>
          <w:sz w:val="20"/>
          <w:szCs w:val="20"/>
        </w:rPr>
        <w:t>domain</w:t>
      </w:r>
      <w:proofErr w:type="gramEnd"/>
    </w:p>
    <w:p w14:paraId="5BB3E399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Multi-region active-active</w:t>
      </w:r>
    </w:p>
    <w:p w14:paraId="1F2F5188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Full Event Sourcing (beyond event consolidation and audit/audit logs)</w:t>
      </w:r>
    </w:p>
    <w:p w14:paraId="755785ED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Advanced API gateway offloading/BFF optimization beyond basic routing</w:t>
      </w:r>
    </w:p>
    <w:p w14:paraId="39B9C5CA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26E5B76B" w14:textId="77777777" w:rsidR="00C53840" w:rsidRPr="00C53840" w:rsidRDefault="00C53840" w:rsidP="00F856B9">
      <w:pPr>
        <w:pStyle w:val="Heading1"/>
      </w:pPr>
      <w:r w:rsidRPr="00C53840">
        <w:t>Success Criteria (Measurable)</w:t>
      </w:r>
    </w:p>
    <w:p w14:paraId="55BA3FF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6534B421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Performance/SLA</w:t>
      </w:r>
    </w:p>
    <w:p w14:paraId="43B0DFA8" w14:textId="7049A6F4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3810CCA" w14:textId="5CE07F1E" w:rsidR="00C53840" w:rsidRPr="00C53840" w:rsidRDefault="00C53840" w:rsidP="00C53840">
      <w:pPr>
        <w:pStyle w:val="NoSpacing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(TDB) </w:t>
      </w:r>
      <w:r w:rsidRPr="00C53840">
        <w:rPr>
          <w:sz w:val="20"/>
          <w:szCs w:val="20"/>
        </w:rPr>
        <w:t>Zero synchronous API timeouts at 2x current peak using queue-based load leveling</w:t>
      </w:r>
    </w:p>
    <w:p w14:paraId="38D49CA4" w14:textId="151523BA" w:rsidR="00C53840" w:rsidRPr="00C53840" w:rsidRDefault="00C53840" w:rsidP="00C53840">
      <w:pPr>
        <w:pStyle w:val="NoSpacing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(TBD)</w:t>
      </w:r>
    </w:p>
    <w:p w14:paraId="4F8A11C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ED8BCBB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Resilience</w:t>
      </w:r>
    </w:p>
    <w:p w14:paraId="5BCD500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6E845E15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0 message loss during fault-injection; all failures routed to DLQ with replay and root-cause traceability</w:t>
      </w:r>
    </w:p>
    <w:p w14:paraId="671A2C49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Circuit breaker prevents cascading failures; auto-recovery verified in ≤5 minutes</w:t>
      </w:r>
    </w:p>
    <w:p w14:paraId="7221D2A5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69AF3E3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18B0D53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Scalability</w:t>
      </w:r>
    </w:p>
    <w:p w14:paraId="5E8B1C64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9CD101B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KEDA scales consumers 0→N within ≤60 seconds of backlog; drains 10x burst within target window</w:t>
      </w:r>
    </w:p>
    <w:p w14:paraId="6AEFA53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6A2EF4D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3C3243B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Observability</w:t>
      </w:r>
    </w:p>
    <w:p w14:paraId="6051BB4E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A8B914D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 xml:space="preserve">≥95% trace coverage across API → Service Bus → workers → Web </w:t>
      </w:r>
      <w:proofErr w:type="spellStart"/>
      <w:r w:rsidRPr="00C53840">
        <w:rPr>
          <w:sz w:val="20"/>
          <w:szCs w:val="20"/>
        </w:rPr>
        <w:t>PubSub</w:t>
      </w:r>
      <w:proofErr w:type="spellEnd"/>
      <w:r w:rsidRPr="00C53840">
        <w:rPr>
          <w:sz w:val="20"/>
          <w:szCs w:val="20"/>
        </w:rPr>
        <w:t xml:space="preserve"> using </w:t>
      </w:r>
      <w:proofErr w:type="spellStart"/>
      <w:r w:rsidRPr="00C53840">
        <w:rPr>
          <w:sz w:val="20"/>
          <w:szCs w:val="20"/>
        </w:rPr>
        <w:t>correlationId</w:t>
      </w:r>
      <w:proofErr w:type="spellEnd"/>
    </w:p>
    <w:p w14:paraId="17521B61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Dashboards/alerts live for latency, error rate, queue depth, DLQ count; actionable alerts reviewed with SRE</w:t>
      </w:r>
    </w:p>
    <w:p w14:paraId="43F11B00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3A5A2C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4623C40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Security</w:t>
      </w:r>
    </w:p>
    <w:p w14:paraId="57AE578A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6611F60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All service-to-service calls authenticated/authorized; encryption at rest and in transit; private endpoints enabled where applicable</w:t>
      </w:r>
    </w:p>
    <w:p w14:paraId="66FD825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267DFCA1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A5168BB" w14:textId="77777777" w:rsidR="00C53840" w:rsidRPr="00C53840" w:rsidRDefault="00C53840" w:rsidP="00C5384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>Reusability</w:t>
      </w:r>
    </w:p>
    <w:p w14:paraId="302BA94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609A605" w14:textId="77777777" w:rsidR="00C53840" w:rsidRPr="00C53840" w:rsidRDefault="00C53840" w:rsidP="00F856B9">
      <w:pPr>
        <w:pStyle w:val="NoSpacing"/>
        <w:numPr>
          <w:ilvl w:val="1"/>
          <w:numId w:val="6"/>
        </w:numPr>
        <w:rPr>
          <w:sz w:val="20"/>
          <w:szCs w:val="20"/>
        </w:rPr>
      </w:pPr>
      <w:r w:rsidRPr="00C53840">
        <w:rPr>
          <w:sz w:val="20"/>
          <w:szCs w:val="20"/>
        </w:rPr>
        <w:t xml:space="preserve">Template artifact accepted by Registration: code scaffold, </w:t>
      </w:r>
      <w:proofErr w:type="spellStart"/>
      <w:r w:rsidRPr="00C53840">
        <w:rPr>
          <w:sz w:val="20"/>
          <w:szCs w:val="20"/>
        </w:rPr>
        <w:t>IaC</w:t>
      </w:r>
      <w:proofErr w:type="spellEnd"/>
      <w:r w:rsidRPr="00C53840">
        <w:rPr>
          <w:sz w:val="20"/>
          <w:szCs w:val="20"/>
        </w:rPr>
        <w:t>, pipelines, policy baselines, runbooks, SRE playbooks; adoption delta ≤20%</w:t>
      </w:r>
    </w:p>
    <w:p w14:paraId="0B32BB27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442768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4C9C4B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B8CE96F" w14:textId="77777777" w:rsidR="00C53840" w:rsidRPr="00C53840" w:rsidRDefault="00C53840" w:rsidP="00F856B9">
      <w:pPr>
        <w:pStyle w:val="Heading1"/>
      </w:pPr>
      <w:r w:rsidRPr="00C53840">
        <w:lastRenderedPageBreak/>
        <w:t>Acceptance Criteria</w:t>
      </w:r>
    </w:p>
    <w:p w14:paraId="67E44DD2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C8A4CED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Reusability</w:t>
      </w:r>
    </w:p>
    <w:p w14:paraId="20B5FF8F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119D42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A1: Repo scaffold, </w:t>
      </w:r>
      <w:proofErr w:type="spellStart"/>
      <w:r w:rsidRPr="00C53840">
        <w:rPr>
          <w:sz w:val="20"/>
          <w:szCs w:val="20"/>
        </w:rPr>
        <w:t>IaC</w:t>
      </w:r>
      <w:proofErr w:type="spellEnd"/>
      <w:r w:rsidRPr="00C53840">
        <w:rPr>
          <w:sz w:val="20"/>
          <w:szCs w:val="20"/>
        </w:rPr>
        <w:t xml:space="preserve"> modules, CI/CD templates, policy-as-code, and operational runbooks published and reviewed with Registration</w:t>
      </w:r>
    </w:p>
    <w:p w14:paraId="56ED001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D2A1C7F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3940FC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Service Communication</w:t>
      </w:r>
    </w:p>
    <w:p w14:paraId="522DFE63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985058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A2: Async Request-Reply via Service Bus with </w:t>
      </w:r>
      <w:proofErr w:type="spellStart"/>
      <w:r w:rsidRPr="00C53840">
        <w:rPr>
          <w:sz w:val="20"/>
          <w:szCs w:val="20"/>
        </w:rPr>
        <w:t>correlationId</w:t>
      </w:r>
      <w:proofErr w:type="spellEnd"/>
      <w:r w:rsidRPr="00C53840">
        <w:rPr>
          <w:sz w:val="20"/>
          <w:szCs w:val="20"/>
        </w:rPr>
        <w:t xml:space="preserve">; Web </w:t>
      </w:r>
      <w:proofErr w:type="spellStart"/>
      <w:r w:rsidRPr="00C53840">
        <w:rPr>
          <w:sz w:val="20"/>
          <w:szCs w:val="20"/>
        </w:rPr>
        <w:t>PubSub</w:t>
      </w:r>
      <w:proofErr w:type="spellEnd"/>
      <w:r w:rsidRPr="00C53840">
        <w:rPr>
          <w:sz w:val="20"/>
          <w:szCs w:val="20"/>
        </w:rPr>
        <w:t xml:space="preserve"> for client notifications; Durable Functions where required</w:t>
      </w:r>
    </w:p>
    <w:p w14:paraId="0F32565A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9277EA8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B32C335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Error Handling</w:t>
      </w:r>
    </w:p>
    <w:p w14:paraId="0577895F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5DDAF11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A3: Centralized exception handling with </w:t>
      </w:r>
      <w:proofErr w:type="gramStart"/>
      <w:r w:rsidRPr="00C53840">
        <w:rPr>
          <w:sz w:val="20"/>
          <w:szCs w:val="20"/>
        </w:rPr>
        <w:t>retries</w:t>
      </w:r>
      <w:proofErr w:type="gramEnd"/>
      <w:r w:rsidRPr="00C53840">
        <w:rPr>
          <w:sz w:val="20"/>
          <w:szCs w:val="20"/>
        </w:rPr>
        <w:t>, DLQ, and compensating actions for idempotent operations</w:t>
      </w:r>
    </w:p>
    <w:p w14:paraId="349209CD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618EC327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CE1AC8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Scalability</w:t>
      </w:r>
    </w:p>
    <w:p w14:paraId="38A4661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5EDA99F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A4: KEDA autoscaling policies defined and validated under load; scale-to-zero supported for consumers</w:t>
      </w:r>
    </w:p>
    <w:p w14:paraId="5990F8C0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29A3BC3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9792583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Security</w:t>
      </w:r>
    </w:p>
    <w:p w14:paraId="07A0D2A8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FBE361F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A5: Managed identities, least-privilege RBAC, JWT validation, encryption in transit/at rest, private endpoints/VNET integration</w:t>
      </w:r>
    </w:p>
    <w:p w14:paraId="7F2F1AD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D2603FF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6742F91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Observability</w:t>
      </w:r>
    </w:p>
    <w:p w14:paraId="7251B70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3E749DB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A6: Distributed tracing, structured logging, metrics; dashboards and alerts deployed and documented</w:t>
      </w:r>
    </w:p>
    <w:p w14:paraId="1B0926F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9285B05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2C38BCBD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Availability</w:t>
      </w:r>
    </w:p>
    <w:p w14:paraId="17AD640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1E3DB7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A7: Zero-downtime deployment validated via blue/green or canary; rollback plan tested</w:t>
      </w:r>
    </w:p>
    <w:p w14:paraId="4D67BD3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FD30EBF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EE98375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Resilience</w:t>
      </w:r>
    </w:p>
    <w:p w14:paraId="5F652A0B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70AE2A7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A8: Circuit breaker and bulkhead isolation implemented; fault injection verifies graceful degradation and recovery</w:t>
      </w:r>
    </w:p>
    <w:p w14:paraId="07A607C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784E803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0C56D98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Workflow</w:t>
      </w:r>
    </w:p>
    <w:p w14:paraId="010A2408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D150924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A9: Durable Functions and/or orchestrations defined for long-running awarding workflows with status tracking</w:t>
      </w:r>
    </w:p>
    <w:p w14:paraId="2B0C99CD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D7505E5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2D6FF36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Event Consolidation</w:t>
      </w:r>
    </w:p>
    <w:p w14:paraId="3AD9FF74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5829C5B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A10: Event Grid routes consolidated domain and platform events; audit and traceability verified</w:t>
      </w:r>
    </w:p>
    <w:p w14:paraId="55936070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1E789C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A9E1A2B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Async Response/Reply (Web </w:t>
      </w:r>
      <w:proofErr w:type="spellStart"/>
      <w:r w:rsidRPr="00C53840">
        <w:rPr>
          <w:sz w:val="20"/>
          <w:szCs w:val="20"/>
        </w:rPr>
        <w:t>PubSub</w:t>
      </w:r>
      <w:proofErr w:type="spellEnd"/>
      <w:r w:rsidRPr="00C53840">
        <w:rPr>
          <w:sz w:val="20"/>
          <w:szCs w:val="20"/>
        </w:rPr>
        <w:t>)</w:t>
      </w:r>
    </w:p>
    <w:p w14:paraId="1E5ED344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6DBA40E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A11: UI receives async responses mapped by </w:t>
      </w:r>
      <w:proofErr w:type="spellStart"/>
      <w:r w:rsidRPr="00C53840">
        <w:rPr>
          <w:sz w:val="20"/>
          <w:szCs w:val="20"/>
        </w:rPr>
        <w:t>correlationId</w:t>
      </w:r>
      <w:proofErr w:type="spellEnd"/>
      <w:r w:rsidRPr="00C53840">
        <w:rPr>
          <w:sz w:val="20"/>
          <w:szCs w:val="20"/>
        </w:rPr>
        <w:t xml:space="preserve">; 202 acknowledgment </w:t>
      </w:r>
      <w:proofErr w:type="gramStart"/>
      <w:r w:rsidRPr="00C53840">
        <w:rPr>
          <w:sz w:val="20"/>
          <w:szCs w:val="20"/>
        </w:rPr>
        <w:t>pattern</w:t>
      </w:r>
      <w:proofErr w:type="gramEnd"/>
      <w:r w:rsidRPr="00C53840">
        <w:rPr>
          <w:sz w:val="20"/>
          <w:szCs w:val="20"/>
        </w:rPr>
        <w:t xml:space="preserve"> implemented</w:t>
      </w:r>
    </w:p>
    <w:p w14:paraId="23318A73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E991DB1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314E6D2" w14:textId="77777777" w:rsidR="00C53840" w:rsidRPr="00C53840" w:rsidRDefault="00C53840" w:rsidP="00C53840">
      <w:pPr>
        <w:pStyle w:val="NoSpacing"/>
        <w:rPr>
          <w:sz w:val="20"/>
          <w:szCs w:val="20"/>
        </w:rPr>
      </w:pPr>
      <w:proofErr w:type="spellStart"/>
      <w:r w:rsidRPr="00C53840">
        <w:rPr>
          <w:sz w:val="20"/>
          <w:szCs w:val="20"/>
        </w:rPr>
        <w:t>Deployability</w:t>
      </w:r>
      <w:proofErr w:type="spellEnd"/>
    </w:p>
    <w:p w14:paraId="23E7BFC3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CB45B88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A12: One-click pipeline from main to production-like environment; release notes and change approvals integrated</w:t>
      </w:r>
    </w:p>
    <w:p w14:paraId="7E283304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673A0CA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904213C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Containerization/Orchestration</w:t>
      </w:r>
    </w:p>
    <w:p w14:paraId="6E7BC7F8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DB378BF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A13: Deployed as Azure Container Apps using Docker; </w:t>
      </w:r>
      <w:proofErr w:type="spellStart"/>
      <w:r w:rsidRPr="00C53840">
        <w:rPr>
          <w:sz w:val="20"/>
          <w:szCs w:val="20"/>
        </w:rPr>
        <w:t>Dapr</w:t>
      </w:r>
      <w:proofErr w:type="spellEnd"/>
      <w:r w:rsidRPr="00C53840">
        <w:rPr>
          <w:sz w:val="20"/>
          <w:szCs w:val="20"/>
        </w:rPr>
        <w:t xml:space="preserve"> sidecar and KEDA policies configured</w:t>
      </w:r>
    </w:p>
    <w:p w14:paraId="092BF069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5B2A862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61F2B94D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Refactoring (Strangler Fig)</w:t>
      </w:r>
    </w:p>
    <w:p w14:paraId="37BBA8FF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54F194D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A14: Gateway rules route awarding functionality to the new service; rollback path documented and tested</w:t>
      </w:r>
    </w:p>
    <w:p w14:paraId="7DE9A16E" w14:textId="77777777" w:rsidR="00C53840" w:rsidRPr="00C53840" w:rsidRDefault="00C53840" w:rsidP="00F856B9">
      <w:pPr>
        <w:pStyle w:val="Heading1"/>
      </w:pPr>
      <w:r w:rsidRPr="00C53840">
        <w:t>Patterns Implemented</w:t>
      </w:r>
    </w:p>
    <w:p w14:paraId="4BFC37E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Ambassador, Anti-Corruption Layer, Asynchronous Request-Reply, Circuit Breaker, CQRS, Gateway Aggregation, Queue-Based Load Leveling, Priority Queueing, Bulkhead, Sidecar</w:t>
      </w:r>
    </w:p>
    <w:p w14:paraId="25F95384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Note: Event Sourcing deferred; event consolidation and audit implemented</w:t>
      </w:r>
    </w:p>
    <w:p w14:paraId="6905A413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87464C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Non-Functional Requirements (targeted)</w:t>
      </w:r>
    </w:p>
    <w:p w14:paraId="444B64D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B683C3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Uptime target: ≥99.9% for the Awards service (PoC environment)</w:t>
      </w:r>
    </w:p>
    <w:p w14:paraId="08DAAEA0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P95 latency target: [Set </w:t>
      </w:r>
      <w:proofErr w:type="spellStart"/>
      <w:r w:rsidRPr="00C53840">
        <w:rPr>
          <w:sz w:val="20"/>
          <w:szCs w:val="20"/>
        </w:rPr>
        <w:t>ms</w:t>
      </w:r>
      <w:proofErr w:type="spellEnd"/>
      <w:r w:rsidRPr="00C53840">
        <w:rPr>
          <w:sz w:val="20"/>
          <w:szCs w:val="20"/>
        </w:rPr>
        <w:t xml:space="preserve"> target] under [X] RPS sustained; zero timeouts at 2x peak</w:t>
      </w:r>
    </w:p>
    <w:p w14:paraId="4869DCC8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MTTR target: ≤30 minutes with actionable alerts</w:t>
      </w:r>
    </w:p>
    <w:p w14:paraId="2047C863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Security posture: CIS-aligned policies enforced via policy-as-code</w:t>
      </w:r>
    </w:p>
    <w:p w14:paraId="7CDF4EB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1DDC7B29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Rollout Strategy</w:t>
      </w:r>
    </w:p>
    <w:p w14:paraId="2E6D86EC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ADDD9F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Strangler Fig: progressively route awarding endpoints via API gateway to the new service with safe rollback</w:t>
      </w:r>
    </w:p>
    <w:p w14:paraId="6BFF7E1E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Independent </w:t>
      </w:r>
      <w:proofErr w:type="spellStart"/>
      <w:r w:rsidRPr="00C53840">
        <w:rPr>
          <w:sz w:val="20"/>
          <w:szCs w:val="20"/>
        </w:rPr>
        <w:t>Deployability</w:t>
      </w:r>
      <w:proofErr w:type="spellEnd"/>
      <w:r w:rsidRPr="00C53840">
        <w:rPr>
          <w:sz w:val="20"/>
          <w:szCs w:val="20"/>
        </w:rPr>
        <w:t>: service can be deployed/tested independently from the monolith; load/stress tests run pre-cutover</w:t>
      </w:r>
    </w:p>
    <w:p w14:paraId="4396373D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74D20030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Risks and Mitigations</w:t>
      </w:r>
    </w:p>
    <w:p w14:paraId="375E3A42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4EDC387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Increased complexity of async/event-driven model → Mitigate with templates, runbooks, and distributed tracing</w:t>
      </w:r>
    </w:p>
    <w:p w14:paraId="2072EBCF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Potential schema coupling → Start with logical domain segregation; plan for incremental denormalization</w:t>
      </w:r>
    </w:p>
    <w:p w14:paraId="73CD2EE6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Team ramp-up on </w:t>
      </w:r>
      <w:proofErr w:type="spellStart"/>
      <w:r w:rsidRPr="00C53840">
        <w:rPr>
          <w:sz w:val="20"/>
          <w:szCs w:val="20"/>
        </w:rPr>
        <w:t>Dapr</w:t>
      </w:r>
      <w:proofErr w:type="spellEnd"/>
      <w:r w:rsidRPr="00C53840">
        <w:rPr>
          <w:sz w:val="20"/>
          <w:szCs w:val="20"/>
        </w:rPr>
        <w:t>/KEDA → Provide enablement docs and internal workshops as part of the template</w:t>
      </w:r>
    </w:p>
    <w:p w14:paraId="218D316E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0AE16D0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Deliverables</w:t>
      </w:r>
    </w:p>
    <w:p w14:paraId="71ADF8D5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3A300A53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Code: Awards microservice (API, workers), </w:t>
      </w:r>
      <w:proofErr w:type="spellStart"/>
      <w:r w:rsidRPr="00C53840">
        <w:rPr>
          <w:sz w:val="20"/>
          <w:szCs w:val="20"/>
        </w:rPr>
        <w:t>Dapr</w:t>
      </w:r>
      <w:proofErr w:type="spellEnd"/>
      <w:r w:rsidRPr="00C53840">
        <w:rPr>
          <w:sz w:val="20"/>
          <w:szCs w:val="20"/>
        </w:rPr>
        <w:t xml:space="preserve"> components, Durable orchestrations</w:t>
      </w:r>
    </w:p>
    <w:p w14:paraId="6008F13C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Infra: Bicep/Terraform modules for Service Bus, Event Grid, Container Apps, Web </w:t>
      </w:r>
      <w:proofErr w:type="spellStart"/>
      <w:r w:rsidRPr="00C53840">
        <w:rPr>
          <w:sz w:val="20"/>
          <w:szCs w:val="20"/>
        </w:rPr>
        <w:t>PubSub</w:t>
      </w:r>
      <w:proofErr w:type="spellEnd"/>
      <w:r w:rsidRPr="00C53840">
        <w:rPr>
          <w:sz w:val="20"/>
          <w:szCs w:val="20"/>
        </w:rPr>
        <w:t>, Key Vault, App Insights, VNET/Private Endpoints</w:t>
      </w:r>
    </w:p>
    <w:p w14:paraId="521B77E4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Ops: Dashboards, alerts, runbooks, SRE playbooks, fault-injection test suite</w:t>
      </w:r>
    </w:p>
    <w:p w14:paraId="02D351A7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Pipelines: CI/CD with blue/green or canary, approvals, and automated rollback</w:t>
      </w:r>
    </w:p>
    <w:p w14:paraId="7FF035C0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Documentation: ADRs, domain model, sequence diagrams, operations handbook</w:t>
      </w:r>
    </w:p>
    <w:p w14:paraId="3D4B0EE6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0387599C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Child Work Items</w:t>
      </w:r>
    </w:p>
    <w:p w14:paraId="7A857728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6D39304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Define DDD boundaries and ADRs for Awards domain</w:t>
      </w:r>
    </w:p>
    <w:p w14:paraId="45FE8357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Implement Async Request-Reply with Service Bus and DLQ; </w:t>
      </w:r>
      <w:proofErr w:type="spellStart"/>
      <w:r w:rsidRPr="00C53840">
        <w:rPr>
          <w:sz w:val="20"/>
          <w:szCs w:val="20"/>
        </w:rPr>
        <w:t>correlationId</w:t>
      </w:r>
      <w:proofErr w:type="spellEnd"/>
      <w:r w:rsidRPr="00C53840">
        <w:rPr>
          <w:sz w:val="20"/>
          <w:szCs w:val="20"/>
        </w:rPr>
        <w:t xml:space="preserve"> propagation</w:t>
      </w:r>
    </w:p>
    <w:p w14:paraId="50016F34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Implement Web </w:t>
      </w:r>
      <w:proofErr w:type="spellStart"/>
      <w:r w:rsidRPr="00C53840">
        <w:rPr>
          <w:sz w:val="20"/>
          <w:szCs w:val="20"/>
        </w:rPr>
        <w:t>PubSub</w:t>
      </w:r>
      <w:proofErr w:type="spellEnd"/>
      <w:r w:rsidRPr="00C53840">
        <w:rPr>
          <w:sz w:val="20"/>
          <w:szCs w:val="20"/>
        </w:rPr>
        <w:t xml:space="preserve"> client/server integration</w:t>
      </w:r>
    </w:p>
    <w:p w14:paraId="62140C7C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Implement Durable Functions for long-running workflows</w:t>
      </w:r>
    </w:p>
    <w:p w14:paraId="362FCEC8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 xml:space="preserve">Configure </w:t>
      </w:r>
      <w:proofErr w:type="spellStart"/>
      <w:r w:rsidRPr="00C53840">
        <w:rPr>
          <w:sz w:val="20"/>
          <w:szCs w:val="20"/>
        </w:rPr>
        <w:t>Dapr</w:t>
      </w:r>
      <w:proofErr w:type="spellEnd"/>
      <w:r w:rsidRPr="00C53840">
        <w:rPr>
          <w:sz w:val="20"/>
          <w:szCs w:val="20"/>
        </w:rPr>
        <w:t xml:space="preserve"> components (pub/sub, bindings) and KEDA autoscaling</w:t>
      </w:r>
    </w:p>
    <w:p w14:paraId="631CB169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Implement observability (traces/logs/metrics), dashboards and alerts</w:t>
      </w:r>
    </w:p>
    <w:p w14:paraId="5ECEF26B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Security baselines (managed identities, RBAC, private endpoints)</w:t>
      </w:r>
    </w:p>
    <w:p w14:paraId="4436D494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CI/CD pipelines with blue/green or canary; rollback automation</w:t>
      </w:r>
    </w:p>
    <w:p w14:paraId="06860637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Load/stress testing and fault injection</w:t>
      </w:r>
    </w:p>
    <w:p w14:paraId="5EA9144A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API gateway routing for Strangler Fig cutover</w:t>
      </w:r>
    </w:p>
    <w:p w14:paraId="177C5073" w14:textId="77777777" w:rsidR="00C5384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Template extraction and handoff to Registration</w:t>
      </w:r>
    </w:p>
    <w:p w14:paraId="1726FF08" w14:textId="77777777" w:rsidR="00C53840" w:rsidRPr="00C53840" w:rsidRDefault="00C53840" w:rsidP="00C53840">
      <w:pPr>
        <w:pStyle w:val="NoSpacing"/>
        <w:rPr>
          <w:sz w:val="20"/>
          <w:szCs w:val="20"/>
        </w:rPr>
      </w:pPr>
    </w:p>
    <w:p w14:paraId="4B869A3D" w14:textId="4E1292AC" w:rsidR="00CC0B90" w:rsidRPr="00C53840" w:rsidRDefault="00C53840" w:rsidP="00C53840">
      <w:pPr>
        <w:pStyle w:val="NoSpacing"/>
        <w:rPr>
          <w:sz w:val="20"/>
          <w:szCs w:val="20"/>
        </w:rPr>
      </w:pPr>
      <w:r w:rsidRPr="00C53840">
        <w:rPr>
          <w:sz w:val="20"/>
          <w:szCs w:val="20"/>
        </w:rPr>
        <w:t>Want me to drop this directly into your tracker with placeholders for targets (RPS, latency) and link each Acceptance Criterion to a specific test/metric dashboard?</w:t>
      </w:r>
    </w:p>
    <w:sectPr w:rsidR="00CC0B90" w:rsidRPr="00C53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5B5C"/>
    <w:multiLevelType w:val="hybridMultilevel"/>
    <w:tmpl w:val="364C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04D75"/>
    <w:multiLevelType w:val="hybridMultilevel"/>
    <w:tmpl w:val="92FAE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F2CA0"/>
    <w:multiLevelType w:val="hybridMultilevel"/>
    <w:tmpl w:val="414ED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E5B70"/>
    <w:multiLevelType w:val="multilevel"/>
    <w:tmpl w:val="6742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A6FB2"/>
    <w:multiLevelType w:val="hybridMultilevel"/>
    <w:tmpl w:val="9BF8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A0362"/>
    <w:multiLevelType w:val="hybridMultilevel"/>
    <w:tmpl w:val="F95A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242629">
    <w:abstractNumId w:val="3"/>
  </w:num>
  <w:num w:numId="2" w16cid:durableId="1830516335">
    <w:abstractNumId w:val="5"/>
  </w:num>
  <w:num w:numId="3" w16cid:durableId="1612130146">
    <w:abstractNumId w:val="2"/>
  </w:num>
  <w:num w:numId="4" w16cid:durableId="282230495">
    <w:abstractNumId w:val="0"/>
  </w:num>
  <w:num w:numId="5" w16cid:durableId="2006471625">
    <w:abstractNumId w:val="4"/>
  </w:num>
  <w:num w:numId="6" w16cid:durableId="46747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90"/>
    <w:rsid w:val="00990F9D"/>
    <w:rsid w:val="00AE5B67"/>
    <w:rsid w:val="00C53840"/>
    <w:rsid w:val="00CC0B90"/>
    <w:rsid w:val="00F8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293D"/>
  <w15:chartTrackingRefBased/>
  <w15:docId w15:val="{FDAFA5FC-8B2D-4C3C-B57D-D3017D1C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56B9"/>
    <w:rPr>
      <w:rFonts w:eastAsiaTheme="majorEastAsia" w:cstheme="majorBidi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538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1202</Words>
  <Characters>5952</Characters>
  <Application>Microsoft Office Word</Application>
  <DocSecurity>0</DocSecurity>
  <Lines>106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Fraser</dc:creator>
  <cp:keywords/>
  <dc:description/>
  <cp:lastModifiedBy>Terry Fraser</cp:lastModifiedBy>
  <cp:revision>1</cp:revision>
  <dcterms:created xsi:type="dcterms:W3CDTF">2025-09-26T13:50:00Z</dcterms:created>
  <dcterms:modified xsi:type="dcterms:W3CDTF">2025-11-16T04:35:00Z</dcterms:modified>
</cp:coreProperties>
</file>