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build your </w:t>
      </w:r>
      <w:r w:rsidDel="00000000" w:rsidR="00000000" w:rsidRPr="00000000">
        <w:rPr>
          <w:b w:val="1"/>
          <w:bCs w:val="1"/>
          <w:rtl w:val="0"/>
        </w:rPr>
        <w:t xml:space="preserve">Cloud-Native Architecture</w:t>
      </w:r>
      <w:r w:rsidDel="00000000" w:rsidR="00000000" w:rsidRPr="00000000">
        <w:rPr>
          <w:rtl w:val="0"/>
        </w:rPr>
        <w:t xml:space="preserve"> documentation for K12, we can map the theoretical models from the </w:t>
      </w:r>
      <w:r w:rsidDel="00000000" w:rsidR="00000000" w:rsidRPr="00000000">
        <w:rPr>
          <w:i w:val="1"/>
          <w:iCs w:val="1"/>
          <w:rtl w:val="0"/>
        </w:rPr>
        <w:t xml:space="preserve">Getting Started as an Azure Architect</w:t>
      </w:r>
      <w:r w:rsidDel="00000000" w:rsidR="00000000" w:rsidRPr="00000000">
        <w:rPr>
          <w:rtl w:val="0"/>
        </w:rPr>
        <w:t xml:space="preserve"> guide directly to your specific K12 implementation decisions.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the breakdown of the PDF's core architectural pillars and how they apply to the K12 Modernization project.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je3u4w5ltqh" w:id="0"/>
      <w:bookmarkEnd w:id="0"/>
      <w:r w:rsidDel="00000000" w:rsidR="00000000" w:rsidRPr="00000000">
        <w:rPr>
          <w:rtl w:val="0"/>
        </w:rPr>
        <w:t xml:space="preserve">1. Extraction: Core Pillars (From "Getting Started as an Azure Architect")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Based on the visual models in the source, a cloud architect must define these four layers. I have mapped them to your specific K12 decisions.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8mlznl9u6w4z" w:id="1"/>
      <w:bookmarkEnd w:id="1"/>
      <w:r w:rsidDel="00000000" w:rsidR="00000000" w:rsidRPr="00000000">
        <w:rPr>
          <w:rtl w:val="0"/>
        </w:rPr>
        <w:t xml:space="preserve">Architecture LayerConcept (From PDF)K12 Implementation Decision</w:t>
      </w:r>
      <w:r w:rsidDel="00000000" w:rsidR="00000000" w:rsidRPr="00000000">
        <w:rPr>
          <w:b w:val="1"/>
          <w:bCs w:val="1"/>
          <w:rtl w:val="0"/>
        </w:rPr>
        <w:t xml:space="preserve">1. Compute &amp; Hosting</w:t>
      </w:r>
      <w:r w:rsidDel="00000000" w:rsidR="00000000" w:rsidRPr="00000000">
        <w:rPr>
          <w:rtl w:val="0"/>
        </w:rPr>
        <w:t xml:space="preserve">Moving from VMs/IaaS to </w:t>
      </w:r>
      <w:r w:rsidDel="00000000" w:rsidR="00000000" w:rsidRPr="00000000">
        <w:rPr>
          <w:b w:val="1"/>
          <w:bCs w:val="1"/>
          <w:rtl w:val="0"/>
        </w:rPr>
        <w:t xml:space="preserve">PaaS/Serverless Containers</w:t>
      </w:r>
      <w:r w:rsidDel="00000000" w:rsidR="00000000" w:rsidRPr="00000000">
        <w:rPr>
          <w:rtl w:val="0"/>
        </w:rPr>
        <w:t xml:space="preserve"> to decouple code from hardware.</w:t>
      </w:r>
      <w:r w:rsidDel="00000000" w:rsidR="00000000" w:rsidRPr="00000000">
        <w:rPr>
          <w:b w:val="1"/>
          <w:bCs w:val="1"/>
          <w:rtl w:val="0"/>
        </w:rPr>
        <w:t xml:space="preserve">Azure Container Apps (ACA):</w:t>
      </w:r>
      <w:r w:rsidDel="00000000" w:rsidR="00000000" w:rsidRPr="00000000">
        <w:rPr>
          <w:rtl w:val="0"/>
        </w:rPr>
        <w:t xml:space="preserve"> We chose ACA over AKS to reduce management overhead while retaining KEDA scaling and Dapr support.</w:t>
      </w:r>
      <w:r w:rsidDel="00000000" w:rsidR="00000000" w:rsidRPr="00000000">
        <w:rPr>
          <w:b w:val="1"/>
          <w:bCs w:val="1"/>
          <w:rtl w:val="0"/>
        </w:rPr>
        <w:t xml:space="preserve">2. Data Systems</w:t>
      </w:r>
      <w:r w:rsidDel="00000000" w:rsidR="00000000" w:rsidRPr="00000000">
        <w:rPr>
          <w:rtl w:val="0"/>
        </w:rPr>
        <w:t xml:space="preserve">Distinguishing between </w:t>
      </w:r>
      <w:r w:rsidDel="00000000" w:rsidR="00000000" w:rsidRPr="00000000">
        <w:rPr>
          <w:b w:val="1"/>
          <w:bCs w:val="1"/>
          <w:rtl w:val="0"/>
        </w:rPr>
        <w:t xml:space="preserve">Systems of Record</w:t>
      </w:r>
      <w:r w:rsidDel="00000000" w:rsidR="00000000" w:rsidRPr="00000000">
        <w:rPr>
          <w:rtl w:val="0"/>
        </w:rPr>
        <w:t xml:space="preserve"> (Relational) and </w:t>
      </w:r>
      <w:r w:rsidDel="00000000" w:rsidR="00000000" w:rsidRPr="00000000">
        <w:rPr>
          <w:b w:val="1"/>
          <w:bCs w:val="1"/>
          <w:rtl w:val="0"/>
        </w:rPr>
        <w:t xml:space="preserve">Systems of Insight</w:t>
      </w:r>
      <w:r w:rsidDel="00000000" w:rsidR="00000000" w:rsidRPr="00000000">
        <w:rPr>
          <w:rtl w:val="0"/>
        </w:rPr>
        <w:t xml:space="preserve"> (Analytics).</w:t>
      </w:r>
      <w:r w:rsidDel="00000000" w:rsidR="00000000" w:rsidRPr="00000000">
        <w:rPr>
          <w:b w:val="1"/>
          <w:bCs w:val="1"/>
          <w:rtl w:val="0"/>
        </w:rPr>
        <w:t xml:space="preserve">Hybrid Data Strategy:</w:t>
      </w:r>
      <w:r w:rsidDel="00000000" w:rsidR="00000000" w:rsidRPr="00000000">
        <w:rPr>
          <w:rtl w:val="0"/>
        </w:rPr>
        <w:t xml:space="preserve"> Azure SQL (Business Critical) for transactions. </w:t>
      </w:r>
      <w:r w:rsidDel="00000000" w:rsidR="00000000" w:rsidRPr="00000000">
        <w:rPr>
          <w:b w:val="1"/>
          <w:bCs w:val="1"/>
          <w:rtl w:val="0"/>
        </w:rPr>
        <w:t xml:space="preserve">Metabase</w:t>
      </w:r>
      <w:r w:rsidDel="00000000" w:rsidR="00000000" w:rsidRPr="00000000">
        <w:rPr>
          <w:rtl w:val="0"/>
        </w:rPr>
        <w:t xml:space="preserve"> + Read Replicas for Systems of Insight.</w:t>
      </w:r>
      <w:r w:rsidDel="00000000" w:rsidR="00000000" w:rsidRPr="00000000">
        <w:rPr>
          <w:b w:val="1"/>
          <w:bCs w:val="1"/>
          <w:rtl w:val="0"/>
        </w:rPr>
        <w:t xml:space="preserve">3. Communication</w:t>
      </w:r>
      <w:r w:rsidDel="00000000" w:rsidR="00000000" w:rsidRPr="00000000">
        <w:rPr>
          <w:rtl w:val="0"/>
        </w:rPr>
        <w:t xml:space="preserve">Utilizing </w:t>
      </w:r>
      <w:r w:rsidDel="00000000" w:rsidR="00000000" w:rsidRPr="00000000">
        <w:rPr>
          <w:b w:val="1"/>
          <w:bCs w:val="1"/>
          <w:rtl w:val="0"/>
        </w:rPr>
        <w:t xml:space="preserve">Event-Driven Messaging</w:t>
      </w:r>
      <w:r w:rsidDel="00000000" w:rsidR="00000000" w:rsidRPr="00000000">
        <w:rPr>
          <w:rtl w:val="0"/>
        </w:rPr>
        <w:t xml:space="preserve"> (Pub/Sub) to decouple services.</w:t>
      </w:r>
      <w:r w:rsidDel="00000000" w:rsidR="00000000" w:rsidRPr="00000000">
        <w:rPr>
          <w:b w:val="1"/>
          <w:bCs w:val="1"/>
          <w:rtl w:val="0"/>
        </w:rPr>
        <w:t xml:space="preserve">Azure Service Bus:</w:t>
      </w:r>
      <w:r w:rsidDel="00000000" w:rsidR="00000000" w:rsidRPr="00000000">
        <w:rPr>
          <w:rtl w:val="0"/>
        </w:rPr>
        <w:t xml:space="preserve"> Used for async flows (e.g., RDS verification). </w:t>
      </w:r>
      <w:r w:rsidDel="00000000" w:rsidR="00000000" w:rsidRPr="00000000">
        <w:rPr>
          <w:b w:val="1"/>
          <w:bCs w:val="1"/>
          <w:rtl w:val="0"/>
        </w:rPr>
        <w:t xml:space="preserve">Dapr Pub/Sub:</w:t>
      </w:r>
      <w:r w:rsidDel="00000000" w:rsidR="00000000" w:rsidRPr="00000000">
        <w:rPr>
          <w:rtl w:val="0"/>
        </w:rPr>
        <w:t xml:space="preserve"> Abstracts the bus implementation from the .NET code.</w:t>
      </w:r>
      <w:r w:rsidDel="00000000" w:rsidR="00000000" w:rsidRPr="00000000">
        <w:rPr>
          <w:b w:val="1"/>
          <w:bCs w:val="1"/>
          <w:rtl w:val="0"/>
        </w:rPr>
        <w:t xml:space="preserve">4. Security</w:t>
      </w:r>
      <w:r w:rsidDel="00000000" w:rsidR="00000000" w:rsidRPr="00000000">
        <w:rPr>
          <w:rtl w:val="0"/>
        </w:rPr>
        <w:t xml:space="preserve">Implementing </w:t>
      </w:r>
      <w:r w:rsidDel="00000000" w:rsidR="00000000" w:rsidRPr="00000000">
        <w:rPr>
          <w:b w:val="1"/>
          <w:b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 and identity-based perimeters (Identity as the new firewall).</w:t>
      </w:r>
      <w:r w:rsidDel="00000000" w:rsidR="00000000" w:rsidRPr="00000000">
        <w:rPr>
          <w:b w:val="1"/>
          <w:bCs w:val="1"/>
          <w:rtl w:val="0"/>
        </w:rPr>
        <w:t xml:space="preserve">Hub &amp; Spoke Identity:</w:t>
      </w:r>
      <w:r w:rsidDel="00000000" w:rsidR="00000000" w:rsidRPr="00000000">
        <w:rPr>
          <w:rtl w:val="0"/>
        </w:rPr>
        <w:t xml:space="preserve"> Entra ID (Gov) as the hub. </w:t>
      </w:r>
      <w:r w:rsidDel="00000000" w:rsidR="00000000" w:rsidRPr="00000000">
        <w:rPr>
          <w:b w:val="1"/>
          <w:bCs w:val="1"/>
          <w:rtl w:val="0"/>
        </w:rPr>
        <w:t xml:space="preserve">Managed Identities:</w:t>
      </w:r>
      <w:r w:rsidDel="00000000" w:rsidR="00000000" w:rsidRPr="00000000">
        <w:rPr>
          <w:rtl w:val="0"/>
        </w:rPr>
        <w:t xml:space="preserve"> For all service-to-service auth (no secrets in connection strings).2. Diagram Generation: The Cloud-Native Logical 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visualize this "Cloud Native" approach for your documentation, we need a </w:t>
      </w:r>
      <w:r w:rsidDel="00000000" w:rsidR="00000000" w:rsidRPr="00000000">
        <w:rPr>
          <w:b w:val="1"/>
          <w:bCs w:val="1"/>
          <w:rtl w:val="0"/>
        </w:rPr>
        <w:t xml:space="preserve">Container Diagram (C4 Level 2)</w:t>
      </w:r>
      <w:r w:rsidDel="00000000" w:rsidR="00000000" w:rsidRPr="00000000">
        <w:rPr>
          <w:rtl w:val="0"/>
        </w:rPr>
        <w:t xml:space="preserve">. This illustrates how the containers defined in CONT-01 and CONT-02 interact within the cloud environment.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is the Mermaid diagram code you can insert directly into </w:t>
      </w:r>
      <w:r w:rsidDel="00000000" w:rsidR="00000000" w:rsidRPr="00000000">
        <w:rPr>
          <w:b w:val="1"/>
          <w:bCs w:val="1"/>
          <w:rtl w:val="0"/>
        </w:rPr>
        <w:t xml:space="preserve">C4-PROP-02: Container Diagram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C4Container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title Container Diagram - K12 Cloud-Native Architecture (Azure Container Apps)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Person(parent, "Parent/Guardian", "Applies for ESA+/Opportunity Scholarships")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System_Boundary(k12_env, "K12 Azure Container Apps Environment")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Container(frontend, "Web Portals", "Angular/Node Container", "Serves Household, School, and Provider apps")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Container(api_gateway, "K12 API", ".NET 10 / ACA", "Core business logic, eligibility rules, and orchestrations")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Container(dab, "Data API Builder", "DAB Container", "Auto-generated GraphQL/REST endpoints for CRUD operations")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ContainerDb(redis, "State Store", "Azure Cache for Redis", "Session state, Dapr pub/sub, caching")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Container(metabase, "Analytics Engine", "Metabase Container", "Dashboards and Reporting")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System_Ext(classwallet, "ClassWallet", "Financial Service Provider")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System_Ext(rds, "RDS", "Residency Determination Service")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Rel(parent, frontend, "Visits", "HTTPS")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Rel(frontend, api_gateway, "Submits Applications", "JSON/HTTPS")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Rel(frontend, dab, "Reads Data", "GraphQL/HTTPS")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Rel(api_gateway, redis, "Publishes Events", "Dapr Pub/Sub")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Rel(api_gateway, classwallet, " processes payments", "HTTPS")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Rel(redis, rds, "Async Verification Request", "Service Bus Topic")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6q6t01bu911" w:id="2"/>
      <w:bookmarkEnd w:id="2"/>
      <w:r w:rsidDel="00000000" w:rsidR="00000000" w:rsidRPr="00000000">
        <w:rPr>
          <w:rtl w:val="0"/>
        </w:rPr>
        <w:t xml:space="preserve">3. Documentation Plan: Next Steps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formalize the "Cloud Native" aspect of your architecture, we should generate the following specific docs next.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would you like to draft first?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WA-04: Operational Excellence</w:t>
      </w:r>
      <w:r w:rsidDel="00000000" w:rsidR="00000000" w:rsidRPr="00000000">
        <w:rPr>
          <w:rtl w:val="0"/>
        </w:rPr>
        <w:t xml:space="preserve">: Using the PDF's "Monitoring" section to define how we use </w:t>
      </w:r>
      <w:r w:rsidDel="00000000" w:rsidR="00000000" w:rsidRPr="00000000">
        <w:rPr>
          <w:b w:val="1"/>
          <w:bCs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Application Insights</w:t>
      </w:r>
      <w:r w:rsidDel="00000000" w:rsidR="00000000" w:rsidRPr="00000000">
        <w:rPr>
          <w:rtl w:val="0"/>
        </w:rPr>
        <w:t xml:space="preserve"> to track the "Health" of the K12 containers.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C4-PROP-02: Container Diagram</w:t>
      </w:r>
      <w:r w:rsidDel="00000000" w:rsidR="00000000" w:rsidRPr="00000000">
        <w:rPr>
          <w:rtl w:val="0"/>
        </w:rPr>
        <w:t xml:space="preserve">: Flesh out the diagram above with text describing the </w:t>
      </w:r>
      <w:r w:rsidDel="00000000" w:rsidR="00000000" w:rsidRPr="00000000">
        <w:rPr>
          <w:b w:val="1"/>
          <w:bCs w:val="1"/>
          <w:rtl w:val="0"/>
        </w:rPr>
        <w:t xml:space="preserve">Dapr Sidecar</w:t>
      </w:r>
      <w:r w:rsidDel="00000000" w:rsidR="00000000" w:rsidRPr="00000000">
        <w:rPr>
          <w:rtl w:val="0"/>
        </w:rPr>
        <w:t xml:space="preserve"> pattern (how the API talks to Redis without code changes).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CAF-03: Adopt</w:t>
      </w:r>
      <w:r w:rsidDel="00000000" w:rsidR="00000000" w:rsidRPr="00000000">
        <w:rPr>
          <w:rtl w:val="0"/>
        </w:rPr>
        <w:t xml:space="preserve">: A "Cloud Adoption Framework" page explaining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we chose </w:t>
      </w:r>
      <w:r w:rsidDel="00000000" w:rsidR="00000000" w:rsidRPr="00000000">
        <w:rPr>
          <w:b w:val="1"/>
          <w:bCs w:val="1"/>
          <w:rtl w:val="0"/>
        </w:rPr>
        <w:t xml:space="preserve">Serverless Containers</w:t>
      </w:r>
      <w:r w:rsidDel="00000000" w:rsidR="00000000" w:rsidRPr="00000000">
        <w:rPr>
          <w:rtl w:val="0"/>
        </w:rPr>
        <w:t xml:space="preserve"> (ACA) over standard App Service (PaaS) for this specific workload.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