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Great. Let’s tackle </w:t>
      </w:r>
      <w:r w:rsidDel="00000000" w:rsidR="00000000" w:rsidRPr="00000000">
        <w:rPr>
          <w:b w:val="1"/>
          <w:bCs w:val="1"/>
          <w:rtl w:val="0"/>
        </w:rPr>
        <w:t xml:space="preserve">Step 2: Data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section is critical for your presentation because it demonstrates how you handle high-volume enrollment periods without locking the database for reporting.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are the artifacts for your </w:t>
      </w:r>
      <w:r w:rsidDel="00000000" w:rsidR="00000000" w:rsidRPr="00000000">
        <w:rPr>
          <w:b w:val="1"/>
          <w:bCs w:val="1"/>
          <w:rtl w:val="0"/>
        </w:rPr>
        <w:t xml:space="preserve">Hybrid Data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dpxjyrwy3su" w:id="0"/>
      <w:bookmarkEnd w:id="0"/>
      <w:r w:rsidDel="00000000" w:rsidR="00000000" w:rsidRPr="00000000">
        <w:rPr>
          <w:rtl w:val="0"/>
        </w:rPr>
        <w:t xml:space="preserve">Artifact 1: Data Flow Diagram (Mermaid)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diagram illustrates the </w:t>
      </w:r>
      <w:r w:rsidDel="00000000" w:rsidR="00000000" w:rsidRPr="00000000">
        <w:rPr>
          <w:b w:val="1"/>
          <w:bCs w:val="1"/>
          <w:rtl w:val="0"/>
        </w:rPr>
        <w:t xml:space="preserve">Polyglot Persistence</w:t>
      </w:r>
      <w:r w:rsidDel="00000000" w:rsidR="00000000" w:rsidRPr="00000000">
        <w:rPr>
          <w:rtl w:val="0"/>
        </w:rPr>
        <w:t xml:space="preserve"> pattern. It separates your high-speed transactional writes (Enrollment) from heavy analytical reads (Reporting), preventing locking issues.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C4Component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Data Flow Diagram - Hybrid Data Strategy (CQRS Pattern)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Container(api, "K12 API", ".NET 8", "Handles Application Submits &amp; Status Checks")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ContainerDb(sql_primary, "Transactional DB", "Azure SQL (Business Critical)", "System of Record (OLTP)\nSchemas: Enrollment, Awards")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ContainerDb(redis, "Cache Layer", "Azure Cache for Redis", "Hot Data: Session State, Picklists")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ContainerDb(postgres, "Analytics DB", "Azure PostgreSQL", "System of Insight (OLAP)\nPre-aggregated snapshots")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Container(metabase, "Reporting Engine", "Metabase Container", "ReadOnly Dashboards for SEAA Admins")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ContainerDb(blob, "Doc Storage", "ADLS Gen2", "Long-term Application Documents")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Rel(api, redis, "Reads/Writes (Cache-Aside)", "Fast Retrieval")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Rel(api, sql_primary, "Writes Transactions", "EF Core / Dapper")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Rel(api, blob, "Streams Uploads", "Private Endpoint")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Rel(sql_primary, postgres, "Syncs Data", "Data Sync / ETL")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Rel(metabase, postgres, "Queries", "Read-Only")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UpdateRelStyle(api, sql_primary, $textColor="red", $lineColor="red", $offsetX="-40")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UpdateRelStyle(metabase, postgres, $textColor="blue", $lineColor="blue")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iguoussb7qn" w:id="1"/>
      <w:bookmarkEnd w:id="1"/>
      <w:r w:rsidDel="00000000" w:rsidR="00000000" w:rsidRPr="00000000">
        <w:rPr>
          <w:rtl w:val="0"/>
        </w:rPr>
        <w:t xml:space="preserve">Artifact 2: Database Schema Documentation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Derived from the Architecture Overview and Data Architecture sources 1, 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 Multi-Schema Isolation</w:t>
      </w:r>
      <w:r w:rsidDel="00000000" w:rsidR="00000000" w:rsidRPr="00000000">
        <w:rPr>
          <w:rtl w:val="0"/>
        </w:rPr>
        <w:t xml:space="preserve">Instead of a single monolithic schema, we segregate data by domain to support future microservice decoupling.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Schema,Purpose,Key Tables,Est. Volume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dbo,Core Identity &amp; System Config,"Users, AuditLogs, SystemConfiguration",500K+ rows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Enrollment,High-velocity Application Data,"Applications, Students, Programs, EligibilityRules",1M+ rows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Households,Family Units &amp; Profiles,"Households, HouseholdMembers, Addresses",500K+ rows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Awards,Financial Calculations,"StudentAwards, Disbursements, Transactions",2M+ rows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Comms,Notification Logs,"EmailQueue, Notifications, Messages",5M+ rows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evlkg1qmpet" w:id="2"/>
      <w:bookmarkEnd w:id="2"/>
      <w:r w:rsidDel="00000000" w:rsidR="00000000" w:rsidRPr="00000000">
        <w:rPr>
          <w:rtl w:val="0"/>
        </w:rPr>
        <w:t xml:space="preserve">Artifact 3: Architectural Decision Record (ADR)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Derived from "Cloud-native data patterns" 3, 4 and K12 specific decisions 5.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Hybrid Data Strategy (Polyglot Persistence)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The K12 system faces two distinct workloads: high-concurrency writes during open enrollment (thousands of parents submitting simultaneously) and complex read-heavy reporting for SEAA administrators. Using a single database for both creates resource contention and locking.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We will implement a </w:t>
      </w:r>
      <w:r w:rsidDel="00000000" w:rsidR="00000000" w:rsidRPr="00000000">
        <w:rPr>
          <w:b w:val="1"/>
          <w:bCs w:val="1"/>
          <w:rtl w:val="0"/>
        </w:rPr>
        <w:t xml:space="preserve">Hybrid Data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Transactional (OLTP):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 for the "System of Record." It prioritizes data integrity (ACID) and write speed.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Analytical (OLAP):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Azure PostgreSQL</w:t>
      </w:r>
      <w:r w:rsidDel="00000000" w:rsidR="00000000" w:rsidRPr="00000000">
        <w:rPr>
          <w:rtl w:val="0"/>
        </w:rPr>
        <w:t xml:space="preserve"> combined with </w:t>
      </w:r>
      <w:r w:rsidDel="00000000" w:rsidR="00000000" w:rsidRPr="00000000">
        <w:rPr>
          <w:b w:val="1"/>
          <w:bCs w:val="1"/>
          <w:rtl w:val="0"/>
        </w:rPr>
        <w:t xml:space="preserve">Metabase</w:t>
      </w:r>
      <w:r w:rsidDel="00000000" w:rsidR="00000000" w:rsidRPr="00000000">
        <w:rPr>
          <w:rtl w:val="0"/>
        </w:rPr>
        <w:t xml:space="preserve"> for the "System of Insight." This creates a read-optimized copy of the data 5.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Azure Cache for Redis</w:t>
      </w:r>
      <w:r w:rsidDel="00000000" w:rsidR="00000000" w:rsidRPr="00000000">
        <w:rPr>
          <w:rtl w:val="0"/>
        </w:rPr>
        <w:t xml:space="preserve"> for reference data (picklists) and session state to reduce load on the SQL primary 6.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Consequences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Reporting queries will never slow down the application submission process.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Introduces "Eventual Consistency" between the Transactional and Analytical stores (reporting data may be delayed by seconds/minutes) 7.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is complete.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 have the Compute (Step 1) and Data (Step 2) layers ready. Ideally, we should move to </w:t>
      </w:r>
      <w:r w:rsidDel="00000000" w:rsidR="00000000" w:rsidRPr="00000000">
        <w:rPr>
          <w:b w:val="1"/>
          <w:bCs w:val="1"/>
          <w:rtl w:val="0"/>
        </w:rPr>
        <w:t xml:space="preserve">Step 3: Communication &amp; Events</w:t>
      </w:r>
      <w:r w:rsidDel="00000000" w:rsidR="00000000" w:rsidRPr="00000000">
        <w:rPr>
          <w:rtl w:val="0"/>
        </w:rPr>
        <w:t xml:space="preserve"> next. This explains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API talks to the database and external services (like RDS) without tight coupling.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Ready for Step 3?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