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are the artifacts for </w:t>
      </w:r>
      <w:r w:rsidDel="00000000" w:rsidR="00000000" w:rsidRPr="00000000">
        <w:rPr>
          <w:b w:val="1"/>
          <w:bCs w:val="1"/>
          <w:rtl w:val="0"/>
        </w:rPr>
        <w:t xml:space="preserve">Step 4: DevOps &amp; Infrastructure as Code (IaC)</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This section defines how you automate the movement of code from a developer's laptop to the production cloud environment without manual intervention, ensuring consistency across your four environments 1, 2.</w:t>
      </w:r>
    </w:p>
    <w:p w:rsidR="00000000" w:rsidDel="00000000" w:rsidP="00000000" w:rsidRDefault="00000000" w:rsidRPr="00000000" w14:paraId="00000003">
      <w:pPr>
        <w:pStyle w:val="Heading3"/>
        <w:rPr/>
      </w:pPr>
      <w:bookmarkStart w:colFirst="0" w:colLast="0" w:name="_fxtrnrk4paqu" w:id="0"/>
      <w:bookmarkEnd w:id="0"/>
      <w:r w:rsidDel="00000000" w:rsidR="00000000" w:rsidRPr="00000000">
        <w:rPr>
          <w:rtl w:val="0"/>
        </w:rPr>
        <w:t xml:space="preserve">Artifact 1: CI/CD Pipeline Diagram (Mermaid)</w:t>
      </w:r>
    </w:p>
    <w:p w:rsidR="00000000" w:rsidDel="00000000" w:rsidP="00000000" w:rsidRDefault="00000000" w:rsidRPr="00000000" w14:paraId="00000004">
      <w:pPr>
        <w:rPr/>
      </w:pPr>
      <w:r w:rsidDel="00000000" w:rsidR="00000000" w:rsidRPr="00000000">
        <w:rPr>
          <w:rtl w:val="0"/>
        </w:rPr>
        <w:t xml:space="preserve">This diagram illustrates the "Build, Release, Run" separation recommended in the Cloud Native guide 3. It highlights the use of </w:t>
      </w:r>
      <w:r w:rsidDel="00000000" w:rsidR="00000000" w:rsidRPr="00000000">
        <w:rPr>
          <w:b w:val="1"/>
          <w:bCs w:val="1"/>
          <w:rtl w:val="0"/>
        </w:rPr>
        <w:t xml:space="preserve">Terraform</w:t>
      </w:r>
      <w:r w:rsidDel="00000000" w:rsidR="00000000" w:rsidRPr="00000000">
        <w:rPr>
          <w:rtl w:val="0"/>
        </w:rPr>
        <w:t xml:space="preserve"> for infrastructure provisioning before application code is deployed.</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flowchart LR</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subgraph S1 [Build Stage (CI)]</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TB</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Push[Git Push] --&gt; Test[Unit Tests &amp; Security Scan]</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Test --&gt; Build[Build .NET/Angular Apps]</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Build --&gt; Docker[Build &amp; Push Container Images]</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Docker --&gt; ACR[(Azure Container Registry)]</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subgraph S2 [Infrastructure Stage (IaC)]</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TB</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TF_Plan[Terraform Plan] --&gt; TF_Gate{Manual Approval?}</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TF_Gate -- Yes --&gt; TF_Apply[Terraform Apply]</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TF_Apply --&gt; Resources[Provision Azure Resources\n(SQL, Service Bus, ACA Env)]</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subgraph S3 [Deployment Stage (CD)]</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direction TB</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Deploy[Deploy ACA Revisions] --&gt; Smoke[Smoke Tests]</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Smoke --&gt; Swap[Traffic Swap]</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S1 --&gt; S2</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S2 --&gt; S3</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style TF_Apply fill:#f96,stroke:#333,stroke-width:2px</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style ACR fill:#bbf,stroke:#333,stroke-width:2px</w:t>
      </w:r>
    </w:p>
    <w:p w:rsidR="00000000" w:rsidDel="00000000" w:rsidP="00000000" w:rsidRDefault="00000000" w:rsidRPr="00000000" w14:paraId="00000020">
      <w:pPr>
        <w:pStyle w:val="Heading3"/>
        <w:rPr/>
      </w:pPr>
      <w:bookmarkStart w:colFirst="0" w:colLast="0" w:name="_4cl8mv1cz1tf" w:id="1"/>
      <w:bookmarkEnd w:id="1"/>
      <w:r w:rsidDel="00000000" w:rsidR="00000000" w:rsidRPr="00000000">
        <w:rPr>
          <w:rtl w:val="0"/>
        </w:rPr>
        <w:t xml:space="preserve">Artifact 2: Environment Strategy Matrix</w:t>
      </w:r>
    </w:p>
    <w:p w:rsidR="00000000" w:rsidDel="00000000" w:rsidP="00000000" w:rsidRDefault="00000000" w:rsidRPr="00000000" w14:paraId="00000021">
      <w:pPr>
        <w:rPr>
          <w:i w:val="1"/>
          <w:iCs w:val="1"/>
        </w:rPr>
      </w:pPr>
      <w:r w:rsidDel="00000000" w:rsidR="00000000" w:rsidRPr="00000000">
        <w:rPr>
          <w:i w:val="1"/>
          <w:iCs w:val="1"/>
          <w:rtl w:val="0"/>
        </w:rPr>
        <w:t xml:space="preserve">Derived from the "Deployment Architecture" and "Environment Pipeline" sections 1, 2.</w:t>
      </w:r>
    </w:p>
    <w:p w:rsidR="00000000" w:rsidDel="00000000" w:rsidP="00000000" w:rsidRDefault="00000000" w:rsidRPr="00000000" w14:paraId="00000022">
      <w:pPr>
        <w:rPr/>
      </w:pPr>
      <w:r w:rsidDel="00000000" w:rsidR="00000000" w:rsidRPr="00000000">
        <w:rPr>
          <w:b w:val="1"/>
          <w:bCs w:val="1"/>
          <w:rtl w:val="0"/>
        </w:rPr>
        <w:t xml:space="preserve">Strategy: Environmental Parity</w:t>
      </w:r>
      <w:r w:rsidDel="00000000" w:rsidR="00000000" w:rsidRPr="00000000">
        <w:rPr>
          <w:rtl w:val="0"/>
        </w:rPr>
        <w:t xml:space="preserve">We maintain strict parity between environments to ensure that "it works on my machine" translates to production. We use Terraform workspaces to deploy the same infrastructure code with different scale configurations 2.</w:t>
      </w:r>
    </w:p>
    <w:p w:rsidR="00000000" w:rsidDel="00000000" w:rsidP="00000000" w:rsidRDefault="00000000" w:rsidRPr="00000000" w14:paraId="00000023">
      <w:pPr>
        <w:rPr/>
      </w:pPr>
      <w:r w:rsidDel="00000000" w:rsidR="00000000" w:rsidRPr="00000000">
        <w:rPr>
          <w:rtl w:val="0"/>
        </w:rPr>
        <w:t xml:space="preserve">Environment,Purpose,Scale Strategy,Cost Target</w:t>
      </w:r>
    </w:p>
    <w:p w:rsidR="00000000" w:rsidDel="00000000" w:rsidP="00000000" w:rsidRDefault="00000000" w:rsidRPr="00000000" w14:paraId="00000024">
      <w:pPr>
        <w:rPr/>
      </w:pPr>
      <w:r w:rsidDel="00000000" w:rsidR="00000000" w:rsidRPr="00000000">
        <w:rPr>
          <w:rtl w:val="0"/>
        </w:rPr>
        <w:t xml:space="preserve">Development,"Developer inner-loop, rapid iteration","Minimal (1-2 instances), Serverless SQL",~$500/mo</w:t>
      </w:r>
    </w:p>
    <w:p w:rsidR="00000000" w:rsidDel="00000000" w:rsidP="00000000" w:rsidRDefault="00000000" w:rsidRPr="00000000" w14:paraId="00000025">
      <w:pPr>
        <w:rPr/>
      </w:pPr>
      <w:r w:rsidDel="00000000" w:rsidR="00000000" w:rsidRPr="00000000">
        <w:rPr>
          <w:rtl w:val="0"/>
        </w:rPr>
        <w:t xml:space="preserve">Testing,"QA, automated integration tests","Small (2-3 instances), Standard SQL","~$1,500/mo"</w:t>
      </w:r>
    </w:p>
    <w:p w:rsidR="00000000" w:rsidDel="00000000" w:rsidP="00000000" w:rsidRDefault="00000000" w:rsidRPr="00000000" w14:paraId="00000026">
      <w:pPr>
        <w:rPr/>
      </w:pPr>
      <w:r w:rsidDel="00000000" w:rsidR="00000000" w:rsidRPr="00000000">
        <w:rPr>
          <w:rtl w:val="0"/>
        </w:rPr>
        <w:t xml:space="preserve">Staging,"Pre-prod validation, load testing","Medium (3-5 instances), Production-like data","~$3,000/mo"</w:t>
      </w:r>
    </w:p>
    <w:p w:rsidR="00000000" w:rsidDel="00000000" w:rsidP="00000000" w:rsidRDefault="00000000" w:rsidRPr="00000000" w14:paraId="00000027">
      <w:pPr>
        <w:rPr/>
      </w:pPr>
      <w:r w:rsidDel="00000000" w:rsidR="00000000" w:rsidRPr="00000000">
        <w:rPr>
          <w:rtl w:val="0"/>
        </w:rPr>
        <w:t xml:space="preserve">Production,"Live traffic, DR enabled","Full Scale (Auto-scale), Business Critical SQL","~$8,000/mo"</w:t>
      </w:r>
    </w:p>
    <w:p w:rsidR="00000000" w:rsidDel="00000000" w:rsidP="00000000" w:rsidRDefault="00000000" w:rsidRPr="00000000" w14:paraId="00000028">
      <w:pPr>
        <w:pStyle w:val="Heading3"/>
        <w:rPr/>
      </w:pPr>
      <w:bookmarkStart w:colFirst="0" w:colLast="0" w:name="_jxk4g4wka0dq" w:id="2"/>
      <w:bookmarkEnd w:id="2"/>
      <w:r w:rsidDel="00000000" w:rsidR="00000000" w:rsidRPr="00000000">
        <w:rPr>
          <w:rtl w:val="0"/>
        </w:rPr>
        <w:t xml:space="preserve">Artifact 3: Architectural Decision Record (ADR)</w:t>
      </w:r>
    </w:p>
    <w:p w:rsidR="00000000" w:rsidDel="00000000" w:rsidP="00000000" w:rsidRDefault="00000000" w:rsidRPr="00000000" w14:paraId="00000029">
      <w:pPr>
        <w:rPr>
          <w:i w:val="1"/>
          <w:iCs w:val="1"/>
        </w:rPr>
      </w:pPr>
      <w:r w:rsidDel="00000000" w:rsidR="00000000" w:rsidRPr="00000000">
        <w:rPr>
          <w:i w:val="1"/>
          <w:iCs w:val="1"/>
          <w:rtl w:val="0"/>
        </w:rPr>
        <w:t xml:space="preserve">Derived from "Infrastructure as Code" concepts and K12 Deployment decisions 2, 4.</w:t>
      </w:r>
    </w:p>
    <w:p w:rsidR="00000000" w:rsidDel="00000000" w:rsidP="00000000" w:rsidRDefault="00000000" w:rsidRPr="00000000" w14:paraId="0000002A">
      <w:pPr>
        <w:rPr/>
      </w:pPr>
      <w:r w:rsidDel="00000000" w:rsidR="00000000" w:rsidRPr="00000000">
        <w:rPr>
          <w:b w:val="1"/>
          <w:bCs w:val="1"/>
          <w:rtl w:val="0"/>
        </w:rPr>
        <w:t xml:space="preserve">Title:</w:t>
      </w:r>
      <w:r w:rsidDel="00000000" w:rsidR="00000000" w:rsidRPr="00000000">
        <w:rPr>
          <w:rtl w:val="0"/>
        </w:rPr>
        <w:t xml:space="preserve"> Immutable Infrastructure via Terraform</w:t>
      </w:r>
    </w:p>
    <w:p w:rsidR="00000000" w:rsidDel="00000000" w:rsidP="00000000" w:rsidRDefault="00000000" w:rsidRPr="00000000" w14:paraId="0000002B">
      <w:pPr>
        <w:rPr/>
      </w:pPr>
      <w:r w:rsidDel="00000000" w:rsidR="00000000" w:rsidRPr="00000000">
        <w:rPr>
          <w:b w:val="1"/>
          <w:bCs w:val="1"/>
          <w:rtl w:val="0"/>
        </w:rPr>
        <w:t xml:space="preserve">Context</w:t>
      </w:r>
      <w:r w:rsidDel="00000000" w:rsidR="00000000" w:rsidRPr="00000000">
        <w:rPr>
          <w:rtl w:val="0"/>
        </w:rPr>
        <w:t xml:space="preserve">Manual configuration of cloud resources leads to "configuration drift," where staging and production environments slowly diverge, causing deployment failures. We need a way to provision the K12 Azure resources (ACA, SQL, Service Bus) consistently.</w:t>
      </w:r>
    </w:p>
    <w:p w:rsidR="00000000" w:rsidDel="00000000" w:rsidP="00000000" w:rsidRDefault="00000000" w:rsidRPr="00000000" w14:paraId="0000002C">
      <w:pPr>
        <w:rPr>
          <w:b w:val="1"/>
          <w:bCs w:val="1"/>
        </w:rPr>
      </w:pPr>
      <w:r w:rsidDel="00000000" w:rsidR="00000000" w:rsidRPr="00000000">
        <w:rPr>
          <w:b w:val="1"/>
          <w:bCs w:val="1"/>
          <w:rtl w:val="0"/>
        </w:rPr>
        <w:t xml:space="preserve">Decision</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Tooling:</w:t>
      </w:r>
      <w:r w:rsidDel="00000000" w:rsidR="00000000" w:rsidRPr="00000000">
        <w:rPr>
          <w:rtl w:val="0"/>
        </w:rPr>
        <w:t xml:space="preserve"> Adopt </w:t>
      </w:r>
      <w:r w:rsidDel="00000000" w:rsidR="00000000" w:rsidRPr="00000000">
        <w:rPr>
          <w:b w:val="1"/>
          <w:bCs w:val="1"/>
          <w:rtl w:val="0"/>
        </w:rPr>
        <w:t xml:space="preserve">Terraform</w:t>
      </w:r>
      <w:r w:rsidDel="00000000" w:rsidR="00000000" w:rsidRPr="00000000">
        <w:rPr>
          <w:rtl w:val="0"/>
        </w:rPr>
        <w:t xml:space="preserve"> over Azure Portal/CLI. All infrastructure changes must be committed to git as code (.tf files) 2.</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State Management:</w:t>
      </w:r>
      <w:r w:rsidDel="00000000" w:rsidR="00000000" w:rsidRPr="00000000">
        <w:rPr>
          <w:rtl w:val="0"/>
        </w:rPr>
        <w:t xml:space="preserve"> Terraform state will be stored remotely in Azure Storage with locking enabled to prevent concurrent modification.</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Module Strategy:</w:t>
      </w:r>
      <w:r w:rsidDel="00000000" w:rsidR="00000000" w:rsidRPr="00000000">
        <w:rPr>
          <w:rtl w:val="0"/>
        </w:rPr>
        <w:t xml:space="preserve"> We will create reusable modules for core patterns:</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modules/k12-web-app (Static Web App configuration)</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modules/k12-api (Azure Functions/Container Apps configuration) 2</w:t>
      </w:r>
    </w:p>
    <w:p w:rsidR="00000000" w:rsidDel="00000000" w:rsidP="00000000" w:rsidRDefault="00000000" w:rsidRPr="00000000" w14:paraId="00000032">
      <w:pPr>
        <w:rPr>
          <w:b w:val="1"/>
          <w:bCs w:val="1"/>
        </w:rPr>
      </w:pPr>
      <w:r w:rsidDel="00000000" w:rsidR="00000000" w:rsidRPr="00000000">
        <w:rPr>
          <w:b w:val="1"/>
          <w:bCs w:val="1"/>
          <w:rtl w:val="0"/>
        </w:rPr>
        <w:t xml:space="preserve">Consequences</w:t>
      </w:r>
    </w:p>
    <w:p w:rsidR="00000000" w:rsidDel="00000000" w:rsidP="00000000" w:rsidRDefault="00000000" w:rsidRPr="00000000" w14:paraId="00000033">
      <w:pPr>
        <w:numPr>
          <w:ilvl w:val="0"/>
          <w:numId w:val="2"/>
        </w:numPr>
        <w:ind w:left="720" w:hanging="360"/>
        <w:rPr>
          <w:u w:val="none"/>
        </w:rPr>
      </w:pPr>
      <w:r w:rsidDel="00000000" w:rsidR="00000000" w:rsidRPr="00000000">
        <w:rPr>
          <w:b w:val="1"/>
          <w:bCs w:val="1"/>
          <w:rtl w:val="0"/>
        </w:rPr>
        <w:t xml:space="preserve">Pros:</w:t>
      </w:r>
      <w:r w:rsidDel="00000000" w:rsidR="00000000" w:rsidRPr="00000000">
        <w:rPr>
          <w:rtl w:val="0"/>
        </w:rPr>
        <w:t xml:space="preserve"> Environments can be torn down and rebuilt in minutes (Disaster Recovery). Audit trails exist for every infrastructure change via Git history.</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Cons:</w:t>
      </w:r>
      <w:r w:rsidDel="00000000" w:rsidR="00000000" w:rsidRPr="00000000">
        <w:rPr>
          <w:rtl w:val="0"/>
        </w:rPr>
        <w:t xml:space="preserve"> Requires team upskilling in HashiCorp Configuration Language (HCL).</w:t>
      </w:r>
    </w:p>
    <w:p w:rsidR="00000000" w:rsidDel="00000000" w:rsidP="00000000" w:rsidRDefault="00000000" w:rsidRPr="00000000" w14:paraId="00000035">
      <w:pPr>
        <w:rPr>
          <w:b w:val="1"/>
          <w:bCs w:val="1"/>
        </w:rPr>
      </w:pPr>
      <w:r w:rsidDel="00000000" w:rsidR="00000000" w:rsidRPr="00000000">
        <w:rPr>
          <w:b w:val="1"/>
          <w:bCs w:val="1"/>
          <w:rtl w:val="0"/>
        </w:rPr>
        <w:t xml:space="preserve">Step 4 is complete.</w:t>
      </w:r>
    </w:p>
    <w:p w:rsidR="00000000" w:rsidDel="00000000" w:rsidP="00000000" w:rsidRDefault="00000000" w:rsidRPr="00000000" w14:paraId="00000036">
      <w:pPr>
        <w:rPr/>
      </w:pPr>
      <w:r w:rsidDel="00000000" w:rsidR="00000000" w:rsidRPr="00000000">
        <w:rPr>
          <w:rtl w:val="0"/>
        </w:rPr>
        <w:t xml:space="preserve">We have defined the Compute, Data, Communication, and now the Deployment mechanisms.</w:t>
      </w:r>
    </w:p>
    <w:p w:rsidR="00000000" w:rsidDel="00000000" w:rsidP="00000000" w:rsidRDefault="00000000" w:rsidRPr="00000000" w14:paraId="00000037">
      <w:pPr>
        <w:rPr/>
      </w:pPr>
      <w:r w:rsidDel="00000000" w:rsidR="00000000" w:rsidRPr="00000000">
        <w:rPr>
          <w:rtl w:val="0"/>
        </w:rPr>
        <w:t xml:space="preserve">The final piece of the puzzle is </w:t>
      </w:r>
      <w:r w:rsidDel="00000000" w:rsidR="00000000" w:rsidRPr="00000000">
        <w:rPr>
          <w:b w:val="1"/>
          <w:bCs w:val="1"/>
          <w:rtl w:val="0"/>
        </w:rPr>
        <w:t xml:space="preserve">Step 5: Resiliency &amp; Observability</w:t>
      </w:r>
      <w:r w:rsidDel="00000000" w:rsidR="00000000" w:rsidRPr="00000000">
        <w:rPr>
          <w:rtl w:val="0"/>
        </w:rPr>
        <w:t xml:space="preserve">. This covers how you keep the system running (Health Checks) and how you know when it breaks (Logging/Monitoring).</w:t>
      </w:r>
    </w:p>
    <w:p w:rsidR="00000000" w:rsidDel="00000000" w:rsidP="00000000" w:rsidRDefault="00000000" w:rsidRPr="00000000" w14:paraId="00000038">
      <w:pPr>
        <w:rPr>
          <w:b w:val="1"/>
          <w:bCs w:val="1"/>
        </w:rPr>
      </w:pPr>
      <w:r w:rsidDel="00000000" w:rsidR="00000000" w:rsidRPr="00000000">
        <w:rPr>
          <w:b w:val="1"/>
          <w:bCs w:val="1"/>
          <w:rtl w:val="0"/>
        </w:rPr>
        <w:t xml:space="preserve">Ready to finish up with Step 5?</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