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C4Container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 Container Diagram - K12 Cloud-Native Architecture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Person(parent, "Parent/Guardian", "Applies for ESA+/Opportunity Scholarships")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System_Boundary(azure_env, "Azure Container Apps Environment (ACA)")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Container(frontend, "Web Portals", "Angular/Node", "Serves Household &amp; School apps")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Container(api_gateway, "K12 Core API", ".NET 8/9", "Business logic &amp; Validation")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Container(dapr, "Dapr Sidecar", "Dapr", "Handles Pub/Sub &amp; State Mgmt abstraction")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Container(dab, "Data API Builder", "DAB", "Auto-generated GraphQL endpoints")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ContainerDb(redis, "State Store", "Azure Cache for Redis", "Session state &amp; Caching")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System_Boundary(data_layer, "Data Layer")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ContainerDb(sql, "System of Record", "Azure SQL", "Transactional Data")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ContainerDb(bus, "Message Broker", "Azure Service Bus", "Async Event Topics")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System_Ext(rds, "RDS", "Residency Determination Service")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Rel(parent, frontend, "Uses", "HTTPS")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Rel(frontend, api_gateway, "Submits Data", "JSON/HTTPS")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Rel(api_gateway, dapr, "Publishes Events", "gRPC")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Rel(dapr, bus, " Pushes Messages", "Topics")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Rel(dapr, redis, "Caches Data", "Dapr State API")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Rel(api_gateway, sql, "Writes Data", "EF Core")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Rel(bus, rds, "Triggers Verification", "Async Subscription")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