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tblpX="10214" w:tblpY="-6415"/>
        <w:tblOverlap w:val="never"/>
        <w:tblW w:w="867" w:type="dxa"/>
        <w:tblInd w:w="0" w:type="dxa"/>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CellMar>
          <w:top w:w="0" w:type="dxa"/>
          <w:left w:w="108" w:type="dxa"/>
          <w:bottom w:w="0" w:type="dxa"/>
          <w:right w:w="108" w:type="dxa"/>
        </w:tblCellMar>
      </w:tblPr>
      <w:tblGrid>
        <w:gridCol w:w="867"/>
      </w:tblGrid>
      <w:tr>
        <w:tblPrEx>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CellMar>
            <w:top w:w="0" w:type="dxa"/>
            <w:left w:w="108" w:type="dxa"/>
            <w:bottom w:w="0" w:type="dxa"/>
            <w:right w:w="108" w:type="dxa"/>
          </w:tblCellMar>
        </w:tblPrEx>
        <w:trPr>
          <w:trHeight w:val="30" w:hRule="atLeast"/>
        </w:trPr>
        <w:tc>
          <w:tcPr>
            <w:tcW w:w="867" w:type="dxa"/>
          </w:tcPr>
          <w:p>
            <w:pPr>
              <w:widowControl w:val="0"/>
              <w:jc w:val="both"/>
              <w:rPr>
                <w:b w:val="0"/>
                <w:bCs w:val="0"/>
                <w:color w:val="0000FF"/>
                <w:vertAlign w:val="baseline"/>
              </w:rPr>
            </w:pPr>
          </w:p>
        </w:tc>
      </w:tr>
    </w:tbl>
    <w:tbl>
      <w:tblPr>
        <w:tblStyle w:val="4"/>
        <w:tblpPr w:leftFromText="180" w:rightFromText="180" w:vertAnchor="text" w:horzAnchor="page" w:tblpX="1987" w:tblpY="362"/>
        <w:tblOverlap w:val="never"/>
        <w:tblW w:w="830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
      <w:tblGrid>
        <w:gridCol w:w="1270"/>
        <w:gridCol w:w="3164"/>
        <w:gridCol w:w="1165"/>
        <w:gridCol w:w="271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产品名称</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连云港祥云投资有限公司01收益权计划 </w:t>
            </w:r>
          </w:p>
        </w:tc>
        <w:tc>
          <w:tcPr>
            <w:tcW w:w="1165" w:type="dxa"/>
            <w:tcBorders>
              <w:tl2br w:val="nil"/>
              <w:tr2bl w:val="nil"/>
            </w:tcBorders>
            <w:shd w:val="clear" w:color="auto" w:fill="C55911" w:themeFill="accent2" w:themeFillShade="BF"/>
            <w:vAlign w:val="center"/>
          </w:tcPr>
          <w:p>
            <w:pPr>
              <w:widowControl w:val="0"/>
              <w:jc w:val="both"/>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融资主体</w:t>
            </w:r>
          </w:p>
        </w:tc>
        <w:tc>
          <w:tcPr>
            <w:tcW w:w="2710"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hint="default"/>
                <w:b w:val="0"/>
                <w:bCs w:val="0"/>
                <w:color w:val="000000" w:themeColor="text1"/>
                <w:sz w:val="16"/>
                <w:szCs w:val="16"/>
                <w:vertAlign w:val="baseline"/>
                <w:lang w:val="en"/>
                <w14:textFill>
                  <w14:solidFill>
                    <w14:schemeClr w14:val="tx1"/>
                  </w14:solidFill>
                </w14:textFill>
              </w:rPr>
              <w:t>连云港祥云投资有限公司</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产品期限</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12个月</w:t>
            </w:r>
          </w:p>
        </w:tc>
        <w:tc>
          <w:tcPr>
            <w:tcW w:w="1165" w:type="dxa"/>
            <w:tcBorders>
              <w:tl2br w:val="nil"/>
              <w:tr2bl w:val="nil"/>
            </w:tcBorders>
            <w:shd w:val="clear" w:color="auto" w:fill="C55911" w:themeFill="accent2" w:themeFillShade="BF"/>
            <w:vAlign w:val="center"/>
          </w:tcPr>
          <w:p>
            <w:pPr>
              <w:widowControl w:val="0"/>
              <w:jc w:val="both"/>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付息方式</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半年付息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投资领域</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基础设施</w:t>
            </w:r>
          </w:p>
        </w:tc>
        <w:tc>
          <w:tcPr>
            <w:tcW w:w="1165" w:type="dxa"/>
            <w:tcBorders>
              <w:tl2br w:val="nil"/>
              <w:tr2bl w:val="nil"/>
            </w:tcBorders>
            <w:shd w:val="clear" w:color="auto" w:fill="C55911" w:themeFill="accent2" w:themeFillShade="BF"/>
            <w:vAlign w:val="center"/>
          </w:tcPr>
          <w:p>
            <w:pPr>
              <w:widowControl w:val="0"/>
              <w:jc w:val="both"/>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募集规模</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亿元</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抵押资产</w:t>
            </w:r>
          </w:p>
        </w:tc>
        <w:tc>
          <w:tcPr>
            <w:tcW w:w="3164"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ascii="SimSun" w:hAnsi="SimSun" w:eastAsia="SimSun" w:cs="SimSun"/>
                <w:b w:val="0"/>
                <w:bCs w:val="0"/>
                <w:color w:val="000000" w:themeColor="text1"/>
                <w:kern w:val="0"/>
                <w:sz w:val="16"/>
                <w:szCs w:val="16"/>
                <w:lang w:val="en" w:eastAsia="zh-CN" w:bidi="ar"/>
                <w14:textFill>
                  <w14:solidFill>
                    <w14:schemeClr w14:val="tx1"/>
                  </w14:solidFill>
                </w14:textFill>
              </w:rPr>
              <w:t>无抵押</w:t>
            </w:r>
          </w:p>
        </w:tc>
        <w:tc>
          <w:tcPr>
            <w:tcW w:w="1165" w:type="dxa"/>
            <w:tcBorders>
              <w:tl2br w:val="nil"/>
              <w:tr2bl w:val="nil"/>
            </w:tcBorders>
            <w:shd w:val="clear" w:color="auto" w:fill="C55911" w:themeFill="accent2" w:themeFillShade="BF"/>
            <w:vAlign w:val="center"/>
          </w:tcPr>
          <w:p>
            <w:pPr>
              <w:widowControl w:val="0"/>
              <w:jc w:val="both"/>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投资区域</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江苏省,连云港市 </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06"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资金用途</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二井沟棚户区改造安置小区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24"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募集账号</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【账户名】连云港祥云投资有限公司</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【账 号】 20010078801400000990</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【开户行】浦发银行连云港分行</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【备 注】XX认购连云港祥云XX万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业绩基准</w:t>
            </w:r>
          </w:p>
        </w:tc>
        <w:tc>
          <w:tcPr>
            <w:tcW w:w="7039" w:type="dxa"/>
            <w:gridSpan w:val="3"/>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10万 </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8.8%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5</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0</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风控措施</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连云港卓途实业有限公司（灌云县经济开发区管委会全资控股）将对本期产品的投资本金及约定收益提供全额的无条件的不可撤销连带责任担保。</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发行人连云港祥云投资有限公司将为本产品出具确认方为灌云经济开发区管委会规模为5800万元的应收账款作为增信措施（目前工程竣工验收报告已完成），当发行人与担保人无法履约时，可处置质押物作为偿付本息的保障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1267"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项目亮点</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市是江苏省下辖地级市，位于江苏省东北部，东临黄海，西与山东省临沂市，江苏省徐州市宿迁市毗邻，南与江苏省淮安市、盐城市相连，北与山东省日照市接壤。截至2017年末，连云港下辖三区（海州区、连云区、赣榆区），三县（灌南县、东海县、灌云县），总面积7614平方公里，常驻人口451.84万。</w:t>
            </w:r>
            <w:bookmarkStart w:id="0" w:name="_GoBack"/>
            <w:bookmarkEnd w:id="0"/>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7A43"/>
    <w:rsid w:val="3BFF7A43"/>
    <w:rsid w:val="3CFBC8FD"/>
    <w:rsid w:val="5FDF0663"/>
    <w:rsid w:val="7D0FA89D"/>
    <w:rsid w:val="9D4B5CFF"/>
    <w:rsid w:val="B1DAD905"/>
    <w:rsid w:val="BA7B23C6"/>
    <w:rsid w:val="EBFFB7F6"/>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380</Words>
  <Characters>423</Characters>
  <Lines>0</Lines>
  <Paragraphs>0</Paragraphs>
  <TotalTime>1</TotalTime>
  <ScaleCrop>false</ScaleCrop>
  <LinksUpToDate>false</LinksUpToDate>
  <CharactersWithSpaces>439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2020-02-18T13:16:00Z</dcterms:created>
  <dc:creator>tfyzft</dc:creator>
  <cp:lastModifiedBy>tfyzft</cp:lastModifiedBy>
  <dcterms:modified xsi:type="dcterms:W3CDTF">2020-02-17T22:34:53Z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