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text" w:tblpX="10214" w:tblpY="-6415"/>
        <w:tblOverlap w:val="never"/>
        <w:tblW w:w="867" w:type="dxa"/>
        <w:tblInd w:w="0" w:type="dxa"/>
        <w:tblBorders>
          <w:top w:val="double" w:color="auto" w:sz="6" w:space="0"/>
          <w:left w:val="double" w:color="auto" w:sz="6" w:space="0"/>
          <w:bottom w:val="double" w:color="auto" w:sz="6" w:space="0"/>
          <w:right w:val="double" w:color="auto" w:sz="6" w:space="0"/>
          <w:insideH w:val="double" w:color="auto" w:sz="6" w:space="0"/>
          <w:insideV w:val="double" w:color="auto" w:sz="6" w:space="0"/>
        </w:tblBorders>
        <w:tblLayout w:type="fixed"/>
        <w:tblCellMar>
          <w:top w:w="0" w:type="dxa"/>
          <w:left w:w="108" w:type="dxa"/>
          <w:bottom w:w="0" w:type="dxa"/>
          <w:right w:w="108" w:type="dxa"/>
        </w:tblCellMar>
      </w:tblPr>
      <w:tblGrid>
        <w:gridCol w:w="867"/>
      </w:tblGrid>
      <w:tr>
        <w:tblPrEx>
          <w:tblBorders>
            <w:top w:val="double" w:color="auto" w:sz="6" w:space="0"/>
            <w:left w:val="double" w:color="auto" w:sz="6" w:space="0"/>
            <w:bottom w:val="double" w:color="auto" w:sz="6" w:space="0"/>
            <w:right w:val="double" w:color="auto" w:sz="6" w:space="0"/>
            <w:insideH w:val="double" w:color="auto" w:sz="6" w:space="0"/>
            <w:insideV w:val="double" w:color="auto" w:sz="6" w:space="0"/>
          </w:tblBorders>
          <w:tblLayout w:type="fixed"/>
        </w:tblPrEx>
        <w:trPr>
          <w:trHeight w:val="30" w:hRule="atLeast"/>
        </w:trPr>
        <w:tc>
          <w:tcPr>
            <w:tcW w:w="867" w:type="dxa"/>
          </w:tcPr>
          <w:p>
            <w:pPr>
              <w:widowControl w:val="0"/>
              <w:jc w:val="both"/>
              <w:rPr>
                <w:b w:val="0"/>
                <w:bCs w:val="0"/>
                <w:color w:val="0000FF"/>
                <w:vertAlign w:val="baseline"/>
              </w:rPr>
            </w:pPr>
          </w:p>
        </w:tc>
      </w:tr>
    </w:tbl>
    <w:tbl>
      <w:tblPr>
        <w:tblStyle w:val="4"/>
        <w:tblpPr w:leftFromText="180" w:rightFromText="180" w:vertAnchor="text" w:horzAnchor="page" w:tblpX="1987" w:tblpY="362"/>
        <w:tblOverlap w:val="never"/>
        <w:tblW w:w="8309" w:type="dxa"/>
        <w:jc w:val="center"/>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
      <w:tblGrid>
        <w:gridCol w:w="1270"/>
        <w:gridCol w:w="3164"/>
        <w:gridCol w:w="1165"/>
        <w:gridCol w:w="271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bookmarkStart w:id="0" w:name="_GoBack" w:colFirst="2" w:colLast="2"/>
            <w:r>
              <w:rPr>
                <w:rFonts w:hint="default"/>
                <w:b/>
                <w:bCs/>
                <w:color w:val="auto"/>
                <w:sz w:val="16"/>
                <w:szCs w:val="16"/>
                <w:highlight w:val="none"/>
                <w:shd w:val="clear" w:color="auto" w:fill="auto"/>
                <w:vertAlign w:val="baseline"/>
              </w:rPr>
              <w:t>产品名称</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b w:val="0"/>
                <w:bCs w:val="0"/>
                <w:color w:val="000000" w:themeColor="text1"/>
                <w:sz w:val="16"/>
                <w:szCs w:val="16"/>
                <w:vertAlign w:val="baseline"/>
                <w14:textFill>
                  <w14:solidFill>
                    <w14:schemeClr w14:val="tx1"/>
                  </w14:solidFill>
                </w14:textFill>
              </w:rPr>
              <w:t xml:space="preserve">连云港祥云投资有限公司01收益权计划 </w:t>
            </w:r>
          </w:p>
        </w:tc>
        <w:tc>
          <w:tcPr>
            <w:tcW w:w="1165" w:type="dxa"/>
            <w:tcBorders>
              <w:tl2br w:val="nil"/>
              <w:tr2bl w:val="nil"/>
            </w:tcBorders>
            <w:shd w:val="clear" w:color="auto" w:fill="C55911" w:themeFill="accent2" w:themeFillShade="BF"/>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融资主体</w:t>
            </w:r>
          </w:p>
        </w:tc>
        <w:tc>
          <w:tcPr>
            <w:tcW w:w="2710" w:type="dxa"/>
            <w:tcBorders>
              <w:tl2br w:val="nil"/>
              <w:tr2bl w:val="nil"/>
            </w:tcBorders>
            <w:shd w:val="clear" w:color="auto" w:fill="FFFFFF"/>
            <w:vAlign w:val="center"/>
          </w:tcPr>
          <w:p>
            <w:pPr>
              <w:widowControl w:val="0"/>
              <w:jc w:val="both"/>
              <w:rPr>
                <w:rFonts w:hint="default"/>
                <w:b w:val="0"/>
                <w:bCs w:val="0"/>
                <w:color w:val="000000" w:themeColor="text1"/>
                <w:sz w:val="16"/>
                <w:szCs w:val="16"/>
                <w:vertAlign w:val="baseline"/>
                <w:lang w:val="en"/>
                <w14:textFill>
                  <w14:solidFill>
                    <w14:schemeClr w14:val="tx1"/>
                  </w14:solidFill>
                </w14:textFill>
              </w:rPr>
            </w:pPr>
            <w:r>
              <w:rPr>
                <w:rFonts w:hint="default"/>
                <w:b w:val="0"/>
                <w:bCs w:val="0"/>
                <w:color w:val="000000" w:themeColor="text1"/>
                <w:sz w:val="16"/>
                <w:szCs w:val="16"/>
                <w:vertAlign w:val="baseline"/>
                <w:lang w:val="en"/>
                <w14:textFill>
                  <w14:solidFill>
                    <w14:schemeClr w14:val="tx1"/>
                  </w14:solidFill>
                </w14:textFill>
              </w:rPr>
              <w:t>连云港祥云投资有限公司</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产品期限</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12个月</w:t>
            </w:r>
          </w:p>
        </w:tc>
        <w:tc>
          <w:tcPr>
            <w:tcW w:w="1165" w:type="dxa"/>
            <w:tcBorders>
              <w:tl2br w:val="nil"/>
              <w:tr2bl w:val="nil"/>
            </w:tcBorders>
            <w:shd w:val="clear" w:color="auto" w:fill="C55911" w:themeFill="accent2" w:themeFillShade="BF"/>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付息方式</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半年付息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投资领域</w:t>
            </w:r>
          </w:p>
        </w:tc>
        <w:tc>
          <w:tcPr>
            <w:tcW w:w="3164"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基础设施</w:t>
            </w:r>
          </w:p>
        </w:tc>
        <w:tc>
          <w:tcPr>
            <w:tcW w:w="1165" w:type="dxa"/>
            <w:tcBorders>
              <w:tl2br w:val="nil"/>
              <w:tr2bl w:val="nil"/>
            </w:tcBorders>
            <w:shd w:val="clear" w:color="auto" w:fill="C55911" w:themeFill="accent2" w:themeFillShade="BF"/>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募集规模</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2</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亿元</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抵押资产</w:t>
            </w:r>
          </w:p>
        </w:tc>
        <w:tc>
          <w:tcPr>
            <w:tcW w:w="3164" w:type="dxa"/>
            <w:tcBorders>
              <w:tl2br w:val="nil"/>
              <w:tr2bl w:val="nil"/>
            </w:tcBorders>
            <w:shd w:val="clear" w:color="auto" w:fill="FFFFFF"/>
            <w:vAlign w:val="center"/>
          </w:tcPr>
          <w:p>
            <w:pPr>
              <w:widowControl w:val="0"/>
              <w:jc w:val="both"/>
              <w:rPr>
                <w:rFonts w:hint="default"/>
                <w:b w:val="0"/>
                <w:bCs w:val="0"/>
                <w:color w:val="000000" w:themeColor="text1"/>
                <w:sz w:val="16"/>
                <w:szCs w:val="16"/>
                <w:vertAlign w:val="baseline"/>
                <w:lang w:val="en"/>
                <w14:textFill>
                  <w14:solidFill>
                    <w14:schemeClr w14:val="tx1"/>
                  </w14:solidFill>
                </w14:textFill>
              </w:rPr>
            </w:pPr>
            <w:r>
              <w:rPr>
                <w:rFonts w:ascii="SimSun" w:hAnsi="SimSun" w:eastAsia="SimSun" w:cs="SimSun"/>
                <w:b w:val="0"/>
                <w:bCs w:val="0"/>
                <w:color w:val="000000" w:themeColor="text1"/>
                <w:kern w:val="0"/>
                <w:sz w:val="16"/>
                <w:szCs w:val="16"/>
                <w:lang w:val="en" w:eastAsia="zh-CN" w:bidi="ar"/>
                <w14:textFill>
                  <w14:solidFill>
                    <w14:schemeClr w14:val="tx1"/>
                  </w14:solidFill>
                </w14:textFill>
              </w:rPr>
              <w:t>无抵押</w:t>
            </w:r>
          </w:p>
        </w:tc>
        <w:tc>
          <w:tcPr>
            <w:tcW w:w="1165" w:type="dxa"/>
            <w:tcBorders>
              <w:tl2br w:val="nil"/>
              <w:tr2bl w:val="nil"/>
            </w:tcBorders>
            <w:shd w:val="clear" w:color="auto" w:fill="C55911" w:themeFill="accent2" w:themeFillShade="BF"/>
            <w:vAlign w:val="center"/>
          </w:tcPr>
          <w:p>
            <w:pPr>
              <w:widowControl w:val="0"/>
              <w:jc w:val="center"/>
              <w:rPr>
                <w:b/>
                <w:bCs/>
                <w:color w:val="000000" w:themeColor="text1"/>
                <w:sz w:val="16"/>
                <w:szCs w:val="16"/>
                <w:vertAlign w:val="baseline"/>
                <w14:textFill>
                  <w14:solidFill>
                    <w14:schemeClr w14:val="tx1"/>
                  </w14:solidFill>
                </w14:textFill>
              </w:rPr>
            </w:pPr>
            <w:r>
              <w:rPr>
                <w:rFonts w:hint="default"/>
                <w:b/>
                <w:bCs/>
                <w:color w:val="000000" w:themeColor="text1"/>
                <w:sz w:val="16"/>
                <w:szCs w:val="16"/>
                <w:vertAlign w:val="baseline"/>
                <w14:textFill>
                  <w14:solidFill>
                    <w14:schemeClr w14:val="tx1"/>
                  </w14:solidFill>
                </w14:textFill>
              </w:rPr>
              <w:t>投资区域</w:t>
            </w:r>
          </w:p>
        </w:tc>
        <w:tc>
          <w:tcPr>
            <w:tcW w:w="2710" w:type="dxa"/>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hint="default"/>
                <w:b w:val="0"/>
                <w:bCs w:val="0"/>
                <w:color w:val="000000" w:themeColor="text1"/>
                <w:sz w:val="16"/>
                <w:szCs w:val="16"/>
                <w:vertAlign w:val="baseline"/>
                <w14:textFill>
                  <w14:solidFill>
                    <w14:schemeClr w14:val="tx1"/>
                  </w14:solidFill>
                </w14:textFill>
              </w:rPr>
              <w:t xml:space="preserve">江苏省,连云港市 </w:t>
            </w:r>
          </w:p>
        </w:tc>
      </w:tr>
      <w:bookmarkEnd w:id="0"/>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06"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资金用途</w:t>
            </w:r>
          </w:p>
        </w:tc>
        <w:tc>
          <w:tcPr>
            <w:tcW w:w="7039" w:type="dxa"/>
            <w:gridSpan w:val="3"/>
            <w:tcBorders>
              <w:tl2br w:val="nil"/>
              <w:tr2bl w:val="nil"/>
            </w:tcBorders>
            <w:shd w:val="clear" w:color="auto" w:fill="FFFFFF"/>
            <w:vAlign w:val="center"/>
          </w:tcPr>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二井沟棚户区改造安置小区</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24"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募集账号</w:t>
            </w:r>
          </w:p>
        </w:tc>
        <w:tc>
          <w:tcPr>
            <w:tcW w:w="7039" w:type="dxa"/>
            <w:gridSpan w:val="3"/>
            <w:tcBorders>
              <w:tl2br w:val="nil"/>
              <w:tr2bl w:val="nil"/>
            </w:tcBorders>
            <w:shd w:val="clear" w:color="auto" w:fill="FFFFFF"/>
            <w:vAlign w:val="center"/>
          </w:tcPr>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【账户名】连云港祥云投资有限公司</w:t>
            </w:r>
          </w:p>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【账 号】 20010078801400000990</w:t>
            </w:r>
          </w:p>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【开户行】浦发银行连云港分行</w:t>
            </w:r>
          </w:p>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【备 注】XX认购连云港祥云XX万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业绩基准</w:t>
            </w:r>
          </w:p>
        </w:tc>
        <w:tc>
          <w:tcPr>
            <w:tcW w:w="7039" w:type="dxa"/>
            <w:gridSpan w:val="3"/>
            <w:tcBorders>
              <w:tl2br w:val="nil"/>
              <w:tr2bl w:val="nil"/>
            </w:tcBorders>
            <w:shd w:val="clear" w:color="auto" w:fill="FFFFFF"/>
            <w:vAlign w:val="center"/>
          </w:tcPr>
          <w:p>
            <w:pPr>
              <w:widowControl w:val="0"/>
              <w:jc w:val="both"/>
              <w:rPr>
                <w:b w:val="0"/>
                <w:bCs w:val="0"/>
                <w:color w:val="000000" w:themeColor="text1"/>
                <w:sz w:val="16"/>
                <w:szCs w:val="16"/>
                <w:vertAlign w:val="baseline"/>
                <w14:textFill>
                  <w14:solidFill>
                    <w14:schemeClr w14:val="tx1"/>
                  </w14:solidFill>
                </w14:textFill>
              </w:rPr>
            </w:pP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10万 </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8.8%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br w:type="textWrapping"/>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5</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0万</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9.</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0</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br w:type="textWrapping"/>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1</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00万</w:t>
            </w:r>
            <w:r>
              <w:rPr>
                <w:rFonts w:hint="default" w:ascii="SimSun" w:hAnsi="SimSun" w:eastAsia="SimSun" w:cs="SimSun"/>
                <w:b w:val="0"/>
                <w:bCs w:val="0"/>
                <w:color w:val="000000" w:themeColor="text1"/>
                <w:kern w:val="0"/>
                <w:sz w:val="16"/>
                <w:szCs w:val="16"/>
                <w:lang w:val="en" w:eastAsia="zh-CN" w:bidi="ar"/>
                <w14:textFill>
                  <w14:solidFill>
                    <w14:schemeClr w14:val="tx1"/>
                  </w14:solidFill>
                </w14:textFill>
              </w:rPr>
              <w:t xml:space="preserve">       </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9.6%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PrEx>
        <w:trPr>
          <w:trHeight w:val="432"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风控措施</w:t>
            </w:r>
          </w:p>
        </w:tc>
        <w:tc>
          <w:tcPr>
            <w:tcW w:w="7039" w:type="dxa"/>
            <w:gridSpan w:val="3"/>
            <w:tcBorders>
              <w:tl2br w:val="nil"/>
              <w:tr2bl w:val="nil"/>
            </w:tcBorders>
            <w:shd w:val="clear" w:color="auto" w:fill="FFFFFF"/>
            <w:vAlign w:val="center"/>
          </w:tcPr>
          <w:p>
            <w:pPr>
              <w:widowControl w:val="0"/>
              <w:jc w:val="both"/>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1</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连云港卓途实业有限公司（灌云县经济开发区管委会全资控股）将对本期产品的投资本金及约定收益提供全额的无条件的不可撤销连带责任担保。</w:t>
            </w:r>
          </w:p>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2</w:t>
            </w:r>
            <w:r>
              <w:rPr>
                <w:rFonts w:ascii="SimSun" w:hAnsi="SimSun" w:eastAsia="SimSun" w:cs="SimSun"/>
                <w:b w:val="0"/>
                <w:bCs w:val="0"/>
                <w:color w:val="000000" w:themeColor="text1"/>
                <w:kern w:val="0"/>
                <w:sz w:val="16"/>
                <w:szCs w:val="16"/>
                <w:lang w:val="en-US" w:eastAsia="zh-CN" w:bidi="ar"/>
                <w14:textFill>
                  <w14:solidFill>
                    <w14:schemeClr w14:val="tx1"/>
                  </w14:solidFill>
                </w14:textFill>
              </w:rPr>
              <w:t>、</w:t>
            </w: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发行人连云港祥云投资有限公司将为本产品出具确认方为灌云经济开发区管委会规模为5800万元的应收账款作为增信措施（目前工程竣工验收报告已完成），当发行人与担保人无法履约时，可处置质押物作为偿付本息的保障措施。</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shd w:val="clear" w:color="auto" w:fill="000000"/>
          <w:tblLayout w:type="fixed"/>
          <w:tblCellMar>
            <w:top w:w="0" w:type="dxa"/>
            <w:left w:w="108" w:type="dxa"/>
            <w:bottom w:w="0" w:type="dxa"/>
            <w:right w:w="108" w:type="dxa"/>
          </w:tblCellMar>
        </w:tblPrEx>
        <w:trPr>
          <w:trHeight w:val="1267" w:hRule="atLeast"/>
          <w:jc w:val="center"/>
        </w:trPr>
        <w:tc>
          <w:tcPr>
            <w:tcW w:w="1270" w:type="dxa"/>
            <w:tcBorders>
              <w:tl2br w:val="nil"/>
              <w:tr2bl w:val="nil"/>
            </w:tcBorders>
            <w:shd w:val="clear" w:color="auto" w:fill="C55911" w:themeFill="accent2" w:themeFillShade="BF"/>
            <w:vAlign w:val="center"/>
          </w:tcPr>
          <w:p>
            <w:pPr>
              <w:widowControl w:val="0"/>
              <w:jc w:val="center"/>
              <w:rPr>
                <w:rFonts w:hint="default"/>
                <w:b/>
                <w:bCs/>
                <w:color w:val="auto"/>
                <w:sz w:val="16"/>
                <w:szCs w:val="16"/>
                <w:highlight w:val="none"/>
                <w:shd w:val="clear" w:color="auto" w:fill="auto"/>
                <w:vertAlign w:val="baseline"/>
              </w:rPr>
            </w:pPr>
            <w:r>
              <w:rPr>
                <w:rFonts w:hint="default"/>
                <w:b/>
                <w:bCs/>
                <w:color w:val="auto"/>
                <w:sz w:val="16"/>
                <w:szCs w:val="16"/>
                <w:highlight w:val="none"/>
                <w:shd w:val="clear" w:color="auto" w:fill="auto"/>
                <w:vertAlign w:val="baseline"/>
              </w:rPr>
              <w:t>项目亮点</w:t>
            </w:r>
          </w:p>
        </w:tc>
        <w:tc>
          <w:tcPr>
            <w:tcW w:w="7039" w:type="dxa"/>
            <w:gridSpan w:val="3"/>
            <w:tcBorders>
              <w:tl2br w:val="nil"/>
              <w:tr2bl w:val="nil"/>
            </w:tcBorders>
            <w:shd w:val="clear" w:color="auto" w:fill="FFFFFF"/>
            <w:vAlign w:val="center"/>
          </w:tcPr>
          <w:p>
            <w:pPr>
              <w:widowControl w:val="0"/>
              <w:jc w:val="both"/>
              <w:rPr>
                <w:rFonts w:ascii="SimSun" w:hAnsi="SimSun" w:eastAsia="SimSun" w:cs="SimSun"/>
                <w:b w:val="0"/>
                <w:bCs w:val="0"/>
                <w:color w:val="000000" w:themeColor="text1"/>
                <w:kern w:val="0"/>
                <w:sz w:val="16"/>
                <w:szCs w:val="16"/>
                <w:lang w:val="en-US" w:eastAsia="zh-CN" w:bidi="ar"/>
                <w14:textFill>
                  <w14:solidFill>
                    <w14:schemeClr w14:val="tx1"/>
                  </w14:solidFill>
                </w14:textFill>
              </w:rPr>
            </w:pPr>
            <w:r>
              <w:rPr>
                <w:rFonts w:hint="default" w:ascii="SimSun" w:hAnsi="SimSun" w:eastAsia="SimSun" w:cs="SimSun"/>
                <w:b w:val="0"/>
                <w:bCs w:val="0"/>
                <w:color w:val="000000" w:themeColor="text1"/>
                <w:kern w:val="0"/>
                <w:sz w:val="16"/>
                <w:szCs w:val="16"/>
                <w:lang w:val="en-US" w:eastAsia="zh-CN" w:bidi="ar"/>
                <w14:textFill>
                  <w14:solidFill>
                    <w14:schemeClr w14:val="tx1"/>
                  </w14:solidFill>
                </w14:textFill>
              </w:rPr>
              <w:t>连云港市是江苏省下辖地级市，位于江苏省东北部，东临黄海，西与山东省临沂市，江苏省徐州市宿迁市毗邻，南与江苏省淮安市、盐城市相连，北与山东省日照市接壤。截至2017年末，连云港下辖三区（海州区、连云区、赣榆区），三县（灌南县、东海县、灌云县），总面积7614平方公里，常驻人口451.84万。</w:t>
            </w:r>
          </w:p>
        </w:tc>
      </w:tr>
    </w:tbl>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aakar">
    <w:panose1 w:val="02000600040000000000"/>
    <w:charset w:val="00"/>
    <w:family w:val="auto"/>
    <w:pitch w:val="default"/>
    <w:sig w:usb0="80040001" w:usb1="00002000" w:usb2="00000000" w:usb3="00000000" w:csb0="20000000"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F7A43"/>
    <w:rsid w:val="3BFF7A43"/>
    <w:rsid w:val="3CFBC8FD"/>
    <w:rsid w:val="5FDF0663"/>
    <w:rsid w:val="7D0FA89D"/>
    <w:rsid w:val="9D4B5CFF"/>
    <w:rsid w:val="B1DAD905"/>
    <w:rsid w:val="BA7B23C6"/>
    <w:rsid w:val="EBFFB7F6"/>
    <w:rsid w:val="FBF6F80B"/>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380</Words>
  <Characters>423</Characters>
  <Lines>0</Lines>
  <Paragraphs>0</Paragraphs>
  <TotalTime>1</TotalTime>
  <ScaleCrop>false</ScaleCrop>
  <LinksUpToDate>false</LinksUpToDate>
  <CharactersWithSpaces>439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2020-02-18T21:16:00Z</dcterms:created>
  <dc:creator>tfyzft</dc:creator>
  <cp:lastModifiedBy>tfyzft</cp:lastModifiedBy>
  <dcterms:modified xsi:type="dcterms:W3CDTF">2020-02-18T00:20:42Z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