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tblpX="10214" w:tblpY="-6415"/>
        <w:tblOverlap w:val="never"/>
        <w:tblW w:w="867" w:type="dxa"/>
        <w:tblInd w:w="0" w:type="dxa"/>
        <w:tblBorders>
          <w:top w:val="double" w:color="auto" w:sz="6" w:space="0"/>
          <w:left w:val="double" w:color="auto" w:sz="6" w:space="0"/>
          <w:bottom w:val="double" w:color="auto" w:sz="6" w:space="0"/>
          <w:right w:val="double" w:color="auto" w:sz="6" w:space="0"/>
          <w:insideH w:val="double" w:color="auto" w:sz="6" w:space="0"/>
          <w:insideV w:val="double" w:color="auto" w:sz="6" w:space="0"/>
        </w:tblBorders>
        <w:tblLayout w:type="fixed"/>
        <w:tblCellMar>
          <w:top w:w="0" w:type="dxa"/>
          <w:left w:w="108" w:type="dxa"/>
          <w:bottom w:w="0" w:type="dxa"/>
          <w:right w:w="108" w:type="dxa"/>
        </w:tblCellMar>
      </w:tblPr>
      <w:tblGrid>
        <w:gridCol w:w="867"/>
      </w:tblGrid>
      <w:tr>
        <w:tblPrEx>
          <w:tblBorders>
            <w:top w:val="double" w:color="auto" w:sz="6" w:space="0"/>
            <w:left w:val="double" w:color="auto" w:sz="6" w:space="0"/>
            <w:bottom w:val="double" w:color="auto" w:sz="6" w:space="0"/>
            <w:right w:val="double" w:color="auto" w:sz="6" w:space="0"/>
            <w:insideH w:val="double" w:color="auto" w:sz="6" w:space="0"/>
            <w:insideV w:val="double" w:color="auto" w:sz="6" w:space="0"/>
          </w:tblBorders>
          <w:tblLayout w:type="fixed"/>
          <w:tblCellMar>
            <w:top w:w="0" w:type="dxa"/>
            <w:left w:w="108" w:type="dxa"/>
            <w:bottom w:w="0" w:type="dxa"/>
            <w:right w:w="108" w:type="dxa"/>
          </w:tblCellMar>
        </w:tblPrEx>
        <w:trPr>
          <w:trHeight w:val="30" w:hRule="atLeast"/>
        </w:trPr>
        <w:tc>
          <w:tcPr>
            <w:tcW w:w="867" w:type="dxa"/>
          </w:tcPr>
          <w:p>
            <w:pPr>
              <w:widowControl w:val="0"/>
              <w:jc w:val="both"/>
              <w:rPr>
                <w:b w:val="0"/>
                <w:bCs w:val="0"/>
                <w:color w:val="0000FF"/>
                <w:vertAlign w:val="baseline"/>
              </w:rPr>
            </w:pPr>
          </w:p>
        </w:tc>
      </w:tr>
    </w:tbl>
    <w:tbl>
      <w:tblPr>
        <w:tblStyle w:val="4"/>
        <w:tblpPr w:leftFromText="180" w:rightFromText="180" w:vertAnchor="text" w:horzAnchor="page" w:tblpX="114" w:tblpY="-6891"/>
        <w:tblOverlap w:val="never"/>
        <w:tblW w:w="830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
      <w:tblGrid>
        <w:gridCol w:w="1270"/>
        <w:gridCol w:w="3164"/>
        <w:gridCol w:w="1165"/>
        <w:gridCol w:w="271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PrEx>
        <w:trPr>
          <w:trHeight w:val="432" w:hRule="atLeast"/>
          <w:jc w:val="center"/>
        </w:trPr>
        <w:tc>
          <w:tcPr>
            <w:tcW w:w="1270" w:type="dxa"/>
            <w:tcBorders>
              <w:tl2br w:val="nil"/>
              <w:tr2bl w:val="nil"/>
            </w:tcBorders>
            <w:shd w:val="clear" w:color="auto" w:fill="5B9BD5" w:themeFill="accent1"/>
            <w:vAlign w:val="center"/>
          </w:tcPr>
          <w:p>
            <w:pPr>
              <w:widowControl w:val="0"/>
              <w:jc w:val="center"/>
              <w:rPr>
                <w:b/>
                <w:bCs/>
                <w:color w:val="auto"/>
                <w:sz w:val="16"/>
                <w:szCs w:val="16"/>
                <w:highlight w:val="none"/>
                <w:shd w:val="clear" w:color="auto" w:fill="auto"/>
                <w:vertAlign w:val="baseline"/>
              </w:rPr>
            </w:pPr>
            <w:bookmarkStart w:id="0" w:name="_GoBack"/>
            <w:bookmarkEnd w:id="0"/>
            <w:r>
              <w:rPr>
                <w:rFonts w:hint="default"/>
                <w:b/>
                <w:bCs/>
                <w:color w:val="auto"/>
                <w:sz w:val="16"/>
                <w:szCs w:val="16"/>
                <w:highlight w:val="none"/>
                <w:shd w:val="clear" w:color="auto" w:fill="auto"/>
                <w:vertAlign w:val="baseline"/>
              </w:rPr>
              <w:t>产品名称</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b w:val="0"/>
                <w:bCs w:val="0"/>
                <w:color w:val="000000" w:themeColor="text1"/>
                <w:sz w:val="16"/>
                <w:szCs w:val="16"/>
                <w:vertAlign w:val="baseline"/>
                <w14:textFill>
                  <w14:solidFill>
                    <w14:schemeClr w14:val="tx1"/>
                  </w14:solidFill>
                </w14:textFill>
              </w:rPr>
              <w:t xml:space="preserve">连云港祥云投资有限公司01收益权计划 </w:t>
            </w:r>
          </w:p>
        </w:tc>
        <w:tc>
          <w:tcPr>
            <w:tcW w:w="1165" w:type="dxa"/>
            <w:tcBorders>
              <w:tl2br w:val="nil"/>
              <w:tr2bl w:val="nil"/>
            </w:tcBorders>
            <w:shd w:val="clear" w:color="auto" w:fill="5B9BD5" w:themeFill="accent1"/>
            <w:vAlign w:val="center"/>
          </w:tcPr>
          <w:p>
            <w:pPr>
              <w:widowControl w:val="0"/>
              <w:jc w:val="center"/>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融资主体</w:t>
            </w:r>
          </w:p>
        </w:tc>
        <w:tc>
          <w:tcPr>
            <w:tcW w:w="2710" w:type="dxa"/>
            <w:tcBorders>
              <w:tl2br w:val="nil"/>
              <w:tr2bl w:val="nil"/>
            </w:tcBorders>
            <w:shd w:val="clear" w:color="auto" w:fill="FFFFFF"/>
            <w:vAlign w:val="center"/>
          </w:tcPr>
          <w:p>
            <w:pPr>
              <w:widowControl w:val="0"/>
              <w:jc w:val="both"/>
              <w:rPr>
                <w:rFonts w:hint="default"/>
                <w:b w:val="0"/>
                <w:bCs w:val="0"/>
                <w:color w:val="000000" w:themeColor="text1"/>
                <w:sz w:val="16"/>
                <w:szCs w:val="16"/>
                <w:vertAlign w:val="baseline"/>
                <w:lang w:val="en"/>
                <w14:textFill>
                  <w14:solidFill>
                    <w14:schemeClr w14:val="tx1"/>
                  </w14:solidFill>
                </w14:textFill>
              </w:rPr>
            </w:pPr>
            <w:r>
              <w:rPr>
                <w:rFonts w:hint="default"/>
                <w:b w:val="0"/>
                <w:bCs w:val="0"/>
                <w:color w:val="000000" w:themeColor="text1"/>
                <w:sz w:val="16"/>
                <w:szCs w:val="16"/>
                <w:vertAlign w:val="baseline"/>
                <w:lang w:val="en"/>
                <w14:textFill>
                  <w14:solidFill>
                    <w14:schemeClr w14:val="tx1"/>
                  </w14:solidFill>
                </w14:textFill>
              </w:rPr>
              <w:t>连云港祥云投资有限公司</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5B9BD5" w:themeFill="accent1"/>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产品期限</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12个月</w:t>
            </w:r>
          </w:p>
        </w:tc>
        <w:tc>
          <w:tcPr>
            <w:tcW w:w="1165" w:type="dxa"/>
            <w:tcBorders>
              <w:tl2br w:val="nil"/>
              <w:tr2bl w:val="nil"/>
            </w:tcBorders>
            <w:shd w:val="clear" w:color="auto" w:fill="5B9BD5" w:themeFill="accent1"/>
            <w:vAlign w:val="center"/>
          </w:tcPr>
          <w:p>
            <w:pPr>
              <w:widowControl w:val="0"/>
              <w:jc w:val="center"/>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付息方式</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半年付息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5B9BD5" w:themeFill="accent1"/>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投资领域</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基础设施</w:t>
            </w:r>
          </w:p>
        </w:tc>
        <w:tc>
          <w:tcPr>
            <w:tcW w:w="1165" w:type="dxa"/>
            <w:tcBorders>
              <w:tl2br w:val="nil"/>
              <w:tr2bl w:val="nil"/>
            </w:tcBorders>
            <w:shd w:val="clear" w:color="auto" w:fill="5B9BD5" w:themeFill="accent1"/>
            <w:vAlign w:val="center"/>
          </w:tcPr>
          <w:p>
            <w:pPr>
              <w:widowControl w:val="0"/>
              <w:jc w:val="center"/>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募集规模</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2</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亿元</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5B9BD5" w:themeFill="accent1"/>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抵押资产</w:t>
            </w:r>
          </w:p>
        </w:tc>
        <w:tc>
          <w:tcPr>
            <w:tcW w:w="3164" w:type="dxa"/>
            <w:tcBorders>
              <w:tl2br w:val="nil"/>
              <w:tr2bl w:val="nil"/>
            </w:tcBorders>
            <w:shd w:val="clear" w:color="auto" w:fill="FFFFFF"/>
            <w:vAlign w:val="center"/>
          </w:tcPr>
          <w:p>
            <w:pPr>
              <w:widowControl w:val="0"/>
              <w:jc w:val="both"/>
              <w:rPr>
                <w:rFonts w:hint="default"/>
                <w:b w:val="0"/>
                <w:bCs w:val="0"/>
                <w:color w:val="000000" w:themeColor="text1"/>
                <w:sz w:val="16"/>
                <w:szCs w:val="16"/>
                <w:vertAlign w:val="baseline"/>
                <w:lang w:val="en"/>
                <w14:textFill>
                  <w14:solidFill>
                    <w14:schemeClr w14:val="tx1"/>
                  </w14:solidFill>
                </w14:textFill>
              </w:rPr>
            </w:pPr>
            <w:r>
              <w:rPr>
                <w:rFonts w:ascii="SimSun" w:hAnsi="SimSun" w:eastAsia="SimSun" w:cs="SimSun"/>
                <w:b w:val="0"/>
                <w:bCs w:val="0"/>
                <w:color w:val="000000" w:themeColor="text1"/>
                <w:kern w:val="0"/>
                <w:sz w:val="16"/>
                <w:szCs w:val="16"/>
                <w:lang w:val="en" w:eastAsia="zh-CN" w:bidi="ar"/>
                <w14:textFill>
                  <w14:solidFill>
                    <w14:schemeClr w14:val="tx1"/>
                  </w14:solidFill>
                </w14:textFill>
              </w:rPr>
              <w:t>无抵押</w:t>
            </w:r>
          </w:p>
        </w:tc>
        <w:tc>
          <w:tcPr>
            <w:tcW w:w="1165" w:type="dxa"/>
            <w:tcBorders>
              <w:tl2br w:val="nil"/>
              <w:tr2bl w:val="nil"/>
            </w:tcBorders>
            <w:shd w:val="clear" w:color="auto" w:fill="5B9BD5" w:themeFill="accent1"/>
            <w:vAlign w:val="center"/>
          </w:tcPr>
          <w:p>
            <w:pPr>
              <w:widowControl w:val="0"/>
              <w:jc w:val="center"/>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投资区域</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b w:val="0"/>
                <w:bCs w:val="0"/>
                <w:color w:val="000000" w:themeColor="text1"/>
                <w:sz w:val="16"/>
                <w:szCs w:val="16"/>
                <w:vertAlign w:val="baseline"/>
                <w14:textFill>
                  <w14:solidFill>
                    <w14:schemeClr w14:val="tx1"/>
                  </w14:solidFill>
                </w14:textFill>
              </w:rPr>
              <w:t xml:space="preserve">江苏省,连云港市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06" w:hRule="atLeast"/>
          <w:jc w:val="center"/>
        </w:trPr>
        <w:tc>
          <w:tcPr>
            <w:tcW w:w="1270" w:type="dxa"/>
            <w:tcBorders>
              <w:tl2br w:val="nil"/>
              <w:tr2bl w:val="nil"/>
            </w:tcBorders>
            <w:shd w:val="clear" w:color="auto" w:fill="5B9BD5" w:themeFill="accent1"/>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资金用途</w:t>
            </w:r>
          </w:p>
        </w:tc>
        <w:tc>
          <w:tcPr>
            <w:tcW w:w="7039" w:type="dxa"/>
            <w:gridSpan w:val="3"/>
            <w:tcBorders>
              <w:tl2br w:val="nil"/>
              <w:tr2bl w:val="nil"/>
            </w:tcBorders>
            <w:shd w:val="clear" w:color="auto" w:fill="FFFFFF"/>
            <w:vAlign w:val="center"/>
          </w:tcPr>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支付政府基础建设项目工程款</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24" w:hRule="atLeast"/>
          <w:jc w:val="center"/>
        </w:trPr>
        <w:tc>
          <w:tcPr>
            <w:tcW w:w="1270" w:type="dxa"/>
            <w:tcBorders>
              <w:tl2br w:val="nil"/>
              <w:tr2bl w:val="nil"/>
            </w:tcBorders>
            <w:shd w:val="clear" w:color="auto" w:fill="5B9BD5" w:themeFill="accent1"/>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募集账号</w:t>
            </w:r>
          </w:p>
        </w:tc>
        <w:tc>
          <w:tcPr>
            <w:tcW w:w="7039" w:type="dxa"/>
            <w:gridSpan w:val="3"/>
            <w:tcBorders>
              <w:tl2br w:val="nil"/>
              <w:tr2bl w:val="nil"/>
            </w:tcBorders>
            <w:shd w:val="clear" w:color="auto" w:fill="FFFFFF"/>
            <w:vAlign w:val="center"/>
          </w:tcPr>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【账</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户】连云港祥云投资有限公司</w:t>
            </w:r>
          </w:p>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【开户行】浦发银行连云港分行</w:t>
            </w:r>
          </w:p>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 xml:space="preserve">【账 </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号】 20010078801400000990</w:t>
            </w:r>
          </w:p>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 xml:space="preserve">【备 </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注】XX认购连云港祥云XX万</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5B9BD5" w:themeFill="accent1"/>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业绩基准</w:t>
            </w:r>
          </w:p>
        </w:tc>
        <w:tc>
          <w:tcPr>
            <w:tcW w:w="7039" w:type="dxa"/>
            <w:gridSpan w:val="3"/>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10万 </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8.8%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br w:type="textWrapping"/>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5</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0万</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9.</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0</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br w:type="textWrapping"/>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1</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00万</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9.6%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5B9BD5" w:themeFill="accent1"/>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风控措施</w:t>
            </w:r>
          </w:p>
        </w:tc>
        <w:tc>
          <w:tcPr>
            <w:tcW w:w="7039" w:type="dxa"/>
            <w:gridSpan w:val="3"/>
            <w:tcBorders>
              <w:tl2br w:val="nil"/>
              <w:tr2bl w:val="nil"/>
            </w:tcBorders>
            <w:shd w:val="clear" w:color="auto" w:fill="FFFFFF"/>
            <w:vAlign w:val="center"/>
          </w:tcPr>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1</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连云港卓途实业有限公司（灌云县经济开发区管委会全资控股）将对本期产品的投资本金及约定收益提供全额的无条件的不可撤销连带责任担保。</w:t>
            </w:r>
          </w:p>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2</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发行人连云港祥云投资有限公司将为本产品出具确认方为灌云经济开发区管委会规模为5800万元的应收账款作为增信措施（目前工程竣工验收报告已完成），当发行人与担保人无法履约时，可处置质押物作为偿付本息的保障措施。</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1187" w:hRule="atLeast"/>
          <w:jc w:val="center"/>
        </w:trPr>
        <w:tc>
          <w:tcPr>
            <w:tcW w:w="1270" w:type="dxa"/>
            <w:tcBorders>
              <w:tl2br w:val="nil"/>
              <w:tr2bl w:val="nil"/>
            </w:tcBorders>
            <w:shd w:val="clear" w:color="auto" w:fill="5B9BD5" w:themeFill="accent1"/>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项目亮点</w:t>
            </w:r>
          </w:p>
        </w:tc>
        <w:tc>
          <w:tcPr>
            <w:tcW w:w="7039" w:type="dxa"/>
            <w:gridSpan w:val="3"/>
            <w:tcBorders>
              <w:tl2br w:val="nil"/>
              <w:tr2bl w:val="nil"/>
            </w:tcBorders>
            <w:shd w:val="clear" w:color="auto" w:fill="FFFFFF"/>
            <w:vAlign w:val="center"/>
          </w:tcPr>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连云港市是江苏省下辖地级市，位于江苏省东北部，东临黄海，西与山东省临沂市，江苏省徐州市宿迁市毗邻，南与江苏省淮安市、盐城市相连，北与山东省日照市接壤。截至2017年末，连云港下辖三区（海州区、连云区、赣榆区），三县（灌南县、东海县、灌云县），总面积7614平方公里，常驻人口451.84万。</w:t>
            </w:r>
          </w:p>
        </w:tc>
      </w:tr>
    </w:tbl>
    <w:p/>
    <w:sectPr>
      <w:pgSz w:w="8352" w:h="7200" w:orient="landscape"/>
      <w:pgMar w:top="0" w:right="0" w:bottom="0" w:left="0" w:header="720" w:footer="720" w:gutter="0"/>
      <w:paperSrc/>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7A43"/>
    <w:rsid w:val="3BFF7A43"/>
    <w:rsid w:val="3CFBC8FD"/>
    <w:rsid w:val="5FDF0663"/>
    <w:rsid w:val="6F7B9752"/>
    <w:rsid w:val="7D0FA89D"/>
    <w:rsid w:val="9D4B5CFF"/>
    <w:rsid w:val="B1DAD905"/>
    <w:rsid w:val="BA7B23C6"/>
    <w:rsid w:val="BFFF1AD6"/>
    <w:rsid w:val="D3CF7AEB"/>
    <w:rsid w:val="DBFF4132"/>
    <w:rsid w:val="EBFFB7F6"/>
    <w:rsid w:val="FBF6F80B"/>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380</Words>
  <Characters>423</Characters>
  <Lines>0</Lines>
  <Paragraphs>0</Paragraphs>
  <TotalTime>0</TotalTime>
  <ScaleCrop>false</ScaleCrop>
  <LinksUpToDate>false</LinksUpToDate>
  <CharactersWithSpaces>439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2020-02-20T05:16:00Z</dcterms:created>
  <dc:creator>tfyzft</dc:creator>
  <cp:lastModifiedBy>tfyzft</cp:lastModifiedBy>
  <dcterms:modified xsi:type="dcterms:W3CDTF">2020-02-20T18:20:57Z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