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0720" w:rsidRDefault="007E26B5">
      <w:pPr>
        <w:jc w:val="center"/>
        <w:rPr>
          <w:sz w:val="20"/>
          <w:szCs w:val="20"/>
        </w:rPr>
      </w:pPr>
      <w:r>
        <w:rPr>
          <w:rFonts w:ascii="Arial" w:eastAsia="Arial" w:hAnsi="Arial" w:cs="Arial"/>
          <w:b/>
          <w:bCs/>
          <w:sz w:val="35"/>
          <w:szCs w:val="35"/>
        </w:rPr>
        <w:t>Brain Games: An Improved Version of Dual N-Back</w:t>
      </w:r>
    </w:p>
    <w:p w:rsidR="007D0720" w:rsidRDefault="007D0720">
      <w:pPr>
        <w:spacing w:line="216" w:lineRule="exact"/>
        <w:rPr>
          <w:sz w:val="24"/>
          <w:szCs w:val="24"/>
        </w:rPr>
      </w:pPr>
    </w:p>
    <w:p w:rsidR="007D0720" w:rsidRDefault="007E26B5">
      <w:pPr>
        <w:jc w:val="center"/>
        <w:rPr>
          <w:sz w:val="20"/>
          <w:szCs w:val="20"/>
        </w:rPr>
      </w:pPr>
      <w:proofErr w:type="spellStart"/>
      <w:r>
        <w:rPr>
          <w:rFonts w:eastAsia="Times New Roman"/>
          <w:b/>
          <w:bCs/>
          <w:sz w:val="24"/>
          <w:szCs w:val="24"/>
        </w:rPr>
        <w:t>Tianmu</w:t>
      </w:r>
      <w:proofErr w:type="spellEnd"/>
      <w:r>
        <w:rPr>
          <w:rFonts w:eastAsia="Times New Roman"/>
          <w:b/>
          <w:bCs/>
          <w:sz w:val="24"/>
          <w:szCs w:val="24"/>
        </w:rPr>
        <w:t xml:space="preserve"> Zhi</w:t>
      </w:r>
    </w:p>
    <w:p w:rsidR="007D0720" w:rsidRDefault="007D0720">
      <w:pPr>
        <w:spacing w:line="39" w:lineRule="exact"/>
        <w:rPr>
          <w:sz w:val="24"/>
          <w:szCs w:val="24"/>
        </w:rPr>
      </w:pPr>
    </w:p>
    <w:p w:rsidR="007D0720" w:rsidRDefault="007E26B5">
      <w:pPr>
        <w:jc w:val="center"/>
        <w:rPr>
          <w:sz w:val="20"/>
          <w:szCs w:val="20"/>
        </w:rPr>
      </w:pPr>
      <w:r>
        <w:rPr>
          <w:rFonts w:eastAsia="Times New Roman"/>
          <w:sz w:val="24"/>
          <w:szCs w:val="24"/>
        </w:rPr>
        <w:t>OMSCS, Georgia Institute of</w:t>
      </w:r>
    </w:p>
    <w:p w:rsidR="007D0720" w:rsidRDefault="007E26B5">
      <w:pPr>
        <w:jc w:val="center"/>
        <w:rPr>
          <w:sz w:val="20"/>
          <w:szCs w:val="20"/>
        </w:rPr>
      </w:pPr>
      <w:r>
        <w:rPr>
          <w:rFonts w:eastAsia="Times New Roman"/>
          <w:sz w:val="24"/>
          <w:szCs w:val="24"/>
        </w:rPr>
        <w:t>Technology</w:t>
      </w:r>
    </w:p>
    <w:p w:rsidR="007D0720" w:rsidRDefault="007E26B5">
      <w:pPr>
        <w:jc w:val="center"/>
        <w:rPr>
          <w:sz w:val="20"/>
          <w:szCs w:val="20"/>
        </w:rPr>
      </w:pPr>
      <w:r>
        <w:rPr>
          <w:rFonts w:eastAsia="Times New Roman"/>
          <w:sz w:val="24"/>
          <w:szCs w:val="24"/>
        </w:rPr>
        <w:t>tzhi3</w:t>
      </w:r>
      <w:r>
        <w:rPr>
          <w:rFonts w:eastAsia="Times New Roman"/>
          <w:sz w:val="24"/>
          <w:szCs w:val="24"/>
        </w:rPr>
        <w:t>@gatech.edu</w:t>
      </w:r>
    </w:p>
    <w:p w:rsidR="007D0720" w:rsidRDefault="007D0720">
      <w:pPr>
        <w:sectPr w:rsidR="007D0720">
          <w:pgSz w:w="12240" w:h="15840"/>
          <w:pgMar w:top="1186" w:right="1080" w:bottom="945" w:left="1080" w:header="0" w:footer="0" w:gutter="0"/>
          <w:cols w:space="720" w:equalWidth="0">
            <w:col w:w="10080"/>
          </w:cols>
        </w:sectPr>
      </w:pPr>
    </w:p>
    <w:p w:rsidR="007D0720" w:rsidRDefault="007D0720">
      <w:pPr>
        <w:spacing w:line="197" w:lineRule="exact"/>
        <w:rPr>
          <w:sz w:val="24"/>
          <w:szCs w:val="24"/>
        </w:rPr>
      </w:pPr>
    </w:p>
    <w:p w:rsidR="007D0720" w:rsidRDefault="007E26B5">
      <w:pPr>
        <w:rPr>
          <w:sz w:val="20"/>
          <w:szCs w:val="20"/>
        </w:rPr>
      </w:pPr>
      <w:r>
        <w:rPr>
          <w:rFonts w:ascii="Arial" w:eastAsia="Arial" w:hAnsi="Arial" w:cs="Arial"/>
          <w:b/>
          <w:bCs/>
          <w:sz w:val="18"/>
          <w:szCs w:val="18"/>
        </w:rPr>
        <w:t>ABSTRACT</w:t>
      </w:r>
    </w:p>
    <w:p w:rsidR="007D0720" w:rsidRDefault="007D0720">
      <w:pPr>
        <w:spacing w:line="34" w:lineRule="exact"/>
        <w:rPr>
          <w:sz w:val="24"/>
          <w:szCs w:val="24"/>
        </w:rPr>
      </w:pPr>
    </w:p>
    <w:p w:rsidR="007D0720" w:rsidRDefault="007E26B5">
      <w:pPr>
        <w:spacing w:line="239" w:lineRule="auto"/>
        <w:jc w:val="both"/>
        <w:rPr>
          <w:sz w:val="20"/>
          <w:szCs w:val="20"/>
        </w:rPr>
      </w:pPr>
      <w:r>
        <w:rPr>
          <w:rFonts w:eastAsia="Times New Roman"/>
          <w:sz w:val="20"/>
          <w:szCs w:val="20"/>
        </w:rPr>
        <w:t xml:space="preserve">UPDATED—30 July 2017. Online education is an evolving new field. Not all practices from traditional </w:t>
      </w:r>
      <w:r>
        <w:rPr>
          <w:rFonts w:eastAsia="Times New Roman"/>
          <w:sz w:val="20"/>
          <w:szCs w:val="20"/>
        </w:rPr>
        <w:t>education are going to translate directly to online education. That is, it may be difficult to certain aspects of traditional education in the online area. Early feedback from existing online education systems highlights such issues as lower completion rat</w:t>
      </w:r>
      <w:r>
        <w:rPr>
          <w:rFonts w:eastAsia="Times New Roman"/>
          <w:sz w:val="20"/>
          <w:szCs w:val="20"/>
        </w:rPr>
        <w:t>es, which have been acknowledged by some of the thought leaders of online education. Since online education is still maturing and transforming, online educators need help identifying issues in order to formulate resolutions. Data analytics can provide this</w:t>
      </w:r>
      <w:r>
        <w:rPr>
          <w:rFonts w:eastAsia="Times New Roman"/>
          <w:sz w:val="20"/>
          <w:szCs w:val="20"/>
        </w:rPr>
        <w:t xml:space="preserve"> feedback, and help online educators make better decisions to improve the online education process.</w:t>
      </w:r>
    </w:p>
    <w:p w:rsidR="007D0720" w:rsidRDefault="007D0720">
      <w:pPr>
        <w:spacing w:line="103" w:lineRule="exact"/>
        <w:rPr>
          <w:sz w:val="24"/>
          <w:szCs w:val="24"/>
        </w:rPr>
      </w:pPr>
    </w:p>
    <w:p w:rsidR="007D0720" w:rsidRDefault="007E26B5">
      <w:pPr>
        <w:spacing w:line="242" w:lineRule="auto"/>
        <w:jc w:val="both"/>
        <w:rPr>
          <w:sz w:val="20"/>
          <w:szCs w:val="20"/>
        </w:rPr>
      </w:pPr>
      <w:r>
        <w:rPr>
          <w:rFonts w:eastAsia="Times New Roman"/>
          <w:sz w:val="20"/>
          <w:szCs w:val="20"/>
        </w:rPr>
        <w:t>This paper explores the area of Online Education Analytics which addresses the problem of low online course completion rates. The objective of this project</w:t>
      </w:r>
      <w:r>
        <w:rPr>
          <w:rFonts w:eastAsia="Times New Roman"/>
          <w:sz w:val="20"/>
          <w:szCs w:val="20"/>
        </w:rPr>
        <w:t xml:space="preserve"> is to analyze the data collected for CS1301x: Introduction to Computing using Python [5] on edX platforms, and provide actionable insights to Course Instructors for enhancing the overall learning experience for students. As Angelino, Williams, &amp; Natvig [8</w:t>
      </w:r>
      <w:r>
        <w:rPr>
          <w:rFonts w:eastAsia="Times New Roman"/>
          <w:sz w:val="20"/>
          <w:szCs w:val="20"/>
        </w:rPr>
        <w:t>], propose, engaging learners early and often is the best strategy to improving overall completion rates. The goal is to identify similar patterns associated with learner engagement, as well as for decline in engagement, and modify online education accordi</w:t>
      </w:r>
      <w:r>
        <w:rPr>
          <w:rFonts w:eastAsia="Times New Roman"/>
          <w:sz w:val="20"/>
          <w:szCs w:val="20"/>
        </w:rPr>
        <w:t>ngly.</w:t>
      </w:r>
    </w:p>
    <w:p w:rsidR="007D0720" w:rsidRDefault="007D0720">
      <w:pPr>
        <w:spacing w:line="93" w:lineRule="exact"/>
        <w:rPr>
          <w:sz w:val="24"/>
          <w:szCs w:val="24"/>
        </w:rPr>
      </w:pPr>
    </w:p>
    <w:p w:rsidR="007D0720" w:rsidRDefault="007E26B5">
      <w:pPr>
        <w:rPr>
          <w:sz w:val="20"/>
          <w:szCs w:val="20"/>
        </w:rPr>
      </w:pPr>
      <w:r>
        <w:rPr>
          <w:rFonts w:ascii="Arial" w:eastAsia="Arial" w:hAnsi="Arial" w:cs="Arial"/>
          <w:b/>
          <w:bCs/>
          <w:sz w:val="18"/>
          <w:szCs w:val="18"/>
        </w:rPr>
        <w:t>Author Keywords</w:t>
      </w:r>
    </w:p>
    <w:p w:rsidR="007D0720" w:rsidRDefault="007D0720">
      <w:pPr>
        <w:spacing w:line="34" w:lineRule="exact"/>
        <w:rPr>
          <w:sz w:val="24"/>
          <w:szCs w:val="24"/>
        </w:rPr>
      </w:pPr>
    </w:p>
    <w:p w:rsidR="007D0720" w:rsidRDefault="007E26B5">
      <w:pPr>
        <w:spacing w:line="238" w:lineRule="auto"/>
        <w:jc w:val="both"/>
        <w:rPr>
          <w:sz w:val="20"/>
          <w:szCs w:val="20"/>
        </w:rPr>
      </w:pPr>
      <w:r>
        <w:rPr>
          <w:rFonts w:eastAsia="Times New Roman"/>
          <w:sz w:val="20"/>
          <w:szCs w:val="20"/>
        </w:rPr>
        <w:t>Education Analytics, Learning Analytics, Engagement Analytics, edx Insights.</w:t>
      </w:r>
    </w:p>
    <w:p w:rsidR="007D0720" w:rsidRDefault="007D0720">
      <w:pPr>
        <w:spacing w:line="90" w:lineRule="exact"/>
        <w:rPr>
          <w:sz w:val="24"/>
          <w:szCs w:val="24"/>
        </w:rPr>
      </w:pPr>
    </w:p>
    <w:p w:rsidR="007D0720" w:rsidRDefault="007E26B5">
      <w:pPr>
        <w:rPr>
          <w:sz w:val="20"/>
          <w:szCs w:val="20"/>
        </w:rPr>
      </w:pPr>
      <w:r>
        <w:rPr>
          <w:rFonts w:ascii="Arial" w:eastAsia="Arial" w:hAnsi="Arial" w:cs="Arial"/>
          <w:b/>
          <w:bCs/>
          <w:sz w:val="18"/>
          <w:szCs w:val="18"/>
        </w:rPr>
        <w:t>INTRODUCTION</w:t>
      </w:r>
    </w:p>
    <w:p w:rsidR="007D0720" w:rsidRDefault="007D0720">
      <w:pPr>
        <w:spacing w:line="34" w:lineRule="exact"/>
        <w:rPr>
          <w:sz w:val="24"/>
          <w:szCs w:val="24"/>
        </w:rPr>
      </w:pPr>
    </w:p>
    <w:p w:rsidR="007D0720" w:rsidRDefault="007E26B5">
      <w:pPr>
        <w:spacing w:line="239" w:lineRule="auto"/>
        <w:jc w:val="both"/>
        <w:rPr>
          <w:sz w:val="20"/>
          <w:szCs w:val="20"/>
        </w:rPr>
      </w:pPr>
      <w:r>
        <w:rPr>
          <w:rFonts w:eastAsia="Times New Roman"/>
          <w:sz w:val="20"/>
          <w:szCs w:val="20"/>
        </w:rPr>
        <w:t>Data has been around for centuries, but with recent advancements in technology, data has becom</w:t>
      </w:r>
      <w:bookmarkStart w:id="0" w:name="_GoBack"/>
      <w:bookmarkEnd w:id="0"/>
      <w:r>
        <w:rPr>
          <w:rFonts w:eastAsia="Times New Roman"/>
          <w:sz w:val="20"/>
          <w:szCs w:val="20"/>
        </w:rPr>
        <w:t>e much easier to collect, store and process. A</w:t>
      </w:r>
      <w:r>
        <w:rPr>
          <w:rFonts w:eastAsia="Times New Roman"/>
          <w:sz w:val="20"/>
          <w:szCs w:val="20"/>
        </w:rPr>
        <w:t>ccording to Norris, Baer &amp; Offerman[1], , Analytics refers to "processes of data assessment and analysis that enables us to measure, improve, and compare the performance of individuals, programs, departments, institutions or enterprises, groups of organiza</w:t>
      </w:r>
      <w:r>
        <w:rPr>
          <w:rFonts w:eastAsia="Times New Roman"/>
          <w:sz w:val="20"/>
          <w:szCs w:val="20"/>
        </w:rPr>
        <w:t>tions, and/or entire industries". Ravishanker[2] defines analytics as "Data-driven decision making, used to inform decisions at all levels of the enterprise".</w:t>
      </w:r>
    </w:p>
    <w:p w:rsidR="007D0720" w:rsidRDefault="007D0720">
      <w:pPr>
        <w:spacing w:line="99" w:lineRule="exact"/>
        <w:rPr>
          <w:sz w:val="24"/>
          <w:szCs w:val="24"/>
        </w:rPr>
      </w:pPr>
    </w:p>
    <w:p w:rsidR="007D0720" w:rsidRDefault="007E26B5">
      <w:pPr>
        <w:spacing w:line="246" w:lineRule="auto"/>
        <w:jc w:val="both"/>
        <w:rPr>
          <w:sz w:val="20"/>
          <w:szCs w:val="20"/>
        </w:rPr>
      </w:pPr>
      <w:r>
        <w:rPr>
          <w:rFonts w:eastAsia="Times New Roman"/>
          <w:sz w:val="20"/>
          <w:szCs w:val="20"/>
        </w:rPr>
        <w:t xml:space="preserve">Historically, the education industry has also been accumulating a lot of data across multiple </w:t>
      </w:r>
      <w:r>
        <w:rPr>
          <w:rFonts w:eastAsia="Times New Roman"/>
          <w:sz w:val="20"/>
          <w:szCs w:val="20"/>
        </w:rPr>
        <w:t>aspects: Students, Teaching &amp; Support Staff, Institutions and Courses. Here are Analytics specific to the education field as defined by Barneveld, Arnold &amp; Campbell[3]:</w:t>
      </w:r>
    </w:p>
    <w:p w:rsidR="007D0720" w:rsidRDefault="007E26B5">
      <w:pPr>
        <w:spacing w:line="20" w:lineRule="exact"/>
        <w:rPr>
          <w:sz w:val="24"/>
          <w:szCs w:val="24"/>
        </w:rPr>
      </w:pPr>
      <w:r>
        <w:rPr>
          <w:sz w:val="24"/>
          <w:szCs w:val="24"/>
        </w:rPr>
        <w:br w:type="column"/>
      </w:r>
    </w:p>
    <w:p w:rsidR="007D0720" w:rsidRDefault="007D0720">
      <w:pPr>
        <w:spacing w:line="196" w:lineRule="exact"/>
        <w:rPr>
          <w:sz w:val="24"/>
          <w:szCs w:val="24"/>
        </w:rPr>
      </w:pPr>
    </w:p>
    <w:p w:rsidR="007D0720" w:rsidRDefault="007E26B5">
      <w:pPr>
        <w:numPr>
          <w:ilvl w:val="0"/>
          <w:numId w:val="1"/>
        </w:numPr>
        <w:tabs>
          <w:tab w:val="left" w:pos="366"/>
        </w:tabs>
        <w:spacing w:line="242" w:lineRule="auto"/>
        <w:ind w:left="366" w:hanging="366"/>
        <w:jc w:val="both"/>
        <w:rPr>
          <w:rFonts w:ascii="Symbol" w:eastAsia="Symbol" w:hAnsi="Symbol" w:cs="Symbol"/>
          <w:sz w:val="20"/>
          <w:szCs w:val="20"/>
        </w:rPr>
      </w:pPr>
      <w:r>
        <w:rPr>
          <w:rFonts w:eastAsia="Times New Roman"/>
          <w:sz w:val="20"/>
          <w:szCs w:val="20"/>
        </w:rPr>
        <w:t>Academic Analytics: A process for providing higher education institutions with the d</w:t>
      </w:r>
      <w:r>
        <w:rPr>
          <w:rFonts w:eastAsia="Times New Roman"/>
          <w:sz w:val="20"/>
          <w:szCs w:val="20"/>
        </w:rPr>
        <w:t>ata necessary to support operational and financial decision-making.</w:t>
      </w:r>
    </w:p>
    <w:p w:rsidR="007D0720" w:rsidRDefault="007D0720">
      <w:pPr>
        <w:spacing w:line="2" w:lineRule="exact"/>
        <w:rPr>
          <w:rFonts w:ascii="Symbol" w:eastAsia="Symbol" w:hAnsi="Symbol" w:cs="Symbol"/>
          <w:sz w:val="20"/>
          <w:szCs w:val="20"/>
        </w:rPr>
      </w:pPr>
    </w:p>
    <w:p w:rsidR="007D0720" w:rsidRDefault="007E26B5">
      <w:pPr>
        <w:numPr>
          <w:ilvl w:val="0"/>
          <w:numId w:val="1"/>
        </w:numPr>
        <w:tabs>
          <w:tab w:val="left" w:pos="366"/>
        </w:tabs>
        <w:ind w:left="366" w:hanging="366"/>
        <w:jc w:val="both"/>
        <w:rPr>
          <w:rFonts w:ascii="Symbol" w:eastAsia="Symbol" w:hAnsi="Symbol" w:cs="Symbol"/>
          <w:sz w:val="20"/>
          <w:szCs w:val="20"/>
        </w:rPr>
      </w:pPr>
      <w:r>
        <w:rPr>
          <w:rFonts w:eastAsia="Times New Roman"/>
          <w:sz w:val="20"/>
          <w:szCs w:val="20"/>
        </w:rPr>
        <w:t>Learning Analytics: The use of analytic techniques to help target instructional, curricular, and support resources to support the achievement of specific learning goals.</w:t>
      </w:r>
    </w:p>
    <w:p w:rsidR="007D0720" w:rsidRDefault="007D0720">
      <w:pPr>
        <w:spacing w:line="1" w:lineRule="exact"/>
        <w:rPr>
          <w:rFonts w:ascii="Symbol" w:eastAsia="Symbol" w:hAnsi="Symbol" w:cs="Symbol"/>
          <w:sz w:val="20"/>
          <w:szCs w:val="20"/>
        </w:rPr>
      </w:pPr>
    </w:p>
    <w:p w:rsidR="007D0720" w:rsidRDefault="007E26B5">
      <w:pPr>
        <w:numPr>
          <w:ilvl w:val="0"/>
          <w:numId w:val="1"/>
        </w:numPr>
        <w:tabs>
          <w:tab w:val="left" w:pos="366"/>
        </w:tabs>
        <w:ind w:left="366" w:hanging="366"/>
        <w:jc w:val="both"/>
        <w:rPr>
          <w:rFonts w:ascii="Symbol" w:eastAsia="Symbol" w:hAnsi="Symbol" w:cs="Symbol"/>
          <w:sz w:val="20"/>
          <w:szCs w:val="20"/>
        </w:rPr>
      </w:pPr>
      <w:r>
        <w:rPr>
          <w:rFonts w:eastAsia="Times New Roman"/>
          <w:sz w:val="20"/>
          <w:szCs w:val="20"/>
        </w:rPr>
        <w:t>Predictive Analy</w:t>
      </w:r>
      <w:r>
        <w:rPr>
          <w:rFonts w:eastAsia="Times New Roman"/>
          <w:sz w:val="20"/>
          <w:szCs w:val="20"/>
        </w:rPr>
        <w:t>tics: An area of statistical analysis that deals with extracting information using various technologies to uncover relationships and patterns within large volumes of data that can be used to predict behavior and events.</w:t>
      </w:r>
    </w:p>
    <w:p w:rsidR="007D0720" w:rsidRDefault="007D0720">
      <w:pPr>
        <w:spacing w:line="91" w:lineRule="exact"/>
        <w:rPr>
          <w:sz w:val="24"/>
          <w:szCs w:val="24"/>
        </w:rPr>
      </w:pPr>
    </w:p>
    <w:p w:rsidR="007D0720" w:rsidRDefault="007E26B5">
      <w:pPr>
        <w:ind w:left="6"/>
        <w:rPr>
          <w:sz w:val="20"/>
          <w:szCs w:val="20"/>
        </w:rPr>
      </w:pPr>
      <w:r>
        <w:rPr>
          <w:rFonts w:ascii="Arial" w:eastAsia="Arial" w:hAnsi="Arial" w:cs="Arial"/>
          <w:b/>
          <w:bCs/>
          <w:sz w:val="18"/>
          <w:szCs w:val="18"/>
        </w:rPr>
        <w:t>OVERVIEW</w:t>
      </w:r>
    </w:p>
    <w:p w:rsidR="007D0720" w:rsidRDefault="007D0720">
      <w:pPr>
        <w:spacing w:line="34" w:lineRule="exact"/>
        <w:rPr>
          <w:sz w:val="24"/>
          <w:szCs w:val="24"/>
        </w:rPr>
      </w:pPr>
    </w:p>
    <w:p w:rsidR="007D0720" w:rsidRDefault="007E26B5">
      <w:pPr>
        <w:spacing w:line="238" w:lineRule="auto"/>
        <w:ind w:left="6"/>
        <w:jc w:val="both"/>
        <w:rPr>
          <w:sz w:val="20"/>
          <w:szCs w:val="20"/>
        </w:rPr>
      </w:pPr>
      <w:r>
        <w:rPr>
          <w:rFonts w:eastAsia="Times New Roman"/>
          <w:sz w:val="20"/>
          <w:szCs w:val="20"/>
        </w:rPr>
        <w:t>With the advent of Online</w:t>
      </w:r>
      <w:r>
        <w:rPr>
          <w:rFonts w:eastAsia="Times New Roman"/>
          <w:sz w:val="20"/>
          <w:szCs w:val="20"/>
        </w:rPr>
        <w:t xml:space="preserve"> Education, the Industry has been excited about delivering quality education to a wide range of audiences at a lower cost. Ally[4] sighted some of the major benefits of online education for both learners and instructors. With the rollout of online educatio</w:t>
      </w:r>
      <w:r>
        <w:rPr>
          <w:rFonts w:eastAsia="Times New Roman"/>
          <w:sz w:val="20"/>
          <w:szCs w:val="20"/>
        </w:rPr>
        <w:t>n, we have seen a few disappointing results, most of which failed to meet earlier expectations. One of the disappointing metrics has been low completion rates. Willging &amp; Johnson[6] cite the following non-personal reasons for low course completion rates:</w:t>
      </w:r>
    </w:p>
    <w:p w:rsidR="007D0720" w:rsidRDefault="007D0720">
      <w:pPr>
        <w:spacing w:line="3" w:lineRule="exact"/>
        <w:rPr>
          <w:sz w:val="24"/>
          <w:szCs w:val="24"/>
        </w:rPr>
      </w:pPr>
    </w:p>
    <w:p w:rsidR="007D0720" w:rsidRDefault="007E26B5">
      <w:pPr>
        <w:numPr>
          <w:ilvl w:val="0"/>
          <w:numId w:val="2"/>
        </w:numPr>
        <w:tabs>
          <w:tab w:val="left" w:pos="366"/>
        </w:tabs>
        <w:ind w:left="366" w:hanging="366"/>
        <w:rPr>
          <w:rFonts w:ascii="Symbol" w:eastAsia="Symbol" w:hAnsi="Symbol" w:cs="Symbol"/>
          <w:sz w:val="20"/>
          <w:szCs w:val="20"/>
        </w:rPr>
      </w:pPr>
      <w:r>
        <w:rPr>
          <w:rFonts w:eastAsia="Times New Roman"/>
          <w:sz w:val="20"/>
          <w:szCs w:val="20"/>
        </w:rPr>
        <w:t>Course quality</w:t>
      </w:r>
    </w:p>
    <w:p w:rsidR="007D0720" w:rsidRDefault="007D0720">
      <w:pPr>
        <w:spacing w:line="12" w:lineRule="exact"/>
        <w:rPr>
          <w:rFonts w:ascii="Symbol" w:eastAsia="Symbol" w:hAnsi="Symbol" w:cs="Symbol"/>
          <w:sz w:val="20"/>
          <w:szCs w:val="20"/>
        </w:rPr>
      </w:pPr>
    </w:p>
    <w:p w:rsidR="007D0720" w:rsidRDefault="007E26B5">
      <w:pPr>
        <w:numPr>
          <w:ilvl w:val="0"/>
          <w:numId w:val="2"/>
        </w:numPr>
        <w:tabs>
          <w:tab w:val="left" w:pos="366"/>
        </w:tabs>
        <w:ind w:left="366" w:hanging="366"/>
        <w:rPr>
          <w:rFonts w:ascii="Symbol" w:eastAsia="Symbol" w:hAnsi="Symbol" w:cs="Symbol"/>
          <w:sz w:val="20"/>
          <w:szCs w:val="20"/>
        </w:rPr>
      </w:pPr>
      <w:r>
        <w:rPr>
          <w:rFonts w:eastAsia="Times New Roman"/>
          <w:sz w:val="20"/>
          <w:szCs w:val="20"/>
        </w:rPr>
        <w:t>Course difficulty/ease</w:t>
      </w:r>
    </w:p>
    <w:p w:rsidR="007D0720" w:rsidRDefault="007E26B5">
      <w:pPr>
        <w:numPr>
          <w:ilvl w:val="0"/>
          <w:numId w:val="2"/>
        </w:numPr>
        <w:tabs>
          <w:tab w:val="left" w:pos="366"/>
        </w:tabs>
        <w:ind w:left="366" w:hanging="366"/>
        <w:rPr>
          <w:rFonts w:ascii="Symbol" w:eastAsia="Symbol" w:hAnsi="Symbol" w:cs="Symbol"/>
          <w:sz w:val="20"/>
          <w:szCs w:val="20"/>
        </w:rPr>
      </w:pPr>
      <w:r>
        <w:rPr>
          <w:rFonts w:eastAsia="Times New Roman"/>
          <w:sz w:val="20"/>
          <w:szCs w:val="20"/>
        </w:rPr>
        <w:t>Lack of interaction with Instructors &amp; Students</w:t>
      </w:r>
    </w:p>
    <w:p w:rsidR="007D0720" w:rsidRDefault="007E26B5">
      <w:pPr>
        <w:numPr>
          <w:ilvl w:val="0"/>
          <w:numId w:val="2"/>
        </w:numPr>
        <w:tabs>
          <w:tab w:val="left" w:pos="366"/>
        </w:tabs>
        <w:ind w:left="366" w:hanging="366"/>
        <w:rPr>
          <w:rFonts w:ascii="Symbol" w:eastAsia="Symbol" w:hAnsi="Symbol" w:cs="Symbol"/>
          <w:sz w:val="20"/>
          <w:szCs w:val="20"/>
        </w:rPr>
      </w:pPr>
      <w:r>
        <w:rPr>
          <w:rFonts w:eastAsia="Times New Roman"/>
          <w:sz w:val="20"/>
          <w:szCs w:val="20"/>
        </w:rPr>
        <w:t>Lack of technical support</w:t>
      </w:r>
    </w:p>
    <w:p w:rsidR="007D0720" w:rsidRDefault="007D0720">
      <w:pPr>
        <w:spacing w:line="88" w:lineRule="exact"/>
        <w:rPr>
          <w:sz w:val="24"/>
          <w:szCs w:val="24"/>
        </w:rPr>
      </w:pPr>
    </w:p>
    <w:p w:rsidR="007D0720" w:rsidRDefault="007E26B5">
      <w:pPr>
        <w:spacing w:line="244" w:lineRule="auto"/>
        <w:ind w:left="6"/>
        <w:jc w:val="both"/>
        <w:rPr>
          <w:sz w:val="20"/>
          <w:szCs w:val="20"/>
        </w:rPr>
      </w:pPr>
      <w:r>
        <w:rPr>
          <w:rFonts w:eastAsia="Times New Roman"/>
          <w:sz w:val="20"/>
          <w:szCs w:val="20"/>
        </w:rPr>
        <w:t>High enrollment rates highlight the learners’ interest in using online education as a viable medium. The high volume of data, generated by usa</w:t>
      </w:r>
      <w:r>
        <w:rPr>
          <w:rFonts w:eastAsia="Times New Roman"/>
          <w:sz w:val="20"/>
          <w:szCs w:val="20"/>
        </w:rPr>
        <w:t xml:space="preserve">ge of online education, could be used to identify the root cause behind low completion rates after initial high enrollment. Different types of Data Analytics, sighted in Assignment 3, could be used to observe, explain, predict and influence the completion </w:t>
      </w:r>
      <w:r>
        <w:rPr>
          <w:rFonts w:eastAsia="Times New Roman"/>
          <w:sz w:val="20"/>
          <w:szCs w:val="20"/>
        </w:rPr>
        <w:t>rates.</w:t>
      </w:r>
    </w:p>
    <w:p w:rsidR="007D0720" w:rsidRDefault="007D0720">
      <w:pPr>
        <w:spacing w:line="93" w:lineRule="exact"/>
        <w:rPr>
          <w:sz w:val="24"/>
          <w:szCs w:val="24"/>
        </w:rPr>
      </w:pPr>
    </w:p>
    <w:p w:rsidR="007D0720" w:rsidRDefault="007E26B5">
      <w:pPr>
        <w:spacing w:line="243" w:lineRule="auto"/>
        <w:ind w:left="6"/>
        <w:jc w:val="both"/>
        <w:rPr>
          <w:sz w:val="20"/>
          <w:szCs w:val="20"/>
        </w:rPr>
      </w:pPr>
      <w:r>
        <w:rPr>
          <w:rFonts w:eastAsia="Times New Roman"/>
          <w:sz w:val="20"/>
          <w:szCs w:val="20"/>
        </w:rPr>
        <w:t>Opensource edX provides a platform where affiliated communities can contribute to building the education data analytics. Recently, edX platform started investing in the data analytics module edX Insights. Currently, edX Insights functionality is fo</w:t>
      </w:r>
      <w:r>
        <w:rPr>
          <w:rFonts w:eastAsia="Times New Roman"/>
          <w:sz w:val="20"/>
          <w:szCs w:val="20"/>
        </w:rPr>
        <w:t>cused on Learner Data, to be utilized by user personas like Instructor, Researcher &amp; Analyst. To summarize, some of the current edX Insights capabilities include (edX Insights documentation [7]):</w:t>
      </w:r>
    </w:p>
    <w:p w:rsidR="007D0720" w:rsidRDefault="007D0720">
      <w:pPr>
        <w:spacing w:line="109" w:lineRule="exact"/>
        <w:rPr>
          <w:sz w:val="24"/>
          <w:szCs w:val="24"/>
        </w:rPr>
      </w:pPr>
    </w:p>
    <w:p w:rsidR="007D0720" w:rsidRDefault="007E26B5">
      <w:pPr>
        <w:tabs>
          <w:tab w:val="left" w:pos="346"/>
        </w:tabs>
        <w:spacing w:line="239" w:lineRule="auto"/>
        <w:ind w:left="366" w:hanging="359"/>
        <w:jc w:val="both"/>
        <w:rPr>
          <w:sz w:val="20"/>
          <w:szCs w:val="20"/>
        </w:rPr>
      </w:pPr>
      <w:r>
        <w:rPr>
          <w:rFonts w:ascii="Symbol" w:eastAsia="Symbol" w:hAnsi="Symbol" w:cs="Symbol"/>
          <w:sz w:val="20"/>
          <w:szCs w:val="20"/>
        </w:rPr>
        <w:t></w:t>
      </w:r>
      <w:r>
        <w:rPr>
          <w:sz w:val="20"/>
          <w:szCs w:val="20"/>
        </w:rPr>
        <w:tab/>
      </w:r>
      <w:r>
        <w:rPr>
          <w:rFonts w:eastAsia="Times New Roman"/>
          <w:sz w:val="20"/>
          <w:szCs w:val="20"/>
        </w:rPr>
        <w:t>Course Enrollment: Activity, Demographics, Geography</w:t>
      </w:r>
    </w:p>
    <w:p w:rsidR="007D0720" w:rsidRDefault="007D0720">
      <w:pPr>
        <w:spacing w:line="3" w:lineRule="exact"/>
        <w:rPr>
          <w:sz w:val="24"/>
          <w:szCs w:val="24"/>
        </w:rPr>
      </w:pPr>
    </w:p>
    <w:p w:rsidR="007D0720" w:rsidRDefault="007E26B5">
      <w:pPr>
        <w:numPr>
          <w:ilvl w:val="0"/>
          <w:numId w:val="3"/>
        </w:numPr>
        <w:tabs>
          <w:tab w:val="left" w:pos="366"/>
        </w:tabs>
        <w:ind w:left="366" w:hanging="366"/>
        <w:rPr>
          <w:rFonts w:ascii="Symbol" w:eastAsia="Symbol" w:hAnsi="Symbol" w:cs="Symbol"/>
          <w:sz w:val="20"/>
          <w:szCs w:val="20"/>
        </w:rPr>
      </w:pPr>
      <w:r>
        <w:rPr>
          <w:rFonts w:eastAsia="Times New Roman"/>
          <w:sz w:val="20"/>
          <w:szCs w:val="20"/>
        </w:rPr>
        <w:t>Stu</w:t>
      </w:r>
      <w:r>
        <w:rPr>
          <w:rFonts w:eastAsia="Times New Roman"/>
          <w:sz w:val="20"/>
          <w:szCs w:val="20"/>
        </w:rPr>
        <w:t>dent Engagement: Course Video &amp; Content</w:t>
      </w:r>
    </w:p>
    <w:p w:rsidR="007D0720" w:rsidRDefault="007D0720">
      <w:pPr>
        <w:sectPr w:rsidR="007D0720">
          <w:type w:val="continuous"/>
          <w:pgSz w:w="12240" w:h="15840"/>
          <w:pgMar w:top="1186" w:right="1080" w:bottom="945" w:left="1080" w:header="0" w:footer="0" w:gutter="0"/>
          <w:cols w:num="2" w:space="720" w:equalWidth="0">
            <w:col w:w="4820" w:space="434"/>
            <w:col w:w="4826"/>
          </w:cols>
        </w:sectPr>
      </w:pPr>
    </w:p>
    <w:p w:rsidR="007D0720" w:rsidRDefault="007E26B5">
      <w:pPr>
        <w:numPr>
          <w:ilvl w:val="0"/>
          <w:numId w:val="4"/>
        </w:numPr>
        <w:tabs>
          <w:tab w:val="left" w:pos="362"/>
        </w:tabs>
        <w:ind w:left="362" w:hanging="362"/>
        <w:rPr>
          <w:rFonts w:ascii="Symbol" w:eastAsia="Symbol" w:hAnsi="Symbol" w:cs="Symbol"/>
          <w:sz w:val="20"/>
          <w:szCs w:val="20"/>
        </w:rPr>
      </w:pPr>
      <w:bookmarkStart w:id="1" w:name="page2"/>
      <w:bookmarkEnd w:id="1"/>
      <w:r>
        <w:rPr>
          <w:rFonts w:eastAsia="Times New Roman"/>
          <w:sz w:val="20"/>
          <w:szCs w:val="20"/>
        </w:rPr>
        <w:lastRenderedPageBreak/>
        <w:t>Student Activity: Video, Discussion &amp; Problem</w:t>
      </w:r>
    </w:p>
    <w:p w:rsidR="007D0720" w:rsidRDefault="007D0720">
      <w:pPr>
        <w:spacing w:line="12" w:lineRule="exact"/>
        <w:rPr>
          <w:rFonts w:ascii="Symbol" w:eastAsia="Symbol" w:hAnsi="Symbol" w:cs="Symbol"/>
          <w:sz w:val="20"/>
          <w:szCs w:val="20"/>
        </w:rPr>
      </w:pPr>
    </w:p>
    <w:p w:rsidR="007D0720" w:rsidRDefault="007E26B5">
      <w:pPr>
        <w:numPr>
          <w:ilvl w:val="0"/>
          <w:numId w:val="4"/>
        </w:numPr>
        <w:tabs>
          <w:tab w:val="left" w:pos="362"/>
        </w:tabs>
        <w:ind w:left="362" w:hanging="362"/>
        <w:rPr>
          <w:rFonts w:ascii="Symbol" w:eastAsia="Symbol" w:hAnsi="Symbol" w:cs="Symbol"/>
          <w:sz w:val="20"/>
          <w:szCs w:val="20"/>
        </w:rPr>
      </w:pPr>
      <w:r>
        <w:rPr>
          <w:rFonts w:eastAsia="Times New Roman"/>
          <w:sz w:val="20"/>
          <w:szCs w:val="20"/>
        </w:rPr>
        <w:t>Student Performance: Problem, Assignment &amp; Grade</w:t>
      </w:r>
    </w:p>
    <w:p w:rsidR="007D0720" w:rsidRDefault="007D0720">
      <w:pPr>
        <w:spacing w:line="89" w:lineRule="exact"/>
        <w:rPr>
          <w:sz w:val="20"/>
          <w:szCs w:val="20"/>
        </w:rPr>
      </w:pPr>
    </w:p>
    <w:p w:rsidR="007D0720" w:rsidRDefault="007E26B5">
      <w:pPr>
        <w:ind w:left="2"/>
        <w:rPr>
          <w:sz w:val="20"/>
          <w:szCs w:val="20"/>
        </w:rPr>
      </w:pPr>
      <w:r>
        <w:rPr>
          <w:rFonts w:ascii="Arial" w:eastAsia="Arial" w:hAnsi="Arial" w:cs="Arial"/>
          <w:b/>
          <w:bCs/>
          <w:sz w:val="18"/>
          <w:szCs w:val="18"/>
        </w:rPr>
        <w:t>EDX: ENGAGEMENT DATA, REPORT &amp; ANALYTICS</w:t>
      </w:r>
    </w:p>
    <w:p w:rsidR="007D0720" w:rsidRDefault="007D0720">
      <w:pPr>
        <w:spacing w:line="34" w:lineRule="exact"/>
        <w:rPr>
          <w:sz w:val="20"/>
          <w:szCs w:val="20"/>
        </w:rPr>
      </w:pPr>
    </w:p>
    <w:p w:rsidR="007D0720" w:rsidRDefault="007E26B5">
      <w:pPr>
        <w:spacing w:line="238" w:lineRule="auto"/>
        <w:ind w:left="2"/>
        <w:rPr>
          <w:sz w:val="20"/>
          <w:szCs w:val="20"/>
        </w:rPr>
      </w:pPr>
      <w:r>
        <w:rPr>
          <w:rFonts w:eastAsia="Times New Roman"/>
          <w:sz w:val="20"/>
          <w:szCs w:val="20"/>
        </w:rPr>
        <w:t xml:space="preserve">Currently edX provides Data and Analytics under 2 </w:t>
      </w:r>
      <w:r>
        <w:rPr>
          <w:rFonts w:eastAsia="Times New Roman"/>
          <w:sz w:val="20"/>
          <w:szCs w:val="20"/>
        </w:rPr>
        <w:t>separate sections:</w:t>
      </w:r>
    </w:p>
    <w:p w:rsidR="007D0720" w:rsidRDefault="007D0720">
      <w:pPr>
        <w:spacing w:line="109" w:lineRule="exact"/>
        <w:rPr>
          <w:sz w:val="20"/>
          <w:szCs w:val="20"/>
        </w:rPr>
      </w:pPr>
    </w:p>
    <w:p w:rsidR="007D0720" w:rsidRDefault="007E26B5">
      <w:pPr>
        <w:numPr>
          <w:ilvl w:val="0"/>
          <w:numId w:val="5"/>
        </w:numPr>
        <w:tabs>
          <w:tab w:val="left" w:pos="362"/>
        </w:tabs>
        <w:spacing w:line="246" w:lineRule="auto"/>
        <w:ind w:left="362" w:hanging="362"/>
        <w:rPr>
          <w:rFonts w:ascii="Symbol" w:eastAsia="Symbol" w:hAnsi="Symbol" w:cs="Symbol"/>
          <w:sz w:val="20"/>
          <w:szCs w:val="20"/>
        </w:rPr>
      </w:pPr>
      <w:r>
        <w:rPr>
          <w:rFonts w:eastAsia="Times New Roman"/>
          <w:color w:val="4173AF"/>
          <w:sz w:val="20"/>
          <w:szCs w:val="20"/>
        </w:rPr>
        <w:t>Instructor Dashboard</w:t>
      </w:r>
      <w:r>
        <w:rPr>
          <w:rFonts w:eastAsia="Times New Roman"/>
          <w:color w:val="000000"/>
          <w:sz w:val="20"/>
          <w:szCs w:val="20"/>
        </w:rPr>
        <w:t>: Some of the Reports available</w:t>
      </w:r>
      <w:r>
        <w:rPr>
          <w:rFonts w:eastAsia="Times New Roman"/>
          <w:color w:val="4173AF"/>
          <w:sz w:val="20"/>
          <w:szCs w:val="20"/>
        </w:rPr>
        <w:t xml:space="preserve"> </w:t>
      </w:r>
      <w:r>
        <w:rPr>
          <w:rFonts w:eastAsia="Times New Roman"/>
          <w:color w:val="000000"/>
          <w:sz w:val="20"/>
          <w:szCs w:val="20"/>
        </w:rPr>
        <w:t>under the Data Download Section:</w:t>
      </w:r>
    </w:p>
    <w:p w:rsidR="007D0720" w:rsidRDefault="007E26B5">
      <w:pPr>
        <w:spacing w:line="222" w:lineRule="auto"/>
        <w:ind w:left="362"/>
        <w:rPr>
          <w:rFonts w:ascii="Symbol" w:eastAsia="Symbol" w:hAnsi="Symbol" w:cs="Symbol"/>
          <w:sz w:val="20"/>
          <w:szCs w:val="20"/>
        </w:rPr>
      </w:pPr>
      <w:r>
        <w:rPr>
          <w:rFonts w:ascii="Courier New" w:eastAsia="Courier New" w:hAnsi="Courier New" w:cs="Courier New"/>
          <w:sz w:val="20"/>
          <w:szCs w:val="20"/>
        </w:rPr>
        <w:t xml:space="preserve">o  </w:t>
      </w:r>
      <w:r>
        <w:rPr>
          <w:rFonts w:eastAsia="Times New Roman"/>
          <w:sz w:val="20"/>
          <w:szCs w:val="20"/>
        </w:rPr>
        <w:t>Learner Profile</w:t>
      </w:r>
    </w:p>
    <w:p w:rsidR="007D0720" w:rsidRDefault="007E26B5">
      <w:pPr>
        <w:spacing w:line="224" w:lineRule="auto"/>
        <w:ind w:left="362" w:right="2600"/>
        <w:rPr>
          <w:rFonts w:ascii="Symbol" w:eastAsia="Symbol" w:hAnsi="Symbol" w:cs="Symbol"/>
          <w:sz w:val="20"/>
          <w:szCs w:val="20"/>
        </w:rPr>
      </w:pPr>
      <w:r>
        <w:rPr>
          <w:rFonts w:ascii="Courier New" w:eastAsia="Courier New" w:hAnsi="Courier New" w:cs="Courier New"/>
          <w:sz w:val="20"/>
          <w:szCs w:val="20"/>
        </w:rPr>
        <w:t xml:space="preserve">o </w:t>
      </w:r>
      <w:r>
        <w:rPr>
          <w:rFonts w:eastAsia="Times New Roman"/>
          <w:sz w:val="20"/>
          <w:szCs w:val="20"/>
        </w:rPr>
        <w:t>Problem Response</w:t>
      </w:r>
      <w:r>
        <w:rPr>
          <w:rFonts w:ascii="Courier New" w:eastAsia="Courier New" w:hAnsi="Courier New" w:cs="Courier New"/>
          <w:sz w:val="20"/>
          <w:szCs w:val="20"/>
        </w:rPr>
        <w:t xml:space="preserve"> o </w:t>
      </w:r>
      <w:r>
        <w:rPr>
          <w:rFonts w:eastAsia="Times New Roman"/>
          <w:sz w:val="20"/>
          <w:szCs w:val="20"/>
        </w:rPr>
        <w:t>Grade</w:t>
      </w:r>
    </w:p>
    <w:p w:rsidR="007D0720" w:rsidRDefault="007E26B5">
      <w:pPr>
        <w:spacing w:line="238" w:lineRule="auto"/>
        <w:ind w:left="362"/>
        <w:rPr>
          <w:rFonts w:ascii="Symbol" w:eastAsia="Symbol" w:hAnsi="Symbol" w:cs="Symbol"/>
          <w:sz w:val="20"/>
          <w:szCs w:val="20"/>
        </w:rPr>
      </w:pPr>
      <w:r>
        <w:rPr>
          <w:rFonts w:ascii="Courier New" w:eastAsia="Courier New" w:hAnsi="Courier New" w:cs="Courier New"/>
          <w:sz w:val="20"/>
          <w:szCs w:val="20"/>
        </w:rPr>
        <w:t xml:space="preserve">o  </w:t>
      </w:r>
      <w:r>
        <w:rPr>
          <w:rFonts w:eastAsia="Times New Roman"/>
          <w:sz w:val="20"/>
          <w:szCs w:val="20"/>
        </w:rPr>
        <w:t>Problem Grade</w:t>
      </w:r>
    </w:p>
    <w:p w:rsidR="007D0720" w:rsidRDefault="007E26B5">
      <w:pPr>
        <w:numPr>
          <w:ilvl w:val="0"/>
          <w:numId w:val="5"/>
        </w:numPr>
        <w:tabs>
          <w:tab w:val="left" w:pos="362"/>
        </w:tabs>
        <w:spacing w:line="224" w:lineRule="auto"/>
        <w:ind w:left="362" w:right="20" w:hanging="362"/>
        <w:rPr>
          <w:rFonts w:ascii="Symbol" w:eastAsia="Symbol" w:hAnsi="Symbol" w:cs="Symbol"/>
          <w:sz w:val="20"/>
          <w:szCs w:val="20"/>
        </w:rPr>
      </w:pPr>
      <w:r>
        <w:rPr>
          <w:rFonts w:eastAsia="Times New Roman"/>
          <w:color w:val="4173AF"/>
          <w:sz w:val="20"/>
          <w:szCs w:val="20"/>
        </w:rPr>
        <w:t>New Insights Module</w:t>
      </w:r>
      <w:r>
        <w:rPr>
          <w:rFonts w:eastAsia="Times New Roman"/>
          <w:color w:val="000000"/>
          <w:sz w:val="20"/>
          <w:szCs w:val="20"/>
        </w:rPr>
        <w:t>: Four major areas of Insights are:</w:t>
      </w:r>
      <w:r>
        <w:rPr>
          <w:rFonts w:eastAsia="Times New Roman"/>
          <w:color w:val="4173AF"/>
          <w:sz w:val="20"/>
          <w:szCs w:val="20"/>
        </w:rPr>
        <w:t xml:space="preserve"> </w:t>
      </w:r>
      <w:r>
        <w:rPr>
          <w:rFonts w:ascii="Courier New" w:eastAsia="Courier New" w:hAnsi="Courier New" w:cs="Courier New"/>
          <w:color w:val="000000"/>
          <w:sz w:val="20"/>
          <w:szCs w:val="20"/>
        </w:rPr>
        <w:t xml:space="preserve">o </w:t>
      </w:r>
      <w:r>
        <w:rPr>
          <w:rFonts w:eastAsia="Times New Roman"/>
          <w:color w:val="000000"/>
          <w:sz w:val="20"/>
          <w:szCs w:val="20"/>
        </w:rPr>
        <w:t>Enrollment</w:t>
      </w:r>
    </w:p>
    <w:p w:rsidR="007D0720" w:rsidRDefault="007D0720">
      <w:pPr>
        <w:spacing w:line="1" w:lineRule="exact"/>
        <w:rPr>
          <w:rFonts w:ascii="Symbol" w:eastAsia="Symbol" w:hAnsi="Symbol" w:cs="Symbol"/>
          <w:sz w:val="20"/>
          <w:szCs w:val="20"/>
        </w:rPr>
      </w:pPr>
    </w:p>
    <w:p w:rsidR="007D0720" w:rsidRDefault="007E26B5">
      <w:pPr>
        <w:spacing w:line="249" w:lineRule="auto"/>
        <w:ind w:left="362" w:right="3080"/>
        <w:jc w:val="both"/>
        <w:rPr>
          <w:rFonts w:ascii="Symbol" w:eastAsia="Symbol" w:hAnsi="Symbol" w:cs="Symbol"/>
          <w:sz w:val="20"/>
          <w:szCs w:val="20"/>
        </w:rPr>
      </w:pPr>
      <w:r>
        <w:rPr>
          <w:rFonts w:ascii="Courier New" w:eastAsia="Courier New" w:hAnsi="Courier New" w:cs="Courier New"/>
          <w:sz w:val="20"/>
          <w:szCs w:val="20"/>
        </w:rPr>
        <w:t xml:space="preserve">o </w:t>
      </w:r>
      <w:r>
        <w:rPr>
          <w:rFonts w:eastAsia="Times New Roman"/>
          <w:sz w:val="20"/>
          <w:szCs w:val="20"/>
        </w:rPr>
        <w:t>Engagement</w:t>
      </w:r>
      <w:r>
        <w:rPr>
          <w:rFonts w:ascii="Courier New" w:eastAsia="Courier New" w:hAnsi="Courier New" w:cs="Courier New"/>
          <w:sz w:val="20"/>
          <w:szCs w:val="20"/>
        </w:rPr>
        <w:t xml:space="preserve"> o </w:t>
      </w:r>
      <w:r>
        <w:rPr>
          <w:rFonts w:eastAsia="Times New Roman"/>
          <w:sz w:val="20"/>
          <w:szCs w:val="20"/>
        </w:rPr>
        <w:t>Performance</w:t>
      </w:r>
      <w:r>
        <w:rPr>
          <w:rFonts w:ascii="Courier New" w:eastAsia="Courier New" w:hAnsi="Courier New" w:cs="Courier New"/>
          <w:sz w:val="20"/>
          <w:szCs w:val="20"/>
        </w:rPr>
        <w:t xml:space="preserve"> o </w:t>
      </w:r>
      <w:r>
        <w:rPr>
          <w:rFonts w:eastAsia="Times New Roman"/>
          <w:sz w:val="20"/>
          <w:szCs w:val="20"/>
        </w:rPr>
        <w:t>Learners</w:t>
      </w:r>
    </w:p>
    <w:p w:rsidR="007D0720" w:rsidRDefault="007D0720">
      <w:pPr>
        <w:spacing w:line="13" w:lineRule="exact"/>
        <w:rPr>
          <w:sz w:val="20"/>
          <w:szCs w:val="20"/>
        </w:rPr>
      </w:pPr>
    </w:p>
    <w:p w:rsidR="007D0720" w:rsidRDefault="007E26B5">
      <w:pPr>
        <w:spacing w:line="243" w:lineRule="auto"/>
        <w:ind w:left="2"/>
        <w:jc w:val="both"/>
        <w:rPr>
          <w:sz w:val="20"/>
          <w:szCs w:val="20"/>
        </w:rPr>
      </w:pPr>
      <w:r>
        <w:rPr>
          <w:rFonts w:eastAsia="Times New Roman"/>
          <w:sz w:val="20"/>
          <w:szCs w:val="20"/>
        </w:rPr>
        <w:t>The edX Instructor Dashboard doesn’t provide reports specifically for the learner engagement, but reports like Problem Response &amp; Problem Grade could be utilized to analyze the engagement. Converting the response &amp; grade reports int</w:t>
      </w:r>
      <w:r>
        <w:rPr>
          <w:rFonts w:eastAsia="Times New Roman"/>
          <w:sz w:val="20"/>
          <w:szCs w:val="20"/>
        </w:rPr>
        <w:t>o engagement reports would require data processing and cleanup, which might be difficult for course instructors and designers due to lack of data analytics and visualization skills.</w:t>
      </w:r>
    </w:p>
    <w:p w:rsidR="007D0720" w:rsidRDefault="007D0720">
      <w:pPr>
        <w:spacing w:line="96" w:lineRule="exact"/>
        <w:rPr>
          <w:sz w:val="20"/>
          <w:szCs w:val="20"/>
        </w:rPr>
      </w:pPr>
    </w:p>
    <w:p w:rsidR="007D0720" w:rsidRDefault="007E26B5">
      <w:pPr>
        <w:spacing w:line="247" w:lineRule="auto"/>
        <w:ind w:left="2"/>
        <w:jc w:val="both"/>
        <w:rPr>
          <w:sz w:val="20"/>
          <w:szCs w:val="20"/>
        </w:rPr>
      </w:pPr>
      <w:r>
        <w:rPr>
          <w:rFonts w:eastAsia="Times New Roman"/>
          <w:sz w:val="20"/>
          <w:szCs w:val="20"/>
        </w:rPr>
        <w:t>edX Insights provides following functionality for learner engagement</w:t>
      </w:r>
    </w:p>
    <w:p w:rsidR="007D0720" w:rsidRDefault="007D0720">
      <w:pPr>
        <w:spacing w:line="2" w:lineRule="exact"/>
        <w:rPr>
          <w:sz w:val="20"/>
          <w:szCs w:val="20"/>
        </w:rPr>
      </w:pPr>
    </w:p>
    <w:p w:rsidR="007D0720" w:rsidRDefault="007E26B5">
      <w:pPr>
        <w:numPr>
          <w:ilvl w:val="0"/>
          <w:numId w:val="6"/>
        </w:numPr>
        <w:tabs>
          <w:tab w:val="left" w:pos="362"/>
        </w:tabs>
        <w:ind w:left="362" w:hanging="362"/>
        <w:rPr>
          <w:rFonts w:ascii="Symbol" w:eastAsia="Symbol" w:hAnsi="Symbol" w:cs="Symbol"/>
          <w:sz w:val="20"/>
          <w:szCs w:val="20"/>
        </w:rPr>
      </w:pPr>
      <w:r>
        <w:rPr>
          <w:rFonts w:eastAsia="Times New Roman"/>
          <w:sz w:val="20"/>
          <w:szCs w:val="20"/>
        </w:rPr>
        <w:t>Lea</w:t>
      </w:r>
      <w:r>
        <w:rPr>
          <w:rFonts w:eastAsia="Times New Roman"/>
          <w:sz w:val="20"/>
          <w:szCs w:val="20"/>
        </w:rPr>
        <w:t>rner Content Engagement over time</w:t>
      </w:r>
    </w:p>
    <w:p w:rsidR="007D0720" w:rsidRDefault="007D0720">
      <w:pPr>
        <w:spacing w:line="12" w:lineRule="exact"/>
        <w:rPr>
          <w:rFonts w:ascii="Symbol" w:eastAsia="Symbol" w:hAnsi="Symbol" w:cs="Symbol"/>
          <w:sz w:val="20"/>
          <w:szCs w:val="20"/>
        </w:rPr>
      </w:pPr>
    </w:p>
    <w:p w:rsidR="007D0720" w:rsidRDefault="007E26B5">
      <w:pPr>
        <w:spacing w:line="224" w:lineRule="auto"/>
        <w:ind w:left="722" w:hanging="360"/>
        <w:rPr>
          <w:rFonts w:ascii="Symbol" w:eastAsia="Symbol" w:hAnsi="Symbol" w:cs="Symbol"/>
          <w:sz w:val="20"/>
          <w:szCs w:val="20"/>
        </w:rPr>
      </w:pPr>
      <w:r>
        <w:rPr>
          <w:rFonts w:ascii="Courier New" w:eastAsia="Courier New" w:hAnsi="Courier New" w:cs="Courier New"/>
          <w:sz w:val="20"/>
          <w:szCs w:val="20"/>
        </w:rPr>
        <w:t xml:space="preserve">o </w:t>
      </w:r>
      <w:r>
        <w:rPr>
          <w:rFonts w:eastAsia="Times New Roman"/>
          <w:sz w:val="20"/>
          <w:szCs w:val="20"/>
        </w:rPr>
        <w:t>Active Learners: Learners who visited at least one</w:t>
      </w:r>
      <w:r>
        <w:rPr>
          <w:rFonts w:ascii="Courier New" w:eastAsia="Courier New" w:hAnsi="Courier New" w:cs="Courier New"/>
          <w:sz w:val="20"/>
          <w:szCs w:val="20"/>
        </w:rPr>
        <w:t xml:space="preserve"> </w:t>
      </w:r>
      <w:r>
        <w:rPr>
          <w:rFonts w:eastAsia="Times New Roman"/>
          <w:sz w:val="20"/>
          <w:szCs w:val="20"/>
        </w:rPr>
        <w:t>course content page</w:t>
      </w:r>
    </w:p>
    <w:p w:rsidR="007D0720" w:rsidRDefault="007E26B5">
      <w:pPr>
        <w:spacing w:line="223" w:lineRule="auto"/>
        <w:ind w:left="362" w:right="2720"/>
        <w:rPr>
          <w:rFonts w:ascii="Symbol" w:eastAsia="Symbol" w:hAnsi="Symbol" w:cs="Symbol"/>
          <w:sz w:val="20"/>
          <w:szCs w:val="20"/>
        </w:rPr>
      </w:pPr>
      <w:r>
        <w:rPr>
          <w:rFonts w:ascii="Courier New" w:eastAsia="Courier New" w:hAnsi="Courier New" w:cs="Courier New"/>
          <w:sz w:val="20"/>
          <w:szCs w:val="20"/>
        </w:rPr>
        <w:t xml:space="preserve">o </w:t>
      </w:r>
      <w:r>
        <w:rPr>
          <w:rFonts w:eastAsia="Times New Roman"/>
          <w:sz w:val="20"/>
          <w:szCs w:val="20"/>
        </w:rPr>
        <w:t>Watched a Video</w:t>
      </w:r>
      <w:r>
        <w:rPr>
          <w:rFonts w:ascii="Courier New" w:eastAsia="Courier New" w:hAnsi="Courier New" w:cs="Courier New"/>
          <w:sz w:val="20"/>
          <w:szCs w:val="20"/>
        </w:rPr>
        <w:t xml:space="preserve"> o </w:t>
      </w:r>
      <w:r>
        <w:rPr>
          <w:rFonts w:eastAsia="Times New Roman"/>
          <w:sz w:val="20"/>
          <w:szCs w:val="20"/>
        </w:rPr>
        <w:t>Tried a Problem</w:t>
      </w:r>
    </w:p>
    <w:p w:rsidR="007D0720" w:rsidRDefault="007E26B5">
      <w:pPr>
        <w:spacing w:line="238" w:lineRule="auto"/>
        <w:ind w:left="362"/>
        <w:rPr>
          <w:rFonts w:ascii="Symbol" w:eastAsia="Symbol" w:hAnsi="Symbol" w:cs="Symbol"/>
          <w:sz w:val="20"/>
          <w:szCs w:val="20"/>
        </w:rPr>
      </w:pPr>
      <w:r>
        <w:rPr>
          <w:rFonts w:ascii="Courier New" w:eastAsia="Courier New" w:hAnsi="Courier New" w:cs="Courier New"/>
          <w:sz w:val="20"/>
          <w:szCs w:val="20"/>
        </w:rPr>
        <w:t xml:space="preserve">o  </w:t>
      </w:r>
      <w:r>
        <w:rPr>
          <w:rFonts w:eastAsia="Times New Roman"/>
          <w:sz w:val="20"/>
          <w:szCs w:val="20"/>
        </w:rPr>
        <w:t>Participated in Discussions</w:t>
      </w:r>
    </w:p>
    <w:p w:rsidR="007D0720" w:rsidRDefault="007E26B5">
      <w:pPr>
        <w:numPr>
          <w:ilvl w:val="0"/>
          <w:numId w:val="6"/>
        </w:numPr>
        <w:tabs>
          <w:tab w:val="left" w:pos="362"/>
        </w:tabs>
        <w:spacing w:line="231" w:lineRule="auto"/>
        <w:ind w:left="362" w:hanging="362"/>
        <w:rPr>
          <w:rFonts w:ascii="Symbol" w:eastAsia="Symbol" w:hAnsi="Symbol" w:cs="Symbol"/>
          <w:sz w:val="20"/>
          <w:szCs w:val="20"/>
        </w:rPr>
      </w:pPr>
      <w:r>
        <w:rPr>
          <w:rFonts w:eastAsia="Times New Roman"/>
          <w:sz w:val="20"/>
          <w:szCs w:val="20"/>
        </w:rPr>
        <w:t>Video Engagement by course content by Complete and Incomplete with drill down cap</w:t>
      </w:r>
      <w:r>
        <w:rPr>
          <w:rFonts w:eastAsia="Times New Roman"/>
          <w:sz w:val="20"/>
          <w:szCs w:val="20"/>
        </w:rPr>
        <w:t>abilities into</w:t>
      </w:r>
    </w:p>
    <w:p w:rsidR="007D0720" w:rsidRDefault="007E26B5">
      <w:pPr>
        <w:spacing w:line="225" w:lineRule="auto"/>
        <w:ind w:left="362" w:right="3220"/>
        <w:rPr>
          <w:rFonts w:ascii="Symbol" w:eastAsia="Symbol" w:hAnsi="Symbol" w:cs="Symbol"/>
          <w:sz w:val="20"/>
          <w:szCs w:val="20"/>
        </w:rPr>
      </w:pPr>
      <w:r>
        <w:rPr>
          <w:rFonts w:ascii="Courier New" w:eastAsia="Courier New" w:hAnsi="Courier New" w:cs="Courier New"/>
          <w:sz w:val="20"/>
          <w:szCs w:val="20"/>
        </w:rPr>
        <w:t xml:space="preserve">o </w:t>
      </w:r>
      <w:r>
        <w:rPr>
          <w:rFonts w:eastAsia="Times New Roman"/>
          <w:sz w:val="20"/>
          <w:szCs w:val="20"/>
        </w:rPr>
        <w:t>Sections</w:t>
      </w:r>
      <w:r>
        <w:rPr>
          <w:rFonts w:ascii="Courier New" w:eastAsia="Courier New" w:hAnsi="Courier New" w:cs="Courier New"/>
          <w:sz w:val="20"/>
          <w:szCs w:val="20"/>
        </w:rPr>
        <w:t xml:space="preserve"> o </w:t>
      </w:r>
      <w:r>
        <w:rPr>
          <w:rFonts w:eastAsia="Times New Roman"/>
          <w:sz w:val="20"/>
          <w:szCs w:val="20"/>
        </w:rPr>
        <w:t>Subsection</w:t>
      </w:r>
      <w:r>
        <w:rPr>
          <w:rFonts w:ascii="Courier New" w:eastAsia="Courier New" w:hAnsi="Courier New" w:cs="Courier New"/>
          <w:sz w:val="20"/>
          <w:szCs w:val="20"/>
        </w:rPr>
        <w:t xml:space="preserve"> o </w:t>
      </w:r>
      <w:r>
        <w:rPr>
          <w:rFonts w:eastAsia="Times New Roman"/>
          <w:sz w:val="20"/>
          <w:szCs w:val="20"/>
        </w:rPr>
        <w:t>Chapter</w:t>
      </w:r>
    </w:p>
    <w:p w:rsidR="007D0720" w:rsidRDefault="007E26B5">
      <w:pPr>
        <w:spacing w:line="222" w:lineRule="auto"/>
        <w:ind w:left="722" w:hanging="360"/>
        <w:rPr>
          <w:rFonts w:ascii="Symbol" w:eastAsia="Symbol" w:hAnsi="Symbol" w:cs="Symbol"/>
          <w:sz w:val="20"/>
          <w:szCs w:val="20"/>
        </w:rPr>
      </w:pPr>
      <w:r>
        <w:rPr>
          <w:rFonts w:ascii="Courier New" w:eastAsia="Courier New" w:hAnsi="Courier New" w:cs="Courier New"/>
          <w:sz w:val="20"/>
          <w:szCs w:val="20"/>
        </w:rPr>
        <w:t xml:space="preserve">o </w:t>
      </w:r>
      <w:r>
        <w:rPr>
          <w:rFonts w:eastAsia="Times New Roman"/>
          <w:sz w:val="20"/>
          <w:szCs w:val="20"/>
        </w:rPr>
        <w:t>Video: With details for each 5 seconds of video,</w:t>
      </w:r>
      <w:r>
        <w:rPr>
          <w:rFonts w:ascii="Courier New" w:eastAsia="Courier New" w:hAnsi="Courier New" w:cs="Courier New"/>
          <w:sz w:val="20"/>
          <w:szCs w:val="20"/>
        </w:rPr>
        <w:t xml:space="preserve"> </w:t>
      </w:r>
      <w:r>
        <w:rPr>
          <w:rFonts w:eastAsia="Times New Roman"/>
          <w:sz w:val="20"/>
          <w:szCs w:val="20"/>
        </w:rPr>
        <w:t>broken down by unique and replay views.</w:t>
      </w:r>
    </w:p>
    <w:p w:rsidR="007D0720" w:rsidRDefault="007D0720">
      <w:pPr>
        <w:spacing w:line="90" w:lineRule="exact"/>
        <w:rPr>
          <w:sz w:val="20"/>
          <w:szCs w:val="20"/>
        </w:rPr>
      </w:pPr>
    </w:p>
    <w:p w:rsidR="007D0720" w:rsidRDefault="007E26B5">
      <w:pPr>
        <w:ind w:left="2"/>
        <w:rPr>
          <w:sz w:val="20"/>
          <w:szCs w:val="20"/>
        </w:rPr>
      </w:pPr>
      <w:r>
        <w:rPr>
          <w:rFonts w:ascii="Arial" w:eastAsia="Arial" w:hAnsi="Arial" w:cs="Arial"/>
          <w:b/>
          <w:bCs/>
          <w:sz w:val="18"/>
          <w:szCs w:val="18"/>
        </w:rPr>
        <w:t>EDX: ENGAGEMENT ANALYTICS ENHANCEMENTS</w:t>
      </w:r>
    </w:p>
    <w:p w:rsidR="007D0720" w:rsidRDefault="007D0720">
      <w:pPr>
        <w:spacing w:line="34" w:lineRule="exact"/>
        <w:rPr>
          <w:sz w:val="20"/>
          <w:szCs w:val="20"/>
        </w:rPr>
      </w:pPr>
    </w:p>
    <w:p w:rsidR="007D0720" w:rsidRDefault="007E26B5">
      <w:pPr>
        <w:spacing w:line="237" w:lineRule="auto"/>
        <w:ind w:left="2"/>
        <w:jc w:val="both"/>
        <w:rPr>
          <w:sz w:val="20"/>
          <w:szCs w:val="20"/>
        </w:rPr>
      </w:pPr>
      <w:r>
        <w:rPr>
          <w:rFonts w:eastAsia="Times New Roman"/>
          <w:sz w:val="20"/>
          <w:szCs w:val="20"/>
        </w:rPr>
        <w:t xml:space="preserve">Abel and Kellen[9], working with the Caliper Analytics Framework and </w:t>
      </w:r>
      <w:r>
        <w:rPr>
          <w:rFonts w:eastAsia="Times New Roman"/>
          <w:sz w:val="20"/>
          <w:szCs w:val="20"/>
        </w:rPr>
        <w:t>University of Kentucky, are of the opinion that Engagement Analytics could be used to analyze the learner participation and keep the instructors informed about each learners’ progress. Here are some of the Engagement Analytics that could be added to edX In</w:t>
      </w:r>
      <w:r>
        <w:rPr>
          <w:rFonts w:eastAsia="Times New Roman"/>
          <w:sz w:val="20"/>
          <w:szCs w:val="20"/>
        </w:rPr>
        <w:t>sight module that will provide Course Instructor to improve Learner Engagement, which will help improve the completion rates:</w:t>
      </w:r>
    </w:p>
    <w:p w:rsidR="007D0720" w:rsidRDefault="007D0720">
      <w:pPr>
        <w:spacing w:line="9" w:lineRule="exact"/>
        <w:rPr>
          <w:sz w:val="20"/>
          <w:szCs w:val="20"/>
        </w:rPr>
      </w:pPr>
    </w:p>
    <w:p w:rsidR="007D0720" w:rsidRDefault="007E26B5">
      <w:pPr>
        <w:numPr>
          <w:ilvl w:val="0"/>
          <w:numId w:val="7"/>
        </w:numPr>
        <w:tabs>
          <w:tab w:val="left" w:pos="362"/>
        </w:tabs>
        <w:ind w:left="362" w:hanging="362"/>
        <w:rPr>
          <w:rFonts w:ascii="Symbol" w:eastAsia="Symbol" w:hAnsi="Symbol" w:cs="Symbol"/>
          <w:sz w:val="20"/>
          <w:szCs w:val="20"/>
        </w:rPr>
      </w:pPr>
      <w:r>
        <w:rPr>
          <w:rFonts w:eastAsia="Times New Roman"/>
          <w:sz w:val="20"/>
          <w:szCs w:val="20"/>
        </w:rPr>
        <w:t>Video Engagement for Course Content Feedback</w:t>
      </w:r>
    </w:p>
    <w:p w:rsidR="007D0720" w:rsidRDefault="007D0720">
      <w:pPr>
        <w:spacing w:line="12" w:lineRule="exact"/>
        <w:rPr>
          <w:rFonts w:ascii="Symbol" w:eastAsia="Symbol" w:hAnsi="Symbol" w:cs="Symbol"/>
          <w:sz w:val="20"/>
          <w:szCs w:val="20"/>
        </w:rPr>
      </w:pPr>
    </w:p>
    <w:p w:rsidR="007D0720" w:rsidRDefault="007E26B5">
      <w:pPr>
        <w:numPr>
          <w:ilvl w:val="0"/>
          <w:numId w:val="7"/>
        </w:numPr>
        <w:tabs>
          <w:tab w:val="left" w:pos="362"/>
        </w:tabs>
        <w:ind w:left="362" w:hanging="362"/>
        <w:rPr>
          <w:rFonts w:ascii="Symbol" w:eastAsia="Symbol" w:hAnsi="Symbol" w:cs="Symbol"/>
          <w:sz w:val="20"/>
          <w:szCs w:val="20"/>
        </w:rPr>
      </w:pPr>
      <w:r>
        <w:rPr>
          <w:rFonts w:eastAsia="Times New Roman"/>
          <w:sz w:val="20"/>
          <w:szCs w:val="20"/>
        </w:rPr>
        <w:t>Assignment Engagement for Course Content Feedback</w:t>
      </w:r>
    </w:p>
    <w:p w:rsidR="007D0720" w:rsidRDefault="007E26B5">
      <w:pPr>
        <w:numPr>
          <w:ilvl w:val="0"/>
          <w:numId w:val="7"/>
        </w:numPr>
        <w:tabs>
          <w:tab w:val="left" w:pos="362"/>
        </w:tabs>
        <w:ind w:left="362" w:hanging="362"/>
        <w:jc w:val="both"/>
        <w:rPr>
          <w:rFonts w:ascii="Symbol" w:eastAsia="Symbol" w:hAnsi="Symbol" w:cs="Symbol"/>
          <w:sz w:val="20"/>
          <w:szCs w:val="20"/>
        </w:rPr>
      </w:pPr>
      <w:r>
        <w:rPr>
          <w:rFonts w:eastAsia="Times New Roman"/>
          <w:sz w:val="20"/>
          <w:szCs w:val="20"/>
        </w:rPr>
        <w:t>Learner Course Content Activity (</w:t>
      </w:r>
      <w:r>
        <w:rPr>
          <w:rFonts w:eastAsia="Times New Roman"/>
          <w:sz w:val="20"/>
          <w:szCs w:val="20"/>
        </w:rPr>
        <w:t>web page, video, assignment &amp; discussion) for Learner Engagement and Completion Probability</w:t>
      </w:r>
    </w:p>
    <w:p w:rsidR="007D0720" w:rsidRDefault="007E26B5">
      <w:pPr>
        <w:spacing w:line="20" w:lineRule="exact"/>
        <w:rPr>
          <w:sz w:val="20"/>
          <w:szCs w:val="20"/>
        </w:rPr>
      </w:pPr>
      <w:r>
        <w:rPr>
          <w:sz w:val="20"/>
          <w:szCs w:val="20"/>
        </w:rPr>
        <w:br w:type="column"/>
      </w:r>
    </w:p>
    <w:p w:rsidR="007D0720" w:rsidRDefault="007E26B5">
      <w:pPr>
        <w:numPr>
          <w:ilvl w:val="0"/>
          <w:numId w:val="8"/>
        </w:numPr>
        <w:tabs>
          <w:tab w:val="left" w:pos="366"/>
        </w:tabs>
        <w:ind w:left="366" w:hanging="366"/>
        <w:rPr>
          <w:rFonts w:ascii="Symbol" w:eastAsia="Symbol" w:hAnsi="Symbol" w:cs="Symbol"/>
          <w:sz w:val="20"/>
          <w:szCs w:val="20"/>
        </w:rPr>
      </w:pPr>
      <w:r>
        <w:rPr>
          <w:rFonts w:eastAsia="Times New Roman"/>
          <w:sz w:val="20"/>
          <w:szCs w:val="20"/>
        </w:rPr>
        <w:t>Learner  Profile  Analysis  for  Predictive  Completion</w:t>
      </w:r>
    </w:p>
    <w:p w:rsidR="007D0720" w:rsidRDefault="007D0720">
      <w:pPr>
        <w:spacing w:line="12" w:lineRule="exact"/>
        <w:rPr>
          <w:sz w:val="20"/>
          <w:szCs w:val="20"/>
        </w:rPr>
      </w:pPr>
    </w:p>
    <w:p w:rsidR="007D0720" w:rsidRDefault="007E26B5">
      <w:pPr>
        <w:ind w:left="366"/>
        <w:rPr>
          <w:sz w:val="20"/>
          <w:szCs w:val="20"/>
        </w:rPr>
      </w:pPr>
      <w:r>
        <w:rPr>
          <w:rFonts w:eastAsia="Times New Roman"/>
          <w:sz w:val="20"/>
          <w:szCs w:val="20"/>
        </w:rPr>
        <w:t>Probability</w:t>
      </w:r>
    </w:p>
    <w:p w:rsidR="007D0720" w:rsidRDefault="007E26B5">
      <w:pPr>
        <w:spacing w:line="235" w:lineRule="auto"/>
        <w:ind w:left="6"/>
        <w:jc w:val="both"/>
        <w:rPr>
          <w:sz w:val="20"/>
          <w:szCs w:val="20"/>
        </w:rPr>
      </w:pPr>
      <w:r>
        <w:rPr>
          <w:rFonts w:eastAsia="Times New Roman"/>
          <w:sz w:val="20"/>
          <w:szCs w:val="20"/>
        </w:rPr>
        <w:t xml:space="preserve">edX Content Insights highlights that learners engage with different types of course content, </w:t>
      </w:r>
      <w:r>
        <w:rPr>
          <w:rFonts w:eastAsia="Times New Roman"/>
          <w:sz w:val="20"/>
          <w:szCs w:val="20"/>
        </w:rPr>
        <w:t>listed in decreasing order of engagement</w:t>
      </w:r>
    </w:p>
    <w:p w:rsidR="007D0720" w:rsidRDefault="007D0720">
      <w:pPr>
        <w:spacing w:line="3" w:lineRule="exact"/>
        <w:rPr>
          <w:sz w:val="20"/>
          <w:szCs w:val="20"/>
        </w:rPr>
      </w:pPr>
    </w:p>
    <w:p w:rsidR="007D0720" w:rsidRDefault="007E26B5">
      <w:pPr>
        <w:numPr>
          <w:ilvl w:val="0"/>
          <w:numId w:val="9"/>
        </w:numPr>
        <w:tabs>
          <w:tab w:val="left" w:pos="366"/>
        </w:tabs>
        <w:ind w:left="366" w:hanging="366"/>
        <w:rPr>
          <w:rFonts w:ascii="Symbol" w:eastAsia="Symbol" w:hAnsi="Symbol" w:cs="Symbol"/>
          <w:sz w:val="20"/>
          <w:szCs w:val="20"/>
        </w:rPr>
      </w:pPr>
      <w:r>
        <w:rPr>
          <w:rFonts w:eastAsia="Times New Roman"/>
          <w:sz w:val="20"/>
          <w:szCs w:val="20"/>
        </w:rPr>
        <w:t>Content Pages</w:t>
      </w:r>
    </w:p>
    <w:p w:rsidR="007D0720" w:rsidRDefault="007D0720">
      <w:pPr>
        <w:spacing w:line="12" w:lineRule="exact"/>
        <w:rPr>
          <w:rFonts w:ascii="Symbol" w:eastAsia="Symbol" w:hAnsi="Symbol" w:cs="Symbol"/>
          <w:sz w:val="20"/>
          <w:szCs w:val="20"/>
        </w:rPr>
      </w:pPr>
    </w:p>
    <w:p w:rsidR="007D0720" w:rsidRDefault="007E26B5">
      <w:pPr>
        <w:numPr>
          <w:ilvl w:val="0"/>
          <w:numId w:val="9"/>
        </w:numPr>
        <w:tabs>
          <w:tab w:val="left" w:pos="366"/>
        </w:tabs>
        <w:spacing w:line="235" w:lineRule="auto"/>
        <w:ind w:left="366" w:hanging="366"/>
        <w:rPr>
          <w:rFonts w:ascii="Symbol" w:eastAsia="Symbol" w:hAnsi="Symbol" w:cs="Symbol"/>
          <w:sz w:val="20"/>
          <w:szCs w:val="20"/>
        </w:rPr>
      </w:pPr>
      <w:r>
        <w:rPr>
          <w:rFonts w:eastAsia="Times New Roman"/>
          <w:sz w:val="20"/>
          <w:szCs w:val="20"/>
        </w:rPr>
        <w:t>Videos</w:t>
      </w:r>
    </w:p>
    <w:p w:rsidR="007D0720" w:rsidRDefault="007E26B5">
      <w:pPr>
        <w:numPr>
          <w:ilvl w:val="0"/>
          <w:numId w:val="9"/>
        </w:numPr>
        <w:tabs>
          <w:tab w:val="left" w:pos="366"/>
        </w:tabs>
        <w:ind w:left="366" w:hanging="366"/>
        <w:rPr>
          <w:rFonts w:ascii="Symbol" w:eastAsia="Symbol" w:hAnsi="Symbol" w:cs="Symbol"/>
          <w:sz w:val="20"/>
          <w:szCs w:val="20"/>
        </w:rPr>
      </w:pPr>
      <w:r>
        <w:rPr>
          <w:rFonts w:eastAsia="Times New Roman"/>
          <w:sz w:val="20"/>
          <w:szCs w:val="20"/>
        </w:rPr>
        <w:t>Assignments: Exercise, Assignment and Test</w:t>
      </w:r>
    </w:p>
    <w:p w:rsidR="007D0720" w:rsidRDefault="007E26B5">
      <w:pPr>
        <w:numPr>
          <w:ilvl w:val="0"/>
          <w:numId w:val="9"/>
        </w:numPr>
        <w:tabs>
          <w:tab w:val="left" w:pos="366"/>
        </w:tabs>
        <w:ind w:left="366" w:hanging="366"/>
        <w:rPr>
          <w:rFonts w:ascii="Symbol" w:eastAsia="Symbol" w:hAnsi="Symbol" w:cs="Symbol"/>
          <w:sz w:val="20"/>
          <w:szCs w:val="20"/>
        </w:rPr>
      </w:pPr>
      <w:r>
        <w:rPr>
          <w:rFonts w:eastAsia="Times New Roman"/>
          <w:sz w:val="20"/>
          <w:szCs w:val="20"/>
        </w:rPr>
        <w:t>Discussions</w:t>
      </w:r>
    </w:p>
    <w:p w:rsidR="007D0720" w:rsidRDefault="007E26B5">
      <w:pPr>
        <w:spacing w:line="20" w:lineRule="exact"/>
        <w:rPr>
          <w:sz w:val="20"/>
          <w:szCs w:val="20"/>
        </w:rPr>
      </w:pPr>
      <w:r>
        <w:rPr>
          <w:noProof/>
          <w:sz w:val="20"/>
          <w:szCs w:val="20"/>
        </w:rPr>
        <w:drawing>
          <wp:anchor distT="0" distB="0" distL="114300" distR="114300" simplePos="0" relativeHeight="251641856" behindDoc="1" locked="0" layoutInCell="0" allowOverlap="1">
            <wp:simplePos x="0" y="0"/>
            <wp:positionH relativeFrom="column">
              <wp:posOffset>0</wp:posOffset>
            </wp:positionH>
            <wp:positionV relativeFrom="paragraph">
              <wp:posOffset>-6985</wp:posOffset>
            </wp:positionV>
            <wp:extent cx="3063240" cy="15881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blip>
                    <a:srcRect/>
                    <a:stretch>
                      <a:fillRect/>
                    </a:stretch>
                  </pic:blipFill>
                  <pic:spPr bwMode="auto">
                    <a:xfrm>
                      <a:off x="0" y="0"/>
                      <a:ext cx="3063240" cy="1588135"/>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76" w:lineRule="exact"/>
        <w:rPr>
          <w:sz w:val="20"/>
          <w:szCs w:val="20"/>
        </w:rPr>
      </w:pPr>
    </w:p>
    <w:p w:rsidR="007D0720" w:rsidRDefault="007E26B5">
      <w:pPr>
        <w:spacing w:line="271" w:lineRule="auto"/>
        <w:ind w:left="6"/>
        <w:jc w:val="both"/>
        <w:rPr>
          <w:sz w:val="20"/>
          <w:szCs w:val="20"/>
        </w:rPr>
      </w:pPr>
      <w:r>
        <w:rPr>
          <w:rFonts w:eastAsia="Times New Roman"/>
          <w:b/>
          <w:bCs/>
          <w:sz w:val="18"/>
          <w:szCs w:val="18"/>
        </w:rPr>
        <w:t>Figure 1. Learner engagement with different types of Course Content.</w:t>
      </w:r>
    </w:p>
    <w:p w:rsidR="007D0720" w:rsidRDefault="007D0720">
      <w:pPr>
        <w:spacing w:line="386" w:lineRule="exact"/>
        <w:rPr>
          <w:sz w:val="20"/>
          <w:szCs w:val="20"/>
        </w:rPr>
      </w:pPr>
    </w:p>
    <w:p w:rsidR="007D0720" w:rsidRDefault="007E26B5">
      <w:pPr>
        <w:ind w:left="6"/>
        <w:rPr>
          <w:sz w:val="20"/>
          <w:szCs w:val="20"/>
        </w:rPr>
      </w:pPr>
      <w:r>
        <w:rPr>
          <w:rFonts w:ascii="Arial" w:eastAsia="Arial" w:hAnsi="Arial" w:cs="Arial"/>
          <w:b/>
          <w:bCs/>
          <w:sz w:val="18"/>
          <w:szCs w:val="18"/>
        </w:rPr>
        <w:t>EDXLYTICS: LEARNER ENGAGEMENT</w:t>
      </w:r>
    </w:p>
    <w:p w:rsidR="007D0720" w:rsidRDefault="007D0720">
      <w:pPr>
        <w:spacing w:line="34" w:lineRule="exact"/>
        <w:rPr>
          <w:sz w:val="20"/>
          <w:szCs w:val="20"/>
        </w:rPr>
      </w:pPr>
    </w:p>
    <w:p w:rsidR="007D0720" w:rsidRDefault="007E26B5">
      <w:pPr>
        <w:spacing w:line="239" w:lineRule="auto"/>
        <w:ind w:left="6"/>
        <w:jc w:val="both"/>
        <w:rPr>
          <w:sz w:val="20"/>
          <w:szCs w:val="20"/>
        </w:rPr>
      </w:pPr>
      <w:r>
        <w:rPr>
          <w:rFonts w:eastAsia="Times New Roman"/>
          <w:sz w:val="20"/>
          <w:szCs w:val="20"/>
        </w:rPr>
        <w:t xml:space="preserve">The edXlytics Project </w:t>
      </w:r>
      <w:r>
        <w:rPr>
          <w:rFonts w:eastAsia="Times New Roman"/>
          <w:sz w:val="20"/>
          <w:szCs w:val="20"/>
        </w:rPr>
        <w:t>focusses on Learner Engagement with Video &amp; Assignment Content. The edX Insight module is a great starting point for Video Content Engagement, but edX does not provide much functionality for Assignment Content Engagement.</w:t>
      </w:r>
    </w:p>
    <w:p w:rsidR="007D0720" w:rsidRDefault="007D0720">
      <w:pPr>
        <w:spacing w:line="93" w:lineRule="exact"/>
        <w:rPr>
          <w:sz w:val="20"/>
          <w:szCs w:val="20"/>
        </w:rPr>
      </w:pPr>
    </w:p>
    <w:p w:rsidR="007D0720" w:rsidRDefault="007E26B5">
      <w:pPr>
        <w:ind w:left="6"/>
        <w:rPr>
          <w:sz w:val="20"/>
          <w:szCs w:val="20"/>
        </w:rPr>
      </w:pPr>
      <w:r>
        <w:rPr>
          <w:rFonts w:ascii="Arial" w:eastAsia="Arial" w:hAnsi="Arial" w:cs="Arial"/>
          <w:b/>
          <w:bCs/>
          <w:sz w:val="18"/>
          <w:szCs w:val="18"/>
        </w:rPr>
        <w:t>Video Content Analysis</w:t>
      </w:r>
    </w:p>
    <w:p w:rsidR="007D0720" w:rsidRDefault="007D0720">
      <w:pPr>
        <w:spacing w:line="34" w:lineRule="exact"/>
        <w:rPr>
          <w:sz w:val="20"/>
          <w:szCs w:val="20"/>
        </w:rPr>
      </w:pPr>
    </w:p>
    <w:p w:rsidR="007D0720" w:rsidRDefault="007E26B5">
      <w:pPr>
        <w:spacing w:line="239" w:lineRule="auto"/>
        <w:ind w:left="6"/>
        <w:jc w:val="both"/>
        <w:rPr>
          <w:sz w:val="20"/>
          <w:szCs w:val="20"/>
        </w:rPr>
      </w:pPr>
      <w:r>
        <w:rPr>
          <w:rFonts w:eastAsia="Times New Roman"/>
          <w:sz w:val="20"/>
          <w:szCs w:val="20"/>
        </w:rPr>
        <w:t>For Video</w:t>
      </w:r>
      <w:r>
        <w:rPr>
          <w:rFonts w:eastAsia="Times New Roman"/>
          <w:sz w:val="20"/>
          <w:szCs w:val="20"/>
        </w:rPr>
        <w:t xml:space="preserve"> Content, edX Insights modules provide good functionality for insights into learner engagement patterns. Course Instructors can interact with Video Content Analytics to understand how learners are interfacing with their course. The existing UI does have so</w:t>
      </w:r>
      <w:r>
        <w:rPr>
          <w:rFonts w:eastAsia="Times New Roman"/>
          <w:sz w:val="20"/>
          <w:szCs w:val="20"/>
        </w:rPr>
        <w:t>me usability limitations, however, where the Instructors need to drill down into each Section, Subsection, Chapter and Video to view the overall learner engagement.</w:t>
      </w:r>
    </w:p>
    <w:p w:rsidR="007D0720" w:rsidRDefault="007D0720">
      <w:pPr>
        <w:spacing w:line="102" w:lineRule="exact"/>
        <w:rPr>
          <w:sz w:val="20"/>
          <w:szCs w:val="20"/>
        </w:rPr>
      </w:pPr>
    </w:p>
    <w:p w:rsidR="007D0720" w:rsidRDefault="007E26B5">
      <w:pPr>
        <w:ind w:left="6"/>
        <w:rPr>
          <w:sz w:val="20"/>
          <w:szCs w:val="20"/>
        </w:rPr>
      </w:pPr>
      <w:r>
        <w:rPr>
          <w:rFonts w:ascii="Arial" w:eastAsia="Arial" w:hAnsi="Arial" w:cs="Arial"/>
          <w:i/>
          <w:iCs/>
          <w:sz w:val="18"/>
          <w:szCs w:val="18"/>
        </w:rPr>
        <w:t>Method</w:t>
      </w:r>
    </w:p>
    <w:p w:rsidR="007D0720" w:rsidRDefault="007D0720">
      <w:pPr>
        <w:spacing w:line="24" w:lineRule="exact"/>
        <w:rPr>
          <w:sz w:val="20"/>
          <w:szCs w:val="20"/>
        </w:rPr>
      </w:pPr>
    </w:p>
    <w:p w:rsidR="007D0720" w:rsidRDefault="007E26B5">
      <w:pPr>
        <w:ind w:left="6"/>
        <w:jc w:val="both"/>
        <w:rPr>
          <w:sz w:val="20"/>
          <w:szCs w:val="20"/>
        </w:rPr>
      </w:pPr>
      <w:r>
        <w:rPr>
          <w:rFonts w:eastAsia="Times New Roman"/>
          <w:sz w:val="20"/>
          <w:szCs w:val="20"/>
        </w:rPr>
        <w:t>For Video Content Engagement, the edX Insight module provides descriptive analytic</w:t>
      </w:r>
      <w:r>
        <w:rPr>
          <w:rFonts w:eastAsia="Times New Roman"/>
          <w:sz w:val="20"/>
          <w:szCs w:val="20"/>
        </w:rPr>
        <w:t>s. The current edX Insight UI/UX requires users to aggregate some of the analytics outside the tool and stitch together observations and conclusions on their own. Using the edX Insights functionality, users get actionable insights, thus, dissolving the nee</w:t>
      </w:r>
      <w:r>
        <w:rPr>
          <w:rFonts w:eastAsia="Times New Roman"/>
          <w:sz w:val="20"/>
          <w:szCs w:val="20"/>
        </w:rPr>
        <w:t>d to invest as much in this particular area of engagement analytics.</w:t>
      </w:r>
    </w:p>
    <w:p w:rsidR="007D0720" w:rsidRDefault="007D0720">
      <w:pPr>
        <w:spacing w:line="94" w:lineRule="exact"/>
        <w:rPr>
          <w:sz w:val="20"/>
          <w:szCs w:val="20"/>
        </w:rPr>
      </w:pPr>
    </w:p>
    <w:p w:rsidR="007D0720" w:rsidRDefault="007E26B5">
      <w:pPr>
        <w:ind w:left="6"/>
        <w:rPr>
          <w:sz w:val="20"/>
          <w:szCs w:val="20"/>
        </w:rPr>
      </w:pPr>
      <w:r>
        <w:rPr>
          <w:rFonts w:ascii="Arial" w:eastAsia="Arial" w:hAnsi="Arial" w:cs="Arial"/>
          <w:i/>
          <w:iCs/>
          <w:sz w:val="18"/>
          <w:szCs w:val="18"/>
        </w:rPr>
        <w:t>Observations</w:t>
      </w:r>
    </w:p>
    <w:p w:rsidR="007D0720" w:rsidRDefault="007D0720">
      <w:pPr>
        <w:spacing w:line="26" w:lineRule="exact"/>
        <w:rPr>
          <w:sz w:val="20"/>
          <w:szCs w:val="20"/>
        </w:rPr>
      </w:pPr>
    </w:p>
    <w:p w:rsidR="007D0720" w:rsidRDefault="007E26B5">
      <w:pPr>
        <w:spacing w:line="239" w:lineRule="auto"/>
        <w:ind w:left="6"/>
        <w:jc w:val="both"/>
        <w:rPr>
          <w:sz w:val="20"/>
          <w:szCs w:val="20"/>
        </w:rPr>
      </w:pPr>
      <w:r>
        <w:rPr>
          <w:rFonts w:eastAsia="Times New Roman"/>
          <w:sz w:val="20"/>
          <w:szCs w:val="20"/>
        </w:rPr>
        <w:t>The overall trend in learner engagement shows decrease in engagement over the course of the class. The following Insight graph shows learner engagement specific to video co</w:t>
      </w:r>
      <w:r>
        <w:rPr>
          <w:rFonts w:eastAsia="Times New Roman"/>
          <w:sz w:val="20"/>
          <w:szCs w:val="20"/>
        </w:rPr>
        <w:t>ntent. All of the engagement numbers indicate that the video consumption reduces with every unit. The largest number of ‘incompletes' (least engagement) is for the</w:t>
      </w:r>
    </w:p>
    <w:p w:rsidR="007D0720" w:rsidRDefault="007D0720">
      <w:pPr>
        <w:sectPr w:rsidR="007D0720">
          <w:pgSz w:w="12240" w:h="15840"/>
          <w:pgMar w:top="1235" w:right="1080" w:bottom="924" w:left="1078" w:header="0" w:footer="0" w:gutter="0"/>
          <w:cols w:num="2" w:space="720" w:equalWidth="0">
            <w:col w:w="4822" w:space="434"/>
            <w:col w:w="4826"/>
          </w:cols>
        </w:sectPr>
      </w:pPr>
    </w:p>
    <w:p w:rsidR="007D0720" w:rsidRDefault="007E26B5">
      <w:pPr>
        <w:spacing w:line="268" w:lineRule="auto"/>
        <w:ind w:right="5260"/>
        <w:rPr>
          <w:sz w:val="20"/>
          <w:szCs w:val="20"/>
        </w:rPr>
      </w:pPr>
      <w:bookmarkStart w:id="2" w:name="page3"/>
      <w:bookmarkEnd w:id="2"/>
      <w:r>
        <w:rPr>
          <w:rFonts w:eastAsia="Times New Roman"/>
          <w:sz w:val="20"/>
          <w:szCs w:val="20"/>
        </w:rPr>
        <w:lastRenderedPageBreak/>
        <w:t xml:space="preserve">Course Information Unit, and the sharpest engagement decline is </w:t>
      </w:r>
      <w:r>
        <w:rPr>
          <w:rFonts w:eastAsia="Times New Roman"/>
          <w:sz w:val="20"/>
          <w:szCs w:val="20"/>
        </w:rPr>
        <w:t>after Unit 1.</w:t>
      </w:r>
    </w:p>
    <w:p w:rsidR="007D0720" w:rsidRDefault="007E26B5">
      <w:pPr>
        <w:spacing w:line="20" w:lineRule="exact"/>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-635</wp:posOffset>
            </wp:positionH>
            <wp:positionV relativeFrom="paragraph">
              <wp:posOffset>-316230</wp:posOffset>
            </wp:positionV>
            <wp:extent cx="6449695" cy="15328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blip>
                    <a:srcRect/>
                    <a:stretch>
                      <a:fillRect/>
                    </a:stretch>
                  </pic:blipFill>
                  <pic:spPr bwMode="auto">
                    <a:xfrm>
                      <a:off x="0" y="0"/>
                      <a:ext cx="6449695" cy="1532890"/>
                    </a:xfrm>
                    <a:prstGeom prst="rect">
                      <a:avLst/>
                    </a:prstGeom>
                    <a:noFill/>
                  </pic:spPr>
                </pic:pic>
              </a:graphicData>
            </a:graphic>
          </wp:anchor>
        </w:drawing>
      </w:r>
    </w:p>
    <w:p w:rsidR="007D0720" w:rsidRDefault="007D0720">
      <w:pPr>
        <w:sectPr w:rsidR="007D0720">
          <w:pgSz w:w="12240" w:h="15840"/>
          <w:pgMar w:top="1220" w:right="1080" w:bottom="990" w:left="1080" w:header="0" w:footer="0" w:gutter="0"/>
          <w:cols w:space="720" w:equalWidth="0">
            <w:col w:w="10080"/>
          </w:cols>
        </w:sect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27" w:lineRule="exact"/>
        <w:rPr>
          <w:sz w:val="20"/>
          <w:szCs w:val="20"/>
        </w:rPr>
      </w:pPr>
    </w:p>
    <w:p w:rsidR="007D0720" w:rsidRDefault="007E26B5">
      <w:pPr>
        <w:spacing w:line="255" w:lineRule="auto"/>
        <w:jc w:val="both"/>
        <w:rPr>
          <w:sz w:val="20"/>
          <w:szCs w:val="20"/>
        </w:rPr>
      </w:pPr>
      <w:r>
        <w:rPr>
          <w:rFonts w:eastAsia="Times New Roman"/>
          <w:b/>
          <w:bCs/>
          <w:sz w:val="18"/>
          <w:szCs w:val="18"/>
        </w:rPr>
        <w:t>Figure 2. Learner engagement with Video Content. Engagement reduces with every unit. Course Information has highest incomplete rate. Sharpest decline is after Unit 1.</w:t>
      </w:r>
    </w:p>
    <w:p w:rsidR="007D0720" w:rsidRDefault="007E26B5">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-635</wp:posOffset>
            </wp:positionH>
            <wp:positionV relativeFrom="paragraph">
              <wp:posOffset>61595</wp:posOffset>
            </wp:positionV>
            <wp:extent cx="3136265" cy="10483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blip>
                    <a:srcRect/>
                    <a:stretch>
                      <a:fillRect/>
                    </a:stretch>
                  </pic:blipFill>
                  <pic:spPr bwMode="auto">
                    <a:xfrm>
                      <a:off x="0" y="0"/>
                      <a:ext cx="3136265" cy="1048385"/>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35" w:lineRule="exact"/>
        <w:rPr>
          <w:sz w:val="20"/>
          <w:szCs w:val="20"/>
        </w:rPr>
      </w:pPr>
    </w:p>
    <w:p w:rsidR="007D0720" w:rsidRDefault="007E26B5">
      <w:pPr>
        <w:spacing w:line="255" w:lineRule="auto"/>
        <w:jc w:val="both"/>
        <w:rPr>
          <w:sz w:val="20"/>
          <w:szCs w:val="20"/>
        </w:rPr>
      </w:pPr>
      <w:r>
        <w:rPr>
          <w:rFonts w:eastAsia="Times New Roman"/>
          <w:b/>
          <w:bCs/>
          <w:sz w:val="18"/>
          <w:szCs w:val="18"/>
        </w:rPr>
        <w:t xml:space="preserve">Figure 3. Learner engagement with </w:t>
      </w:r>
      <w:r>
        <w:rPr>
          <w:rFonts w:eastAsia="Times New Roman"/>
          <w:b/>
          <w:bCs/>
          <w:sz w:val="18"/>
          <w:szCs w:val="18"/>
        </w:rPr>
        <w:t>Video Content for Unit 1: Introduction to Computing. Engagement reduce with every subsection.</w:t>
      </w:r>
    </w:p>
    <w:p w:rsidR="007D0720" w:rsidRDefault="007E26B5">
      <w:pPr>
        <w:spacing w:line="20" w:lineRule="exact"/>
        <w:rPr>
          <w:sz w:val="20"/>
          <w:szCs w:val="20"/>
        </w:rPr>
      </w:pPr>
      <w:r>
        <w:rPr>
          <w:noProof/>
          <w:sz w:val="20"/>
          <w:szCs w:val="20"/>
        </w:rPr>
        <w:drawing>
          <wp:anchor distT="0" distB="0" distL="114300" distR="114300" simplePos="0" relativeHeight="251644928" behindDoc="1" locked="0" layoutInCell="0" allowOverlap="1">
            <wp:simplePos x="0" y="0"/>
            <wp:positionH relativeFrom="column">
              <wp:posOffset>-635</wp:posOffset>
            </wp:positionH>
            <wp:positionV relativeFrom="paragraph">
              <wp:posOffset>281305</wp:posOffset>
            </wp:positionV>
            <wp:extent cx="3133090" cy="1066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blip>
                    <a:srcRect/>
                    <a:stretch>
                      <a:fillRect/>
                    </a:stretch>
                  </pic:blipFill>
                  <pic:spPr bwMode="auto">
                    <a:xfrm>
                      <a:off x="0" y="0"/>
                      <a:ext cx="3133090" cy="106680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10" w:lineRule="exact"/>
        <w:rPr>
          <w:sz w:val="20"/>
          <w:szCs w:val="20"/>
        </w:rPr>
      </w:pPr>
    </w:p>
    <w:p w:rsidR="007D0720" w:rsidRDefault="007E26B5">
      <w:pPr>
        <w:spacing w:line="255" w:lineRule="auto"/>
        <w:jc w:val="both"/>
        <w:rPr>
          <w:sz w:val="20"/>
          <w:szCs w:val="20"/>
        </w:rPr>
      </w:pPr>
      <w:r>
        <w:rPr>
          <w:rFonts w:eastAsia="Times New Roman"/>
          <w:b/>
          <w:bCs/>
          <w:sz w:val="18"/>
          <w:szCs w:val="18"/>
        </w:rPr>
        <w:t>Figure 4. Learner engagement with Video Content for Unit 1: Introduction to Computing and Chapter 1.1: Computing. Engagement reduce with every video.</w:t>
      </w:r>
    </w:p>
    <w:p w:rsidR="007D0720" w:rsidRDefault="007D0720">
      <w:pPr>
        <w:spacing w:line="200" w:lineRule="exact"/>
        <w:rPr>
          <w:sz w:val="20"/>
          <w:szCs w:val="20"/>
        </w:rPr>
      </w:pPr>
    </w:p>
    <w:p w:rsidR="007D0720" w:rsidRDefault="007D0720">
      <w:pPr>
        <w:spacing w:line="228" w:lineRule="exact"/>
        <w:rPr>
          <w:sz w:val="20"/>
          <w:szCs w:val="20"/>
        </w:rPr>
      </w:pPr>
    </w:p>
    <w:p w:rsidR="007D0720" w:rsidRDefault="007E26B5">
      <w:pPr>
        <w:spacing w:line="242" w:lineRule="auto"/>
        <w:jc w:val="both"/>
        <w:rPr>
          <w:sz w:val="20"/>
          <w:szCs w:val="20"/>
        </w:rPr>
      </w:pPr>
      <w:r>
        <w:rPr>
          <w:rFonts w:eastAsia="Times New Roman"/>
          <w:sz w:val="20"/>
          <w:szCs w:val="20"/>
        </w:rPr>
        <w:t>Video Content Engagement Insights provide Instructors a drill down functionality into each Section, Subsection and Chapter. This drill down functionality is especially useful to identify irregularities in the pattern of engagement. The graph below highl</w:t>
      </w:r>
      <w:r>
        <w:rPr>
          <w:rFonts w:eastAsia="Times New Roman"/>
          <w:sz w:val="20"/>
          <w:szCs w:val="20"/>
        </w:rPr>
        <w:t>ights one of these irregularities in Unit 1: Introduction to Computing, Chapter 1.2: Programming and Chapter Preview (1.2.1.2), which has a lower engagement or lower completion rate compared to other views in the same chapter. This information is actionabl</w:t>
      </w:r>
      <w:r>
        <w:rPr>
          <w:rFonts w:eastAsia="Times New Roman"/>
          <w:sz w:val="20"/>
          <w:szCs w:val="20"/>
        </w:rPr>
        <w:t>e for the course instructors and designers to analyze those videos and content specifically highlighted, and to update them for improved views and completion rates.</w:t>
      </w:r>
    </w:p>
    <w:p w:rsidR="007D0720" w:rsidRDefault="007E26B5">
      <w:pPr>
        <w:spacing w:line="20" w:lineRule="exact"/>
        <w:rPr>
          <w:sz w:val="20"/>
          <w:szCs w:val="20"/>
        </w:rPr>
      </w:pPr>
      <w:r>
        <w:rPr>
          <w:sz w:val="20"/>
          <w:szCs w:val="20"/>
        </w:rPr>
        <w:br w:type="column"/>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11" w:lineRule="exact"/>
        <w:rPr>
          <w:sz w:val="20"/>
          <w:szCs w:val="20"/>
        </w:rPr>
      </w:pPr>
    </w:p>
    <w:p w:rsidR="007D0720" w:rsidRDefault="007E26B5">
      <w:pPr>
        <w:spacing w:line="250" w:lineRule="auto"/>
        <w:jc w:val="both"/>
        <w:rPr>
          <w:sz w:val="20"/>
          <w:szCs w:val="20"/>
        </w:rPr>
      </w:pPr>
      <w:r>
        <w:rPr>
          <w:rFonts w:eastAsia="Times New Roman"/>
          <w:b/>
          <w:bCs/>
          <w:sz w:val="18"/>
          <w:szCs w:val="18"/>
        </w:rPr>
        <w:t>Figure 5. Learner engagement with Video Content for Unit 1: Introduction to Computi</w:t>
      </w:r>
      <w:r>
        <w:rPr>
          <w:rFonts w:eastAsia="Times New Roman"/>
          <w:b/>
          <w:bCs/>
          <w:sz w:val="18"/>
          <w:szCs w:val="18"/>
        </w:rPr>
        <w:t>ng and Chapter 1.2: Programming. Chapter Preview (1.2.1.2) has significantly lower views and lower completion rate.</w:t>
      </w:r>
    </w:p>
    <w:p w:rsidR="007D0720" w:rsidRDefault="007E26B5">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-3175</wp:posOffset>
            </wp:positionH>
            <wp:positionV relativeFrom="paragraph">
              <wp:posOffset>283210</wp:posOffset>
            </wp:positionV>
            <wp:extent cx="3173095" cy="10941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blip>
                    <a:srcRect/>
                    <a:stretch>
                      <a:fillRect/>
                    </a:stretch>
                  </pic:blipFill>
                  <pic:spPr bwMode="auto">
                    <a:xfrm>
                      <a:off x="0" y="0"/>
                      <a:ext cx="3173095" cy="1094105"/>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57" w:lineRule="exact"/>
        <w:rPr>
          <w:sz w:val="20"/>
          <w:szCs w:val="20"/>
        </w:rPr>
      </w:pPr>
    </w:p>
    <w:p w:rsidR="007D0720" w:rsidRDefault="007E26B5">
      <w:pPr>
        <w:spacing w:line="247" w:lineRule="auto"/>
        <w:jc w:val="both"/>
        <w:rPr>
          <w:sz w:val="20"/>
          <w:szCs w:val="20"/>
        </w:rPr>
      </w:pPr>
      <w:r>
        <w:rPr>
          <w:rFonts w:eastAsia="Times New Roman"/>
          <w:b/>
          <w:bCs/>
          <w:sz w:val="18"/>
          <w:szCs w:val="18"/>
        </w:rPr>
        <w:t xml:space="preserve">Figure 6. Learner engagement with Video Content for Unit 1: Introduction to Computing, Chapter 1.2: Programming and Chapter </w:t>
      </w:r>
      <w:r>
        <w:rPr>
          <w:rFonts w:eastAsia="Times New Roman"/>
          <w:b/>
          <w:bCs/>
          <w:sz w:val="18"/>
          <w:szCs w:val="18"/>
        </w:rPr>
        <w:t>Preview (1.2.1.2) video. Engagement reduces with time, but rate of decline is sharper between seconds 0-5 and 1:00-1:10.</w:t>
      </w:r>
    </w:p>
    <w:p w:rsidR="007D0720" w:rsidRDefault="007D0720">
      <w:pPr>
        <w:spacing w:line="91" w:lineRule="exact"/>
        <w:rPr>
          <w:sz w:val="20"/>
          <w:szCs w:val="20"/>
        </w:rPr>
      </w:pPr>
    </w:p>
    <w:p w:rsidR="007D0720" w:rsidRDefault="007E26B5">
      <w:pPr>
        <w:rPr>
          <w:sz w:val="20"/>
          <w:szCs w:val="20"/>
        </w:rPr>
      </w:pPr>
      <w:r>
        <w:rPr>
          <w:rFonts w:ascii="Arial" w:eastAsia="Arial" w:hAnsi="Arial" w:cs="Arial"/>
          <w:i/>
          <w:iCs/>
          <w:sz w:val="18"/>
          <w:szCs w:val="18"/>
        </w:rPr>
        <w:t>Conclusion</w:t>
      </w:r>
    </w:p>
    <w:p w:rsidR="007D0720" w:rsidRDefault="007D0720">
      <w:pPr>
        <w:spacing w:line="24" w:lineRule="exact"/>
        <w:rPr>
          <w:sz w:val="20"/>
          <w:szCs w:val="20"/>
        </w:rPr>
      </w:pPr>
    </w:p>
    <w:p w:rsidR="007D0720" w:rsidRDefault="007E26B5">
      <w:pPr>
        <w:spacing w:line="239" w:lineRule="auto"/>
        <w:jc w:val="both"/>
        <w:rPr>
          <w:sz w:val="20"/>
          <w:szCs w:val="20"/>
        </w:rPr>
      </w:pPr>
      <w:r>
        <w:rPr>
          <w:rFonts w:eastAsia="Times New Roman"/>
          <w:sz w:val="20"/>
          <w:szCs w:val="20"/>
        </w:rPr>
        <w:t>Video Content Insights provide descriptive analytics for the video content. These descriptive analytics can be used by cou</w:t>
      </w:r>
      <w:r>
        <w:rPr>
          <w:rFonts w:eastAsia="Times New Roman"/>
          <w:sz w:val="20"/>
          <w:szCs w:val="20"/>
        </w:rPr>
        <w:t>rse designers and instructors to take action and improve leaner engagement, even prevent learners from dropping out. There is some scope for Video Content Engagement Insight, but for this particular project it is a lower priority to focus on.</w:t>
      </w:r>
    </w:p>
    <w:p w:rsidR="007D0720" w:rsidRDefault="007D0720">
      <w:pPr>
        <w:spacing w:line="95" w:lineRule="exact"/>
        <w:rPr>
          <w:sz w:val="20"/>
          <w:szCs w:val="20"/>
        </w:rPr>
      </w:pPr>
    </w:p>
    <w:p w:rsidR="007D0720" w:rsidRDefault="007E26B5">
      <w:pPr>
        <w:rPr>
          <w:sz w:val="20"/>
          <w:szCs w:val="20"/>
        </w:rPr>
      </w:pPr>
      <w:r>
        <w:rPr>
          <w:rFonts w:ascii="Arial" w:eastAsia="Arial" w:hAnsi="Arial" w:cs="Arial"/>
          <w:b/>
          <w:bCs/>
          <w:sz w:val="18"/>
          <w:szCs w:val="18"/>
        </w:rPr>
        <w:t>Assignment E</w:t>
      </w:r>
      <w:r>
        <w:rPr>
          <w:rFonts w:ascii="Arial" w:eastAsia="Arial" w:hAnsi="Arial" w:cs="Arial"/>
          <w:b/>
          <w:bCs/>
          <w:sz w:val="18"/>
          <w:szCs w:val="18"/>
        </w:rPr>
        <w:t>ngagement Analytics</w:t>
      </w:r>
    </w:p>
    <w:p w:rsidR="007D0720" w:rsidRDefault="007D0720">
      <w:pPr>
        <w:spacing w:line="34" w:lineRule="exact"/>
        <w:rPr>
          <w:sz w:val="20"/>
          <w:szCs w:val="20"/>
        </w:rPr>
      </w:pPr>
    </w:p>
    <w:p w:rsidR="007D0720" w:rsidRDefault="007E26B5">
      <w:pPr>
        <w:spacing w:line="239" w:lineRule="auto"/>
        <w:jc w:val="both"/>
        <w:rPr>
          <w:sz w:val="20"/>
          <w:szCs w:val="20"/>
        </w:rPr>
      </w:pPr>
      <w:r>
        <w:rPr>
          <w:rFonts w:eastAsia="Times New Roman"/>
          <w:sz w:val="20"/>
          <w:szCs w:val="20"/>
        </w:rPr>
        <w:t>Since neither the edX Insights nor the Instructor Dashboard provide functionality for Assignment Engagement Analytics, the edXlytics Project investigated Assignment Engagement data in order to extract actionable insights for Course Des</w:t>
      </w:r>
      <w:r>
        <w:rPr>
          <w:rFonts w:eastAsia="Times New Roman"/>
          <w:sz w:val="20"/>
          <w:szCs w:val="20"/>
        </w:rPr>
        <w:t>igners and Instructors.</w:t>
      </w:r>
    </w:p>
    <w:p w:rsidR="007D0720" w:rsidRDefault="007D0720">
      <w:pPr>
        <w:spacing w:line="98" w:lineRule="exact"/>
        <w:rPr>
          <w:sz w:val="20"/>
          <w:szCs w:val="20"/>
        </w:rPr>
      </w:pPr>
    </w:p>
    <w:p w:rsidR="007D0720" w:rsidRDefault="007E26B5">
      <w:pPr>
        <w:rPr>
          <w:sz w:val="20"/>
          <w:szCs w:val="20"/>
        </w:rPr>
      </w:pPr>
      <w:r>
        <w:rPr>
          <w:rFonts w:ascii="Arial" w:eastAsia="Arial" w:hAnsi="Arial" w:cs="Arial"/>
          <w:i/>
          <w:iCs/>
          <w:sz w:val="18"/>
          <w:szCs w:val="18"/>
        </w:rPr>
        <w:t>Method</w:t>
      </w:r>
    </w:p>
    <w:p w:rsidR="007D0720" w:rsidRDefault="007D0720">
      <w:pPr>
        <w:spacing w:line="26" w:lineRule="exact"/>
        <w:rPr>
          <w:sz w:val="20"/>
          <w:szCs w:val="20"/>
        </w:rPr>
      </w:pPr>
    </w:p>
    <w:p w:rsidR="007D0720" w:rsidRDefault="007E26B5">
      <w:pPr>
        <w:spacing w:line="239" w:lineRule="auto"/>
        <w:jc w:val="both"/>
        <w:rPr>
          <w:sz w:val="20"/>
          <w:szCs w:val="20"/>
        </w:rPr>
      </w:pPr>
      <w:r>
        <w:rPr>
          <w:rFonts w:eastAsia="Times New Roman"/>
          <w:sz w:val="20"/>
          <w:szCs w:val="20"/>
        </w:rPr>
        <w:t xml:space="preserve">For Assignment Engagement, the Problem Grade Report from the edX Instructor Dashboard | Data Download Section was the starting point. The Problem Grade Report contains performance data for each learner for each Assignment. </w:t>
      </w:r>
      <w:r>
        <w:rPr>
          <w:rFonts w:eastAsia="Times New Roman"/>
          <w:sz w:val="20"/>
          <w:szCs w:val="20"/>
        </w:rPr>
        <w:t>Assignments could be one of the 3 types:</w:t>
      </w:r>
    </w:p>
    <w:p w:rsidR="007D0720" w:rsidRDefault="007D0720">
      <w:pPr>
        <w:spacing w:line="109" w:lineRule="exact"/>
        <w:rPr>
          <w:sz w:val="20"/>
          <w:szCs w:val="20"/>
        </w:rPr>
      </w:pPr>
    </w:p>
    <w:p w:rsidR="007D0720" w:rsidRDefault="007E26B5">
      <w:pPr>
        <w:numPr>
          <w:ilvl w:val="0"/>
          <w:numId w:val="10"/>
        </w:numPr>
        <w:tabs>
          <w:tab w:val="left" w:pos="720"/>
        </w:tabs>
        <w:ind w:left="720" w:hanging="366"/>
        <w:rPr>
          <w:rFonts w:ascii="Symbol" w:eastAsia="Symbol" w:hAnsi="Symbol" w:cs="Symbol"/>
          <w:sz w:val="20"/>
          <w:szCs w:val="20"/>
        </w:rPr>
      </w:pPr>
      <w:r>
        <w:rPr>
          <w:rFonts w:eastAsia="Times New Roman"/>
          <w:sz w:val="20"/>
          <w:szCs w:val="20"/>
        </w:rPr>
        <w:t>Exercise</w:t>
      </w:r>
    </w:p>
    <w:p w:rsidR="007D0720" w:rsidRDefault="007D0720">
      <w:pPr>
        <w:spacing w:line="12" w:lineRule="exact"/>
        <w:rPr>
          <w:rFonts w:ascii="Symbol" w:eastAsia="Symbol" w:hAnsi="Symbol" w:cs="Symbol"/>
          <w:sz w:val="20"/>
          <w:szCs w:val="20"/>
        </w:rPr>
      </w:pPr>
    </w:p>
    <w:p w:rsidR="007D0720" w:rsidRDefault="007E26B5">
      <w:pPr>
        <w:numPr>
          <w:ilvl w:val="0"/>
          <w:numId w:val="10"/>
        </w:numPr>
        <w:tabs>
          <w:tab w:val="left" w:pos="720"/>
        </w:tabs>
        <w:ind w:left="720" w:hanging="366"/>
        <w:rPr>
          <w:rFonts w:ascii="Symbol" w:eastAsia="Symbol" w:hAnsi="Symbol" w:cs="Symbol"/>
          <w:sz w:val="20"/>
          <w:szCs w:val="20"/>
        </w:rPr>
      </w:pPr>
      <w:r>
        <w:rPr>
          <w:rFonts w:eastAsia="Times New Roman"/>
          <w:sz w:val="20"/>
          <w:szCs w:val="20"/>
        </w:rPr>
        <w:t>Problem Set</w:t>
      </w:r>
    </w:p>
    <w:p w:rsidR="007D0720" w:rsidRDefault="007E26B5">
      <w:pPr>
        <w:numPr>
          <w:ilvl w:val="0"/>
          <w:numId w:val="10"/>
        </w:numPr>
        <w:tabs>
          <w:tab w:val="left" w:pos="720"/>
        </w:tabs>
        <w:ind w:left="720" w:hanging="366"/>
        <w:rPr>
          <w:rFonts w:ascii="Symbol" w:eastAsia="Symbol" w:hAnsi="Symbol" w:cs="Symbol"/>
          <w:sz w:val="20"/>
          <w:szCs w:val="20"/>
        </w:rPr>
      </w:pPr>
      <w:r>
        <w:rPr>
          <w:rFonts w:eastAsia="Times New Roman"/>
          <w:sz w:val="20"/>
          <w:szCs w:val="20"/>
        </w:rPr>
        <w:t>Test</w:t>
      </w:r>
    </w:p>
    <w:p w:rsidR="007D0720" w:rsidRDefault="007D0720">
      <w:pPr>
        <w:spacing w:line="323" w:lineRule="exact"/>
        <w:rPr>
          <w:sz w:val="20"/>
          <w:szCs w:val="20"/>
        </w:rPr>
      </w:pPr>
    </w:p>
    <w:p w:rsidR="007D0720" w:rsidRDefault="007E26B5">
      <w:pPr>
        <w:spacing w:line="249" w:lineRule="auto"/>
        <w:jc w:val="both"/>
        <w:rPr>
          <w:sz w:val="20"/>
          <w:szCs w:val="20"/>
        </w:rPr>
      </w:pPr>
      <w:r>
        <w:rPr>
          <w:rFonts w:eastAsia="Times New Roman"/>
          <w:sz w:val="20"/>
          <w:szCs w:val="20"/>
        </w:rPr>
        <w:t>Using Python scripts, Assignment Performance data was converted to Assignment Engagement data. Different types of Assignment data was processed and analyzed separately. Once the data was</w:t>
      </w:r>
      <w:r>
        <w:rPr>
          <w:rFonts w:eastAsia="Times New Roman"/>
          <w:sz w:val="20"/>
          <w:szCs w:val="20"/>
        </w:rPr>
        <w:t xml:space="preserve"> cleaned and formatted, it was imported it</w:t>
      </w:r>
    </w:p>
    <w:p w:rsidR="007D0720" w:rsidRDefault="007D0720">
      <w:pPr>
        <w:sectPr w:rsidR="007D0720">
          <w:type w:val="continuous"/>
          <w:pgSz w:w="12240" w:h="15840"/>
          <w:pgMar w:top="1220" w:right="1080" w:bottom="990" w:left="1080" w:header="0" w:footer="0" w:gutter="0"/>
          <w:cols w:num="2" w:space="720" w:equalWidth="0">
            <w:col w:w="4820" w:space="440"/>
            <w:col w:w="4820"/>
          </w:cols>
        </w:sectPr>
      </w:pPr>
    </w:p>
    <w:p w:rsidR="007D0720" w:rsidRDefault="007E26B5">
      <w:pPr>
        <w:spacing w:line="254" w:lineRule="auto"/>
        <w:ind w:right="140"/>
        <w:jc w:val="both"/>
        <w:rPr>
          <w:sz w:val="20"/>
          <w:szCs w:val="20"/>
        </w:rPr>
      </w:pPr>
      <w:bookmarkStart w:id="3" w:name="page4"/>
      <w:bookmarkEnd w:id="3"/>
      <w:r>
        <w:rPr>
          <w:rFonts w:eastAsia="Times New Roman"/>
          <w:sz w:val="20"/>
          <w:szCs w:val="20"/>
        </w:rPr>
        <w:lastRenderedPageBreak/>
        <w:t>into MySQL databases for filtering, sorting and aggregating. Analyzed data was visualized using excel charts and python Seaborn library plots.</w:t>
      </w:r>
    </w:p>
    <w:p w:rsidR="007D0720" w:rsidRDefault="007E26B5">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-635</wp:posOffset>
            </wp:positionH>
            <wp:positionV relativeFrom="paragraph">
              <wp:posOffset>60960</wp:posOffset>
            </wp:positionV>
            <wp:extent cx="3017520" cy="185610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blip>
                    <a:srcRect/>
                    <a:stretch>
                      <a:fillRect/>
                    </a:stretch>
                  </pic:blipFill>
                  <pic:spPr bwMode="auto">
                    <a:xfrm>
                      <a:off x="0" y="0"/>
                      <a:ext cx="3017520" cy="1856105"/>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87" w:lineRule="exact"/>
        <w:rPr>
          <w:sz w:val="20"/>
          <w:szCs w:val="20"/>
        </w:rPr>
      </w:pPr>
    </w:p>
    <w:p w:rsidR="007D0720" w:rsidRDefault="007E26B5">
      <w:pPr>
        <w:spacing w:line="333" w:lineRule="auto"/>
        <w:ind w:right="140"/>
        <w:jc w:val="both"/>
        <w:rPr>
          <w:sz w:val="20"/>
          <w:szCs w:val="20"/>
        </w:rPr>
      </w:pPr>
      <w:r>
        <w:rPr>
          <w:rFonts w:ascii="Helvetica" w:eastAsia="Helvetica" w:hAnsi="Helvetica" w:cs="Helvetica"/>
          <w:b/>
          <w:bCs/>
          <w:sz w:val="18"/>
          <w:szCs w:val="18"/>
        </w:rPr>
        <w:t xml:space="preserve">Figure 7. Design for the </w:t>
      </w:r>
      <w:r>
        <w:rPr>
          <w:rFonts w:ascii="Helvetica" w:eastAsia="Helvetica" w:hAnsi="Helvetica" w:cs="Helvetica"/>
          <w:b/>
          <w:bCs/>
          <w:sz w:val="18"/>
          <w:szCs w:val="18"/>
        </w:rPr>
        <w:t>Data Pipeline for Assignment Engagement Analytics.</w:t>
      </w:r>
    </w:p>
    <w:p w:rsidR="007D0720" w:rsidRDefault="007D0720">
      <w:pPr>
        <w:spacing w:line="1" w:lineRule="exact"/>
        <w:rPr>
          <w:sz w:val="20"/>
          <w:szCs w:val="20"/>
        </w:rPr>
      </w:pPr>
    </w:p>
    <w:p w:rsidR="007D0720" w:rsidRDefault="007E26B5">
      <w:pPr>
        <w:rPr>
          <w:sz w:val="20"/>
          <w:szCs w:val="20"/>
        </w:rPr>
      </w:pPr>
      <w:r>
        <w:rPr>
          <w:rFonts w:ascii="Arial" w:eastAsia="Arial" w:hAnsi="Arial" w:cs="Arial"/>
          <w:i/>
          <w:iCs/>
          <w:sz w:val="18"/>
          <w:szCs w:val="18"/>
        </w:rPr>
        <w:t>Observation: Declining Assignment Engagement</w:t>
      </w:r>
    </w:p>
    <w:p w:rsidR="007D0720" w:rsidRDefault="007D0720">
      <w:pPr>
        <w:spacing w:line="114" w:lineRule="exact"/>
        <w:rPr>
          <w:sz w:val="20"/>
          <w:szCs w:val="20"/>
        </w:rPr>
      </w:pPr>
    </w:p>
    <w:p w:rsidR="007D0720" w:rsidRDefault="007E26B5">
      <w:pPr>
        <w:spacing w:line="249" w:lineRule="auto"/>
        <w:ind w:right="140"/>
        <w:jc w:val="both"/>
        <w:rPr>
          <w:sz w:val="20"/>
          <w:szCs w:val="20"/>
        </w:rPr>
      </w:pPr>
      <w:r>
        <w:rPr>
          <w:rFonts w:eastAsia="Times New Roman"/>
          <w:sz w:val="20"/>
          <w:szCs w:val="20"/>
        </w:rPr>
        <w:t>Assignment Engagement declines over the course of the class for all Assignment types: Exercise, Problem Set and Test.</w:t>
      </w:r>
    </w:p>
    <w:p w:rsidR="007D0720" w:rsidRDefault="007D0720">
      <w:pPr>
        <w:spacing w:line="2" w:lineRule="exact"/>
        <w:rPr>
          <w:sz w:val="20"/>
          <w:szCs w:val="20"/>
        </w:rPr>
      </w:pPr>
    </w:p>
    <w:p w:rsidR="007D0720" w:rsidRDefault="007E26B5">
      <w:pPr>
        <w:ind w:left="140"/>
        <w:rPr>
          <w:sz w:val="20"/>
          <w:szCs w:val="20"/>
        </w:rPr>
      </w:pPr>
      <w:r>
        <w:rPr>
          <w:rFonts w:ascii="Cambria" w:eastAsia="Cambria" w:hAnsi="Cambria" w:cs="Cambria"/>
          <w:color w:val="1F497D"/>
          <w:sz w:val="18"/>
          <w:szCs w:val="18"/>
        </w:rPr>
        <w:t>8000</w:t>
      </w:r>
    </w:p>
    <w:p w:rsidR="007D0720" w:rsidRDefault="007E26B5">
      <w:pPr>
        <w:spacing w:line="20" w:lineRule="exact"/>
        <w:rPr>
          <w:sz w:val="20"/>
          <w:szCs w:val="20"/>
        </w:rPr>
      </w:pPr>
      <w:r>
        <w:rPr>
          <w:noProof/>
          <w:sz w:val="20"/>
          <w:szCs w:val="20"/>
        </w:rPr>
        <w:drawing>
          <wp:anchor distT="0" distB="0" distL="114300" distR="114300" simplePos="0" relativeHeight="251648000" behindDoc="1" locked="0" layoutInCell="0" allowOverlap="1">
            <wp:simplePos x="0" y="0"/>
            <wp:positionH relativeFrom="column">
              <wp:posOffset>-3810</wp:posOffset>
            </wp:positionH>
            <wp:positionV relativeFrom="paragraph">
              <wp:posOffset>-64770</wp:posOffset>
            </wp:positionV>
            <wp:extent cx="3142615" cy="16459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blip>
                    <a:srcRect/>
                    <a:stretch>
                      <a:fillRect/>
                    </a:stretch>
                  </pic:blipFill>
                  <pic:spPr bwMode="auto">
                    <a:xfrm>
                      <a:off x="0" y="0"/>
                      <a:ext cx="3142615" cy="1645920"/>
                    </a:xfrm>
                    <a:prstGeom prst="rect">
                      <a:avLst/>
                    </a:prstGeom>
                    <a:noFill/>
                  </pic:spPr>
                </pic:pic>
              </a:graphicData>
            </a:graphic>
          </wp:anchor>
        </w:drawing>
      </w:r>
    </w:p>
    <w:p w:rsidR="007D0720" w:rsidRDefault="007D0720">
      <w:pPr>
        <w:spacing w:line="366" w:lineRule="exact"/>
        <w:rPr>
          <w:sz w:val="20"/>
          <w:szCs w:val="20"/>
        </w:rPr>
      </w:pPr>
    </w:p>
    <w:p w:rsidR="007D0720" w:rsidRDefault="007E26B5">
      <w:pPr>
        <w:ind w:left="140"/>
        <w:rPr>
          <w:sz w:val="20"/>
          <w:szCs w:val="20"/>
        </w:rPr>
      </w:pPr>
      <w:r>
        <w:rPr>
          <w:rFonts w:ascii="Cambria" w:eastAsia="Cambria" w:hAnsi="Cambria" w:cs="Cambria"/>
          <w:color w:val="1F497D"/>
          <w:sz w:val="18"/>
          <w:szCs w:val="18"/>
        </w:rPr>
        <w:t>6000</w:t>
      </w:r>
    </w:p>
    <w:p w:rsidR="007D0720" w:rsidRDefault="007D0720">
      <w:pPr>
        <w:spacing w:line="124" w:lineRule="exact"/>
        <w:rPr>
          <w:sz w:val="20"/>
          <w:szCs w:val="20"/>
        </w:rPr>
      </w:pPr>
    </w:p>
    <w:p w:rsidR="007D0720" w:rsidRDefault="007E26B5">
      <w:pPr>
        <w:ind w:left="140"/>
        <w:rPr>
          <w:sz w:val="20"/>
          <w:szCs w:val="20"/>
        </w:rPr>
      </w:pPr>
      <w:r>
        <w:rPr>
          <w:rFonts w:ascii="Cambria" w:eastAsia="Cambria" w:hAnsi="Cambria" w:cs="Cambria"/>
          <w:color w:val="1F497D"/>
          <w:sz w:val="18"/>
          <w:szCs w:val="18"/>
        </w:rPr>
        <w:t>4000</w:t>
      </w:r>
    </w:p>
    <w:p w:rsidR="007D0720" w:rsidRDefault="007D0720">
      <w:pPr>
        <w:spacing w:line="113" w:lineRule="exact"/>
        <w:rPr>
          <w:sz w:val="20"/>
          <w:szCs w:val="20"/>
        </w:rPr>
      </w:pPr>
    </w:p>
    <w:tbl>
      <w:tblPr>
        <w:tblW w:w="0" w:type="auto"/>
        <w:tblInd w:w="140" w:type="dxa"/>
        <w:tblLayout w:type="fixed"/>
        <w:tblCellMar>
          <w:left w:w="0" w:type="dxa"/>
          <w:right w:w="0" w:type="dxa"/>
        </w:tblCellMar>
        <w:tblLook w:val="04A0" w:firstRow="1" w:lastRow="0" w:firstColumn="1" w:lastColumn="0" w:noHBand="0" w:noVBand="1"/>
      </w:tblPr>
      <w:tblGrid>
        <w:gridCol w:w="420"/>
        <w:gridCol w:w="4140"/>
      </w:tblGrid>
      <w:tr w:rsidR="007D0720">
        <w:trPr>
          <w:trHeight w:val="211"/>
        </w:trPr>
        <w:tc>
          <w:tcPr>
            <w:tcW w:w="420" w:type="dxa"/>
            <w:vAlign w:val="bottom"/>
          </w:tcPr>
          <w:p w:rsidR="007D0720" w:rsidRDefault="007E26B5">
            <w:pPr>
              <w:jc w:val="right"/>
              <w:rPr>
                <w:sz w:val="20"/>
                <w:szCs w:val="20"/>
              </w:rPr>
            </w:pPr>
            <w:r>
              <w:rPr>
                <w:rFonts w:ascii="Cambria" w:eastAsia="Cambria" w:hAnsi="Cambria" w:cs="Cambria"/>
                <w:color w:val="1F497D"/>
                <w:w w:val="95"/>
                <w:sz w:val="18"/>
                <w:szCs w:val="18"/>
              </w:rPr>
              <w:t>2000</w:t>
            </w:r>
          </w:p>
        </w:tc>
        <w:tc>
          <w:tcPr>
            <w:tcW w:w="4140" w:type="dxa"/>
            <w:vAlign w:val="bottom"/>
          </w:tcPr>
          <w:p w:rsidR="007D0720" w:rsidRDefault="007E26B5">
            <w:pPr>
              <w:jc w:val="right"/>
              <w:rPr>
                <w:sz w:val="20"/>
                <w:szCs w:val="20"/>
              </w:rPr>
            </w:pPr>
            <w:r>
              <w:rPr>
                <w:rFonts w:ascii="Cambria" w:eastAsia="Cambria" w:hAnsi="Cambria" w:cs="Cambria"/>
                <w:color w:val="1F497D"/>
                <w:sz w:val="18"/>
                <w:szCs w:val="18"/>
              </w:rPr>
              <w:t># of Learners</w:t>
            </w:r>
          </w:p>
        </w:tc>
      </w:tr>
      <w:tr w:rsidR="007D0720">
        <w:trPr>
          <w:trHeight w:val="708"/>
        </w:trPr>
        <w:tc>
          <w:tcPr>
            <w:tcW w:w="420" w:type="dxa"/>
            <w:vAlign w:val="bottom"/>
          </w:tcPr>
          <w:p w:rsidR="007D0720" w:rsidRDefault="007E26B5">
            <w:pPr>
              <w:jc w:val="right"/>
              <w:rPr>
                <w:sz w:val="20"/>
                <w:szCs w:val="20"/>
              </w:rPr>
            </w:pPr>
            <w:r>
              <w:rPr>
                <w:rFonts w:ascii="Cambria" w:eastAsia="Cambria" w:hAnsi="Cambria" w:cs="Cambria"/>
                <w:color w:val="1F497D"/>
                <w:sz w:val="18"/>
                <w:szCs w:val="18"/>
              </w:rPr>
              <w:t>0</w:t>
            </w:r>
          </w:p>
        </w:tc>
        <w:tc>
          <w:tcPr>
            <w:tcW w:w="4140" w:type="dxa"/>
            <w:textDirection w:val="btLr"/>
            <w:vAlign w:val="bottom"/>
          </w:tcPr>
          <w:p w:rsidR="007D0720" w:rsidRDefault="007E26B5">
            <w:pPr>
              <w:rPr>
                <w:sz w:val="20"/>
                <w:szCs w:val="20"/>
              </w:rPr>
            </w:pPr>
            <w:r>
              <w:rPr>
                <w:rFonts w:ascii="Cambria" w:eastAsia="Cambria" w:hAnsi="Cambria" w:cs="Cambria"/>
                <w:color w:val="1F497D"/>
                <w:sz w:val="1"/>
                <w:szCs w:val="1"/>
              </w:rPr>
              <w:t>11835526986103120137154171188205222239256273290</w:t>
            </w:r>
          </w:p>
        </w:tc>
      </w:tr>
      <w:tr w:rsidR="007D0720">
        <w:trPr>
          <w:trHeight w:val="243"/>
        </w:trPr>
        <w:tc>
          <w:tcPr>
            <w:tcW w:w="420" w:type="dxa"/>
            <w:vAlign w:val="bottom"/>
          </w:tcPr>
          <w:p w:rsidR="007D0720" w:rsidRDefault="007D0720">
            <w:pPr>
              <w:rPr>
                <w:sz w:val="21"/>
                <w:szCs w:val="21"/>
              </w:rPr>
            </w:pPr>
          </w:p>
        </w:tc>
        <w:tc>
          <w:tcPr>
            <w:tcW w:w="4140" w:type="dxa"/>
            <w:vAlign w:val="bottom"/>
          </w:tcPr>
          <w:p w:rsidR="007D0720" w:rsidRDefault="007E26B5">
            <w:pPr>
              <w:ind w:right="1518"/>
              <w:jc w:val="right"/>
              <w:rPr>
                <w:sz w:val="20"/>
                <w:szCs w:val="20"/>
              </w:rPr>
            </w:pPr>
            <w:r>
              <w:rPr>
                <w:rFonts w:ascii="Cambria" w:eastAsia="Cambria" w:hAnsi="Cambria" w:cs="Cambria"/>
                <w:b/>
                <w:bCs/>
                <w:color w:val="1F497D"/>
                <w:sz w:val="18"/>
                <w:szCs w:val="18"/>
              </w:rPr>
              <w:t>Exercise #</w:t>
            </w:r>
          </w:p>
        </w:tc>
      </w:tr>
    </w:tbl>
    <w:p w:rsidR="007D0720" w:rsidRDefault="007D0720">
      <w:pPr>
        <w:spacing w:line="398" w:lineRule="exact"/>
        <w:rPr>
          <w:sz w:val="20"/>
          <w:szCs w:val="20"/>
        </w:rPr>
      </w:pPr>
    </w:p>
    <w:p w:rsidR="007D0720" w:rsidRDefault="007E26B5">
      <w:pPr>
        <w:rPr>
          <w:sz w:val="20"/>
          <w:szCs w:val="20"/>
        </w:rPr>
      </w:pPr>
      <w:r>
        <w:rPr>
          <w:rFonts w:eastAsia="Times New Roman"/>
          <w:b/>
          <w:bCs/>
          <w:sz w:val="18"/>
          <w:szCs w:val="18"/>
        </w:rPr>
        <w:t>Figure  8.  Learner  engagement  with  Exercise  Assignments.</w:t>
      </w:r>
    </w:p>
    <w:p w:rsidR="007D0720" w:rsidRDefault="007D0720">
      <w:pPr>
        <w:spacing w:line="27" w:lineRule="exact"/>
        <w:rPr>
          <w:sz w:val="20"/>
          <w:szCs w:val="20"/>
        </w:rPr>
      </w:pPr>
    </w:p>
    <w:p w:rsidR="007D0720" w:rsidRDefault="007E26B5">
      <w:pPr>
        <w:rPr>
          <w:sz w:val="20"/>
          <w:szCs w:val="20"/>
        </w:rPr>
      </w:pPr>
      <w:r>
        <w:rPr>
          <w:rFonts w:eastAsia="Times New Roman"/>
          <w:b/>
          <w:bCs/>
          <w:sz w:val="18"/>
          <w:szCs w:val="18"/>
        </w:rPr>
        <w:t>Total 294 Exercises in CS1301x Course.</w:t>
      </w:r>
    </w:p>
    <w:p w:rsidR="007D0720" w:rsidRDefault="007E26B5">
      <w:pPr>
        <w:ind w:left="140"/>
        <w:rPr>
          <w:sz w:val="20"/>
          <w:szCs w:val="20"/>
        </w:rPr>
      </w:pPr>
      <w:r>
        <w:rPr>
          <w:rFonts w:ascii="Cambria" w:eastAsia="Cambria" w:hAnsi="Cambria" w:cs="Cambria"/>
          <w:color w:val="595959"/>
          <w:sz w:val="18"/>
          <w:szCs w:val="18"/>
        </w:rPr>
        <w:t>2500</w:t>
      </w:r>
    </w:p>
    <w:p w:rsidR="007D0720" w:rsidRDefault="007E26B5">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-3810</wp:posOffset>
            </wp:positionH>
            <wp:positionV relativeFrom="paragraph">
              <wp:posOffset>-67310</wp:posOffset>
            </wp:positionV>
            <wp:extent cx="3142615" cy="16338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blip>
                    <a:srcRect/>
                    <a:stretch>
                      <a:fillRect/>
                    </a:stretch>
                  </pic:blipFill>
                  <pic:spPr bwMode="auto">
                    <a:xfrm>
                      <a:off x="0" y="0"/>
                      <a:ext cx="3142615" cy="1633855"/>
                    </a:xfrm>
                    <a:prstGeom prst="rect">
                      <a:avLst/>
                    </a:prstGeom>
                    <a:noFill/>
                  </pic:spPr>
                </pic:pic>
              </a:graphicData>
            </a:graphic>
          </wp:anchor>
        </w:drawing>
      </w:r>
    </w:p>
    <w:p w:rsidR="007D0720" w:rsidRDefault="007D0720">
      <w:pPr>
        <w:spacing w:line="287" w:lineRule="exact"/>
        <w:rPr>
          <w:sz w:val="20"/>
          <w:szCs w:val="20"/>
        </w:rPr>
      </w:pPr>
    </w:p>
    <w:p w:rsidR="007D0720" w:rsidRDefault="007E26B5">
      <w:pPr>
        <w:ind w:left="140"/>
        <w:rPr>
          <w:sz w:val="20"/>
          <w:szCs w:val="20"/>
        </w:rPr>
      </w:pPr>
      <w:r>
        <w:rPr>
          <w:rFonts w:ascii="Cambria" w:eastAsia="Cambria" w:hAnsi="Cambria" w:cs="Cambria"/>
          <w:color w:val="595959"/>
          <w:sz w:val="18"/>
          <w:szCs w:val="18"/>
        </w:rPr>
        <w:t>2000</w:t>
      </w:r>
    </w:p>
    <w:p w:rsidR="007D0720" w:rsidRDefault="007D0720">
      <w:pPr>
        <w:spacing w:line="49" w:lineRule="exact"/>
        <w:rPr>
          <w:sz w:val="20"/>
          <w:szCs w:val="20"/>
        </w:rPr>
      </w:pPr>
    </w:p>
    <w:p w:rsidR="007D0720" w:rsidRDefault="007E26B5">
      <w:pPr>
        <w:ind w:left="140"/>
        <w:rPr>
          <w:sz w:val="20"/>
          <w:szCs w:val="20"/>
        </w:rPr>
      </w:pPr>
      <w:r>
        <w:rPr>
          <w:rFonts w:ascii="Cambria" w:eastAsia="Cambria" w:hAnsi="Cambria" w:cs="Cambria"/>
          <w:color w:val="595959"/>
          <w:sz w:val="18"/>
          <w:szCs w:val="18"/>
        </w:rPr>
        <w:t>1500</w:t>
      </w:r>
    </w:p>
    <w:p w:rsidR="007D0720" w:rsidRDefault="007D0720">
      <w:pPr>
        <w:spacing w:line="49" w:lineRule="exact"/>
        <w:rPr>
          <w:sz w:val="20"/>
          <w:szCs w:val="20"/>
        </w:rPr>
      </w:pPr>
    </w:p>
    <w:p w:rsidR="007D0720" w:rsidRDefault="007E26B5">
      <w:pPr>
        <w:ind w:left="140"/>
        <w:rPr>
          <w:sz w:val="20"/>
          <w:szCs w:val="20"/>
        </w:rPr>
      </w:pPr>
      <w:r>
        <w:rPr>
          <w:rFonts w:ascii="Cambria" w:eastAsia="Cambria" w:hAnsi="Cambria" w:cs="Cambria"/>
          <w:color w:val="595959"/>
          <w:sz w:val="18"/>
          <w:szCs w:val="18"/>
        </w:rPr>
        <w:t>1000</w:t>
      </w:r>
    </w:p>
    <w:p w:rsidR="007D0720" w:rsidRDefault="007D0720">
      <w:pPr>
        <w:spacing w:line="33" w:lineRule="exact"/>
        <w:rPr>
          <w:sz w:val="20"/>
          <w:szCs w:val="20"/>
        </w:rPr>
      </w:pPr>
    </w:p>
    <w:p w:rsidR="007D0720" w:rsidRDefault="007E26B5">
      <w:pPr>
        <w:tabs>
          <w:tab w:val="left" w:pos="3620"/>
        </w:tabs>
        <w:ind w:left="240"/>
        <w:rPr>
          <w:sz w:val="20"/>
          <w:szCs w:val="20"/>
        </w:rPr>
      </w:pPr>
      <w:r>
        <w:rPr>
          <w:rFonts w:ascii="Cambria" w:eastAsia="Cambria" w:hAnsi="Cambria" w:cs="Cambria"/>
          <w:color w:val="595959"/>
          <w:sz w:val="18"/>
          <w:szCs w:val="18"/>
        </w:rPr>
        <w:t>500</w:t>
      </w:r>
      <w:r>
        <w:rPr>
          <w:sz w:val="20"/>
          <w:szCs w:val="20"/>
        </w:rPr>
        <w:tab/>
      </w:r>
      <w:r>
        <w:rPr>
          <w:rFonts w:ascii="Cambria" w:eastAsia="Cambria" w:hAnsi="Cambria" w:cs="Cambria"/>
          <w:color w:val="595959"/>
          <w:sz w:val="18"/>
          <w:szCs w:val="18"/>
        </w:rPr>
        <w:t># of Learners</w:t>
      </w:r>
    </w:p>
    <w:p w:rsidR="007D0720" w:rsidRDefault="007D0720">
      <w:pPr>
        <w:spacing w:line="65" w:lineRule="exact"/>
        <w:rPr>
          <w:sz w:val="20"/>
          <w:szCs w:val="20"/>
        </w:rPr>
      </w:pPr>
    </w:p>
    <w:p w:rsidR="007D0720" w:rsidRDefault="007E26B5">
      <w:pPr>
        <w:ind w:left="440"/>
        <w:rPr>
          <w:sz w:val="20"/>
          <w:szCs w:val="20"/>
        </w:rPr>
      </w:pPr>
      <w:r>
        <w:rPr>
          <w:rFonts w:ascii="Cambria" w:eastAsia="Cambria" w:hAnsi="Cambria" w:cs="Cambria"/>
          <w:color w:val="595959"/>
          <w:sz w:val="18"/>
          <w:szCs w:val="18"/>
        </w:rPr>
        <w:t>0</w:t>
      </w:r>
    </w:p>
    <w:p w:rsidR="007D0720" w:rsidRDefault="007D0720">
      <w:pPr>
        <w:spacing w:line="1" w:lineRule="exact"/>
        <w:rPr>
          <w:sz w:val="20"/>
          <w:szCs w:val="20"/>
        </w:rPr>
      </w:pPr>
    </w:p>
    <w:tbl>
      <w:tblPr>
        <w:tblW w:w="0" w:type="auto"/>
        <w:tblInd w:w="159" w:type="dxa"/>
        <w:tblLayout w:type="fixed"/>
        <w:tblCellMar>
          <w:left w:w="0" w:type="dxa"/>
          <w:right w:w="0" w:type="dxa"/>
        </w:tblCellMar>
        <w:tblLook w:val="04A0" w:firstRow="1" w:lastRow="0" w:firstColumn="1" w:lastColumn="0" w:noHBand="0" w:noVBand="1"/>
      </w:tblPr>
      <w:tblGrid>
        <w:gridCol w:w="4795"/>
      </w:tblGrid>
      <w:tr w:rsidR="007D0720">
        <w:trPr>
          <w:trHeight w:val="300"/>
        </w:trPr>
        <w:tc>
          <w:tcPr>
            <w:tcW w:w="4795" w:type="dxa"/>
            <w:textDirection w:val="btLr"/>
            <w:vAlign w:val="bottom"/>
          </w:tcPr>
          <w:p w:rsidR="007D0720" w:rsidRDefault="007E26B5">
            <w:pPr>
              <w:spacing w:line="303" w:lineRule="auto"/>
              <w:rPr>
                <w:sz w:val="20"/>
                <w:szCs w:val="20"/>
              </w:rPr>
            </w:pPr>
            <w:r>
              <w:rPr>
                <w:rFonts w:ascii="Cambria" w:eastAsia="Cambria" w:hAnsi="Cambria" w:cs="Cambria"/>
                <w:color w:val="595959"/>
                <w:sz w:val="18"/>
                <w:szCs w:val="18"/>
              </w:rPr>
              <w:t xml:space="preserve">222 209 196 183 170 157 144 131 118 105 </w:t>
            </w:r>
            <w:r>
              <w:rPr>
                <w:rFonts w:ascii="Cambria" w:eastAsia="Cambria" w:hAnsi="Cambria" w:cs="Cambria"/>
                <w:color w:val="595959"/>
                <w:sz w:val="18"/>
                <w:szCs w:val="18"/>
              </w:rPr>
              <w:t>92 79 66 53 40 27 14 1</w:t>
            </w:r>
          </w:p>
        </w:tc>
      </w:tr>
    </w:tbl>
    <w:p w:rsidR="007D0720" w:rsidRDefault="007D0720">
      <w:pPr>
        <w:spacing w:line="8" w:lineRule="exact"/>
        <w:rPr>
          <w:sz w:val="20"/>
          <w:szCs w:val="20"/>
        </w:rPr>
      </w:pPr>
    </w:p>
    <w:p w:rsidR="007D0720" w:rsidRDefault="007E26B5">
      <w:pPr>
        <w:ind w:left="380"/>
        <w:jc w:val="center"/>
        <w:rPr>
          <w:sz w:val="20"/>
          <w:szCs w:val="20"/>
        </w:rPr>
      </w:pPr>
      <w:r>
        <w:rPr>
          <w:rFonts w:ascii="Cambria" w:eastAsia="Cambria" w:hAnsi="Cambria" w:cs="Cambria"/>
          <w:color w:val="595959"/>
          <w:sz w:val="20"/>
          <w:szCs w:val="20"/>
        </w:rPr>
        <w:t>Problem Set #</w:t>
      </w:r>
    </w:p>
    <w:p w:rsidR="007D0720" w:rsidRDefault="007D0720">
      <w:pPr>
        <w:spacing w:line="200" w:lineRule="exact"/>
        <w:rPr>
          <w:sz w:val="20"/>
          <w:szCs w:val="20"/>
        </w:rPr>
      </w:pPr>
    </w:p>
    <w:p w:rsidR="007D0720" w:rsidRDefault="007D0720">
      <w:pPr>
        <w:spacing w:line="323" w:lineRule="exact"/>
        <w:rPr>
          <w:sz w:val="20"/>
          <w:szCs w:val="20"/>
        </w:rPr>
      </w:pPr>
    </w:p>
    <w:p w:rsidR="007D0720" w:rsidRDefault="007E26B5">
      <w:pPr>
        <w:rPr>
          <w:sz w:val="20"/>
          <w:szCs w:val="20"/>
        </w:rPr>
      </w:pPr>
      <w:r>
        <w:rPr>
          <w:rFonts w:eastAsia="Times New Roman"/>
          <w:b/>
          <w:bCs/>
          <w:sz w:val="18"/>
          <w:szCs w:val="18"/>
        </w:rPr>
        <w:t>Figure 9. Learner engagement with Problem Set Assignment.</w:t>
      </w:r>
    </w:p>
    <w:p w:rsidR="007D0720" w:rsidRDefault="007D0720">
      <w:pPr>
        <w:spacing w:line="5" w:lineRule="exact"/>
        <w:rPr>
          <w:sz w:val="20"/>
          <w:szCs w:val="20"/>
        </w:rPr>
      </w:pPr>
    </w:p>
    <w:p w:rsidR="007D0720" w:rsidRDefault="007E26B5">
      <w:pPr>
        <w:rPr>
          <w:sz w:val="20"/>
          <w:szCs w:val="20"/>
        </w:rPr>
      </w:pPr>
      <w:r>
        <w:rPr>
          <w:rFonts w:eastAsia="Times New Roman"/>
          <w:b/>
          <w:bCs/>
          <w:sz w:val="18"/>
          <w:szCs w:val="18"/>
        </w:rPr>
        <w:t>Total 233 Problem Set in CS1301x Course.</w:t>
      </w:r>
    </w:p>
    <w:p w:rsidR="007D0720" w:rsidRDefault="007E26B5">
      <w:pPr>
        <w:spacing w:line="20" w:lineRule="exact"/>
        <w:rPr>
          <w:sz w:val="20"/>
          <w:szCs w:val="20"/>
        </w:rPr>
      </w:pPr>
      <w:r>
        <w:rPr>
          <w:sz w:val="20"/>
          <w:szCs w:val="20"/>
        </w:rPr>
        <w:br w:type="column"/>
      </w:r>
    </w:p>
    <w:p w:rsidR="007D0720" w:rsidRDefault="007E26B5">
      <w:pPr>
        <w:spacing w:line="254" w:lineRule="auto"/>
        <w:ind w:left="6"/>
        <w:rPr>
          <w:sz w:val="20"/>
          <w:szCs w:val="20"/>
        </w:rPr>
      </w:pPr>
      <w:r>
        <w:rPr>
          <w:rFonts w:eastAsia="Times New Roman"/>
          <w:sz w:val="20"/>
          <w:szCs w:val="20"/>
        </w:rPr>
        <w:t>analyses were researched to identify correlation between Assignment and engagement.</w:t>
      </w:r>
    </w:p>
    <w:p w:rsidR="007D0720" w:rsidRDefault="007E26B5">
      <w:pPr>
        <w:spacing w:line="227" w:lineRule="auto"/>
        <w:ind w:left="6"/>
        <w:rPr>
          <w:sz w:val="20"/>
          <w:szCs w:val="20"/>
        </w:rPr>
      </w:pPr>
      <w:r>
        <w:rPr>
          <w:rFonts w:eastAsia="Times New Roman"/>
          <w:sz w:val="20"/>
          <w:szCs w:val="20"/>
        </w:rPr>
        <w:t xml:space="preserve">The following four analytics </w:t>
      </w:r>
      <w:r>
        <w:rPr>
          <w:rFonts w:eastAsia="Times New Roman"/>
          <w:sz w:val="20"/>
          <w:szCs w:val="20"/>
        </w:rPr>
        <w:t>were used:</w:t>
      </w:r>
    </w:p>
    <w:p w:rsidR="007D0720" w:rsidRDefault="007D0720">
      <w:pPr>
        <w:spacing w:line="1" w:lineRule="exact"/>
        <w:rPr>
          <w:sz w:val="20"/>
          <w:szCs w:val="20"/>
        </w:rPr>
      </w:pPr>
    </w:p>
    <w:p w:rsidR="007D0720" w:rsidRDefault="007E26B5">
      <w:pPr>
        <w:numPr>
          <w:ilvl w:val="0"/>
          <w:numId w:val="11"/>
        </w:numPr>
        <w:tabs>
          <w:tab w:val="left" w:pos="366"/>
        </w:tabs>
        <w:ind w:left="366" w:hanging="366"/>
        <w:rPr>
          <w:rFonts w:ascii="Symbol" w:eastAsia="Symbol" w:hAnsi="Symbol" w:cs="Symbol"/>
          <w:sz w:val="20"/>
          <w:szCs w:val="20"/>
        </w:rPr>
      </w:pPr>
      <w:r>
        <w:rPr>
          <w:rFonts w:eastAsia="Times New Roman"/>
          <w:sz w:val="20"/>
          <w:szCs w:val="20"/>
        </w:rPr>
        <w:t>Rate of Change</w:t>
      </w:r>
    </w:p>
    <w:p w:rsidR="007D0720" w:rsidRDefault="007D0720">
      <w:pPr>
        <w:spacing w:line="12" w:lineRule="exact"/>
        <w:rPr>
          <w:rFonts w:ascii="Symbol" w:eastAsia="Symbol" w:hAnsi="Symbol" w:cs="Symbol"/>
          <w:sz w:val="20"/>
          <w:szCs w:val="20"/>
        </w:rPr>
      </w:pPr>
    </w:p>
    <w:p w:rsidR="007D0720" w:rsidRDefault="007E26B5">
      <w:pPr>
        <w:numPr>
          <w:ilvl w:val="0"/>
          <w:numId w:val="11"/>
        </w:numPr>
        <w:tabs>
          <w:tab w:val="left" w:pos="366"/>
        </w:tabs>
        <w:ind w:left="366" w:hanging="366"/>
        <w:rPr>
          <w:rFonts w:ascii="Symbol" w:eastAsia="Symbol" w:hAnsi="Symbol" w:cs="Symbol"/>
          <w:sz w:val="20"/>
          <w:szCs w:val="20"/>
        </w:rPr>
      </w:pPr>
      <w:r>
        <w:rPr>
          <w:rFonts w:eastAsia="Times New Roman"/>
          <w:sz w:val="20"/>
          <w:szCs w:val="20"/>
        </w:rPr>
        <w:t>Rate of Rate of Change</w:t>
      </w:r>
    </w:p>
    <w:p w:rsidR="007D0720" w:rsidRDefault="007E26B5">
      <w:pPr>
        <w:numPr>
          <w:ilvl w:val="0"/>
          <w:numId w:val="11"/>
        </w:numPr>
        <w:tabs>
          <w:tab w:val="left" w:pos="366"/>
        </w:tabs>
        <w:ind w:left="366" w:hanging="366"/>
        <w:rPr>
          <w:rFonts w:ascii="Symbol" w:eastAsia="Symbol" w:hAnsi="Symbol" w:cs="Symbol"/>
          <w:sz w:val="20"/>
          <w:szCs w:val="20"/>
        </w:rPr>
      </w:pPr>
      <w:r>
        <w:rPr>
          <w:rFonts w:eastAsia="Times New Roman"/>
          <w:sz w:val="20"/>
          <w:szCs w:val="20"/>
        </w:rPr>
        <w:t>Delta from Moving Average</w:t>
      </w:r>
    </w:p>
    <w:p w:rsidR="007D0720" w:rsidRDefault="007E26B5">
      <w:pPr>
        <w:numPr>
          <w:ilvl w:val="0"/>
          <w:numId w:val="11"/>
        </w:numPr>
        <w:tabs>
          <w:tab w:val="left" w:pos="366"/>
        </w:tabs>
        <w:spacing w:line="235" w:lineRule="auto"/>
        <w:ind w:left="366" w:hanging="366"/>
        <w:rPr>
          <w:rFonts w:ascii="Symbol" w:eastAsia="Symbol" w:hAnsi="Symbol" w:cs="Symbol"/>
          <w:sz w:val="20"/>
          <w:szCs w:val="20"/>
        </w:rPr>
      </w:pPr>
      <w:r>
        <w:rPr>
          <w:rFonts w:eastAsia="Times New Roman"/>
          <w:sz w:val="20"/>
          <w:szCs w:val="20"/>
        </w:rPr>
        <w:t>Bollinger Band</w:t>
      </w:r>
    </w:p>
    <w:p w:rsidR="007D0720" w:rsidRDefault="007D0720">
      <w:pPr>
        <w:spacing w:line="306" w:lineRule="exact"/>
        <w:rPr>
          <w:sz w:val="20"/>
          <w:szCs w:val="20"/>
        </w:rPr>
      </w:pPr>
    </w:p>
    <w:p w:rsidR="007D0720" w:rsidRDefault="007E26B5">
      <w:pPr>
        <w:ind w:left="6"/>
        <w:rPr>
          <w:sz w:val="20"/>
          <w:szCs w:val="20"/>
        </w:rPr>
      </w:pPr>
      <w:r>
        <w:rPr>
          <w:rFonts w:ascii="Arial" w:eastAsia="Arial" w:hAnsi="Arial" w:cs="Arial"/>
          <w:i/>
          <w:iCs/>
          <w:sz w:val="18"/>
          <w:szCs w:val="18"/>
        </w:rPr>
        <w:t>Observation: Identifying Assignments with higher drop-off</w:t>
      </w:r>
    </w:p>
    <w:p w:rsidR="007D0720" w:rsidRDefault="007D0720">
      <w:pPr>
        <w:spacing w:line="118" w:lineRule="exact"/>
        <w:rPr>
          <w:sz w:val="20"/>
          <w:szCs w:val="20"/>
        </w:rPr>
      </w:pPr>
    </w:p>
    <w:p w:rsidR="007D0720" w:rsidRDefault="007E26B5">
      <w:pPr>
        <w:spacing w:line="244" w:lineRule="auto"/>
        <w:ind w:left="6"/>
        <w:jc w:val="both"/>
        <w:rPr>
          <w:sz w:val="20"/>
          <w:szCs w:val="20"/>
        </w:rPr>
      </w:pPr>
      <w:r>
        <w:rPr>
          <w:rFonts w:eastAsia="Times New Roman"/>
          <w:sz w:val="20"/>
          <w:szCs w:val="20"/>
        </w:rPr>
        <w:t xml:space="preserve">Since engagement graphs had fluctuations, the Rate of Change highlighted many assignments that could be </w:t>
      </w:r>
      <w:r>
        <w:rPr>
          <w:rFonts w:eastAsia="Times New Roman"/>
          <w:sz w:val="20"/>
          <w:szCs w:val="20"/>
        </w:rPr>
        <w:t>related to the dropout rate. The Rate of Rate of Change smoothed the graph too much and didn’t provide enough insights. Delta from Moving Average was the most intuitive in highlighting the Assignments that were related to the highest drop offs.</w:t>
      </w:r>
    </w:p>
    <w:p w:rsidR="007D0720" w:rsidRDefault="007E26B5">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0</wp:posOffset>
            </wp:positionH>
            <wp:positionV relativeFrom="paragraph">
              <wp:posOffset>289560</wp:posOffset>
            </wp:positionV>
            <wp:extent cx="3224530" cy="14598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blip>
                    <a:srcRect/>
                    <a:stretch>
                      <a:fillRect/>
                    </a:stretch>
                  </pic:blipFill>
                  <pic:spPr bwMode="auto">
                    <a:xfrm>
                      <a:off x="0" y="0"/>
                      <a:ext cx="3224530" cy="1459865"/>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62" w:lineRule="exact"/>
        <w:rPr>
          <w:sz w:val="20"/>
          <w:szCs w:val="20"/>
        </w:rPr>
      </w:pPr>
    </w:p>
    <w:p w:rsidR="007D0720" w:rsidRDefault="007E26B5">
      <w:pPr>
        <w:ind w:left="6"/>
        <w:rPr>
          <w:sz w:val="20"/>
          <w:szCs w:val="20"/>
        </w:rPr>
      </w:pPr>
      <w:r>
        <w:rPr>
          <w:rFonts w:eastAsia="Times New Roman"/>
          <w:b/>
          <w:bCs/>
          <w:sz w:val="18"/>
          <w:szCs w:val="18"/>
        </w:rPr>
        <w:t>Figure 10. Exercise with Highest Drop-off</w:t>
      </w:r>
    </w:p>
    <w:p w:rsidR="007D0720" w:rsidRDefault="007D0720">
      <w:pPr>
        <w:spacing w:line="48" w:lineRule="exact"/>
        <w:rPr>
          <w:sz w:val="20"/>
          <w:szCs w:val="20"/>
        </w:rPr>
      </w:pPr>
    </w:p>
    <w:p w:rsidR="007D0720" w:rsidRDefault="007E26B5">
      <w:pPr>
        <w:ind w:left="786"/>
        <w:rPr>
          <w:sz w:val="20"/>
          <w:szCs w:val="20"/>
        </w:rPr>
      </w:pPr>
      <w:r>
        <w:rPr>
          <w:rFonts w:ascii="Cambria" w:eastAsia="Cambria" w:hAnsi="Cambria" w:cs="Cambria"/>
          <w:color w:val="595959"/>
          <w:sz w:val="28"/>
          <w:szCs w:val="28"/>
        </w:rPr>
        <w:t>Problem Set Highest Dropoff</w:t>
      </w:r>
    </w:p>
    <w:p w:rsidR="007D0720" w:rsidRDefault="007E26B5">
      <w:pPr>
        <w:spacing w:line="20" w:lineRule="exact"/>
        <w:rPr>
          <w:sz w:val="20"/>
          <w:szCs w:val="20"/>
        </w:rPr>
      </w:pPr>
      <w:r>
        <w:rPr>
          <w:noProof/>
          <w:sz w:val="20"/>
          <w:szCs w:val="20"/>
        </w:rPr>
        <w:drawing>
          <wp:anchor distT="0" distB="0" distL="114300" distR="114300" simplePos="0" relativeHeight="251651072" behindDoc="1" locked="0" layoutInCell="0" allowOverlap="1">
            <wp:simplePos x="0" y="0"/>
            <wp:positionH relativeFrom="column">
              <wp:posOffset>-2540</wp:posOffset>
            </wp:positionH>
            <wp:positionV relativeFrom="paragraph">
              <wp:posOffset>52070</wp:posOffset>
            </wp:positionV>
            <wp:extent cx="3161030" cy="23622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blip>
                    <a:srcRect/>
                    <a:stretch>
                      <a:fillRect/>
                    </a:stretch>
                  </pic:blipFill>
                  <pic:spPr bwMode="auto">
                    <a:xfrm>
                      <a:off x="0" y="0"/>
                      <a:ext cx="3161030" cy="236220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23" w:lineRule="exact"/>
        <w:rPr>
          <w:sz w:val="20"/>
          <w:szCs w:val="20"/>
        </w:rPr>
      </w:pPr>
    </w:p>
    <w:p w:rsidR="007D0720" w:rsidRDefault="007E26B5">
      <w:pPr>
        <w:ind w:right="4200"/>
        <w:jc w:val="right"/>
        <w:rPr>
          <w:sz w:val="20"/>
          <w:szCs w:val="20"/>
        </w:rPr>
      </w:pPr>
      <w:r>
        <w:rPr>
          <w:rFonts w:ascii="Cambria" w:eastAsia="Cambria" w:hAnsi="Cambria" w:cs="Cambria"/>
          <w:color w:val="595959"/>
          <w:sz w:val="18"/>
          <w:szCs w:val="18"/>
        </w:rPr>
        <w:t>700</w:t>
      </w:r>
    </w:p>
    <w:p w:rsidR="007D0720" w:rsidRDefault="007E26B5">
      <w:pPr>
        <w:spacing w:line="190" w:lineRule="auto"/>
        <w:ind w:right="4200"/>
        <w:jc w:val="right"/>
        <w:rPr>
          <w:sz w:val="20"/>
          <w:szCs w:val="20"/>
        </w:rPr>
      </w:pPr>
      <w:r>
        <w:rPr>
          <w:rFonts w:ascii="Cambria" w:eastAsia="Cambria" w:hAnsi="Cambria" w:cs="Cambria"/>
          <w:color w:val="595959"/>
          <w:sz w:val="18"/>
          <w:szCs w:val="18"/>
        </w:rPr>
        <w:t>600</w:t>
      </w:r>
    </w:p>
    <w:p w:rsidR="007D0720" w:rsidRDefault="007E26B5">
      <w:pPr>
        <w:spacing w:line="190" w:lineRule="auto"/>
        <w:ind w:right="4200"/>
        <w:jc w:val="right"/>
        <w:rPr>
          <w:sz w:val="20"/>
          <w:szCs w:val="20"/>
        </w:rPr>
      </w:pPr>
      <w:r>
        <w:rPr>
          <w:rFonts w:ascii="Cambria" w:eastAsia="Cambria" w:hAnsi="Cambria" w:cs="Cambria"/>
          <w:color w:val="595959"/>
          <w:sz w:val="18"/>
          <w:szCs w:val="18"/>
        </w:rPr>
        <w:t>500</w:t>
      </w:r>
    </w:p>
    <w:p w:rsidR="007D0720" w:rsidRDefault="007E26B5">
      <w:pPr>
        <w:spacing w:line="191" w:lineRule="auto"/>
        <w:ind w:right="4200"/>
        <w:jc w:val="right"/>
        <w:rPr>
          <w:sz w:val="20"/>
          <w:szCs w:val="20"/>
        </w:rPr>
      </w:pPr>
      <w:r>
        <w:rPr>
          <w:rFonts w:ascii="Cambria" w:eastAsia="Cambria" w:hAnsi="Cambria" w:cs="Cambria"/>
          <w:color w:val="595959"/>
          <w:sz w:val="18"/>
          <w:szCs w:val="18"/>
        </w:rPr>
        <w:t>400</w:t>
      </w:r>
    </w:p>
    <w:p w:rsidR="007D0720" w:rsidRDefault="007E26B5">
      <w:pPr>
        <w:spacing w:line="190" w:lineRule="auto"/>
        <w:ind w:right="4200"/>
        <w:jc w:val="right"/>
        <w:rPr>
          <w:sz w:val="20"/>
          <w:szCs w:val="20"/>
        </w:rPr>
      </w:pPr>
      <w:r>
        <w:rPr>
          <w:rFonts w:ascii="Cambria" w:eastAsia="Cambria" w:hAnsi="Cambria" w:cs="Cambria"/>
          <w:color w:val="595959"/>
          <w:sz w:val="18"/>
          <w:szCs w:val="18"/>
        </w:rPr>
        <w:t>300</w:t>
      </w:r>
    </w:p>
    <w:p w:rsidR="007D0720" w:rsidRDefault="007E26B5">
      <w:pPr>
        <w:spacing w:line="191" w:lineRule="auto"/>
        <w:ind w:right="4200"/>
        <w:jc w:val="right"/>
        <w:rPr>
          <w:sz w:val="20"/>
          <w:szCs w:val="20"/>
        </w:rPr>
      </w:pPr>
      <w:r>
        <w:rPr>
          <w:rFonts w:ascii="Cambria" w:eastAsia="Cambria" w:hAnsi="Cambria" w:cs="Cambria"/>
          <w:color w:val="595959"/>
          <w:sz w:val="18"/>
          <w:szCs w:val="18"/>
        </w:rPr>
        <w:t>200</w:t>
      </w:r>
    </w:p>
    <w:p w:rsidR="007D0720" w:rsidRDefault="007E26B5">
      <w:pPr>
        <w:spacing w:line="190" w:lineRule="auto"/>
        <w:ind w:right="4200"/>
        <w:jc w:val="right"/>
        <w:rPr>
          <w:sz w:val="20"/>
          <w:szCs w:val="20"/>
        </w:rPr>
      </w:pPr>
      <w:r>
        <w:rPr>
          <w:rFonts w:ascii="Cambria" w:eastAsia="Cambria" w:hAnsi="Cambria" w:cs="Cambria"/>
          <w:color w:val="595959"/>
          <w:sz w:val="18"/>
          <w:szCs w:val="18"/>
        </w:rPr>
        <w:t>100</w:t>
      </w:r>
    </w:p>
    <w:p w:rsidR="007D0720" w:rsidRDefault="007D0720">
      <w:pPr>
        <w:spacing w:line="1" w:lineRule="exact"/>
        <w:rPr>
          <w:sz w:val="20"/>
          <w:szCs w:val="20"/>
        </w:rPr>
      </w:pPr>
    </w:p>
    <w:p w:rsidR="007D0720" w:rsidRDefault="007E26B5">
      <w:pPr>
        <w:ind w:right="4200"/>
        <w:jc w:val="right"/>
        <w:rPr>
          <w:sz w:val="20"/>
          <w:szCs w:val="20"/>
        </w:rPr>
      </w:pPr>
      <w:r>
        <w:rPr>
          <w:rFonts w:ascii="Cambria" w:eastAsia="Cambria" w:hAnsi="Cambria" w:cs="Cambria"/>
          <w:color w:val="595959"/>
          <w:sz w:val="18"/>
          <w:szCs w:val="18"/>
        </w:rPr>
        <w:t>0</w:t>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64" w:lineRule="exact"/>
        <w:rPr>
          <w:sz w:val="20"/>
          <w:szCs w:val="20"/>
        </w:rPr>
      </w:pPr>
    </w:p>
    <w:p w:rsidR="007D0720" w:rsidRDefault="007E26B5">
      <w:pPr>
        <w:ind w:left="2226"/>
        <w:rPr>
          <w:sz w:val="20"/>
          <w:szCs w:val="20"/>
        </w:rPr>
      </w:pPr>
      <w:r>
        <w:rPr>
          <w:rFonts w:ascii="Cambria" w:eastAsia="Cambria" w:hAnsi="Cambria" w:cs="Cambria"/>
          <w:color w:val="595959"/>
          <w:sz w:val="20"/>
          <w:szCs w:val="20"/>
        </w:rPr>
        <w:t>Problem Set</w:t>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68" w:lineRule="exact"/>
        <w:rPr>
          <w:sz w:val="20"/>
          <w:szCs w:val="20"/>
        </w:rPr>
      </w:pPr>
    </w:p>
    <w:p w:rsidR="007D0720" w:rsidRDefault="007E26B5">
      <w:pPr>
        <w:ind w:left="6"/>
        <w:rPr>
          <w:sz w:val="20"/>
          <w:szCs w:val="20"/>
        </w:rPr>
      </w:pPr>
      <w:r>
        <w:rPr>
          <w:rFonts w:eastAsia="Times New Roman"/>
          <w:b/>
          <w:bCs/>
          <w:sz w:val="18"/>
          <w:szCs w:val="18"/>
        </w:rPr>
        <w:t>Figure 11. Problem Set with Highest Drop-off</w:t>
      </w:r>
    </w:p>
    <w:p w:rsidR="007D0720" w:rsidRDefault="007D0720">
      <w:pPr>
        <w:spacing w:line="450" w:lineRule="exact"/>
        <w:rPr>
          <w:sz w:val="20"/>
          <w:szCs w:val="20"/>
        </w:rPr>
      </w:pPr>
    </w:p>
    <w:p w:rsidR="007D0720" w:rsidRDefault="007D0720">
      <w:pPr>
        <w:sectPr w:rsidR="007D0720">
          <w:pgSz w:w="12240" w:h="15840"/>
          <w:pgMar w:top="1220" w:right="1080" w:bottom="989" w:left="1080" w:header="0" w:footer="0" w:gutter="0"/>
          <w:cols w:num="2" w:space="720" w:equalWidth="0">
            <w:col w:w="4960" w:space="294"/>
            <w:col w:w="4826"/>
          </w:cols>
        </w:sectPr>
      </w:pPr>
    </w:p>
    <w:p w:rsidR="007D0720" w:rsidRDefault="007D0720">
      <w:pPr>
        <w:spacing w:line="33" w:lineRule="exact"/>
        <w:rPr>
          <w:sz w:val="20"/>
          <w:szCs w:val="20"/>
        </w:rPr>
      </w:pPr>
    </w:p>
    <w:p w:rsidR="007D0720" w:rsidRDefault="007E26B5">
      <w:pPr>
        <w:spacing w:line="254" w:lineRule="auto"/>
        <w:jc w:val="both"/>
        <w:rPr>
          <w:sz w:val="20"/>
          <w:szCs w:val="20"/>
        </w:rPr>
      </w:pPr>
      <w:r>
        <w:rPr>
          <w:rFonts w:eastAsia="Times New Roman"/>
          <w:sz w:val="20"/>
          <w:szCs w:val="20"/>
        </w:rPr>
        <w:t xml:space="preserve">Since Assignment Engagement trends are continuously </w:t>
      </w:r>
      <w:r>
        <w:rPr>
          <w:rFonts w:eastAsia="Times New Roman"/>
          <w:sz w:val="20"/>
          <w:szCs w:val="20"/>
        </w:rPr>
        <w:t>declining, it is difficult to identify the Assignments which might correlate to higher drop off rates. Different types of</w:t>
      </w:r>
    </w:p>
    <w:p w:rsidR="007D0720" w:rsidRDefault="007E26B5">
      <w:pPr>
        <w:spacing w:line="20" w:lineRule="exact"/>
        <w:rPr>
          <w:sz w:val="20"/>
          <w:szCs w:val="20"/>
        </w:rPr>
      </w:pPr>
      <w:r>
        <w:rPr>
          <w:sz w:val="20"/>
          <w:szCs w:val="20"/>
        </w:rPr>
        <w:br w:type="column"/>
      </w:r>
    </w:p>
    <w:p w:rsidR="007D0720" w:rsidRDefault="007E26B5">
      <w:pPr>
        <w:rPr>
          <w:sz w:val="20"/>
          <w:szCs w:val="20"/>
        </w:rPr>
      </w:pPr>
      <w:r>
        <w:rPr>
          <w:rFonts w:ascii="Arial" w:eastAsia="Arial" w:hAnsi="Arial" w:cs="Arial"/>
          <w:i/>
          <w:iCs/>
          <w:sz w:val="18"/>
          <w:szCs w:val="18"/>
        </w:rPr>
        <w:t>Observation: Identifying Assignments with higher completion</w:t>
      </w:r>
    </w:p>
    <w:p w:rsidR="007D0720" w:rsidRDefault="007D0720">
      <w:pPr>
        <w:spacing w:line="114" w:lineRule="exact"/>
        <w:rPr>
          <w:sz w:val="20"/>
          <w:szCs w:val="20"/>
        </w:rPr>
      </w:pPr>
    </w:p>
    <w:p w:rsidR="007D0720" w:rsidRDefault="007E26B5">
      <w:pPr>
        <w:spacing w:line="252" w:lineRule="auto"/>
        <w:jc w:val="both"/>
        <w:rPr>
          <w:sz w:val="20"/>
          <w:szCs w:val="20"/>
        </w:rPr>
      </w:pPr>
      <w:r>
        <w:rPr>
          <w:rFonts w:eastAsia="Times New Roman"/>
          <w:sz w:val="20"/>
          <w:szCs w:val="20"/>
        </w:rPr>
        <w:t>Since engagement graphs had fluctuations, using moving averages and Bol</w:t>
      </w:r>
      <w:r>
        <w:rPr>
          <w:rFonts w:eastAsia="Times New Roman"/>
          <w:sz w:val="20"/>
          <w:szCs w:val="20"/>
        </w:rPr>
        <w:t>linger Band Graphs one can highlight the parts of the graph where the changes were more drastic. For</w:t>
      </w:r>
    </w:p>
    <w:p w:rsidR="007D0720" w:rsidRDefault="007D0720">
      <w:pPr>
        <w:sectPr w:rsidR="007D0720">
          <w:type w:val="continuous"/>
          <w:pgSz w:w="12240" w:h="15840"/>
          <w:pgMar w:top="1220" w:right="1080" w:bottom="989" w:left="1080" w:header="0" w:footer="0" w:gutter="0"/>
          <w:cols w:num="2" w:space="720" w:equalWidth="0">
            <w:col w:w="4820" w:space="440"/>
            <w:col w:w="4820"/>
          </w:cols>
        </w:sectPr>
      </w:pPr>
    </w:p>
    <w:p w:rsidR="007D0720" w:rsidRDefault="007D0720">
      <w:pPr>
        <w:spacing w:line="398" w:lineRule="exact"/>
        <w:rPr>
          <w:sz w:val="20"/>
          <w:szCs w:val="20"/>
        </w:rPr>
      </w:pPr>
      <w:bookmarkStart w:id="4" w:name="page5"/>
      <w:bookmarkEnd w:id="4"/>
    </w:p>
    <w:p w:rsidR="007D0720" w:rsidRDefault="007E26B5">
      <w:pPr>
        <w:spacing w:line="243" w:lineRule="auto"/>
        <w:ind w:left="2"/>
        <w:jc w:val="both"/>
        <w:rPr>
          <w:sz w:val="20"/>
          <w:szCs w:val="20"/>
        </w:rPr>
      </w:pPr>
      <w:r>
        <w:rPr>
          <w:rFonts w:eastAsia="Times New Roman"/>
          <w:sz w:val="20"/>
          <w:szCs w:val="20"/>
        </w:rPr>
        <w:t>a continually decreasing graph, such as that of user engagement, Bollinger Band Graphs are able to highlight the change in tren</w:t>
      </w:r>
      <w:r>
        <w:rPr>
          <w:rFonts w:eastAsia="Times New Roman"/>
          <w:sz w:val="20"/>
          <w:szCs w:val="20"/>
        </w:rPr>
        <w:t>d. For the Exercise Engagement graph, Bollinger Band highlights surge in engagement. Growth in engagement was seen with the following Exercises.</w:t>
      </w:r>
    </w:p>
    <w:p w:rsidR="007D0720" w:rsidRDefault="007D0720">
      <w:pPr>
        <w:spacing w:line="2" w:lineRule="exact"/>
        <w:rPr>
          <w:sz w:val="20"/>
          <w:szCs w:val="20"/>
        </w:rPr>
      </w:pPr>
    </w:p>
    <w:p w:rsidR="007D0720" w:rsidRDefault="007E26B5">
      <w:pPr>
        <w:numPr>
          <w:ilvl w:val="0"/>
          <w:numId w:val="12"/>
        </w:numPr>
        <w:tabs>
          <w:tab w:val="left" w:pos="362"/>
        </w:tabs>
        <w:ind w:left="362" w:hanging="362"/>
        <w:rPr>
          <w:rFonts w:ascii="Symbol" w:eastAsia="Symbol" w:hAnsi="Symbol" w:cs="Symbol"/>
          <w:sz w:val="20"/>
          <w:szCs w:val="20"/>
        </w:rPr>
      </w:pPr>
      <w:r>
        <w:rPr>
          <w:rFonts w:eastAsia="Times New Roman"/>
          <w:sz w:val="20"/>
          <w:szCs w:val="20"/>
        </w:rPr>
        <w:t>Loops - 3.3.2 Exercise 1</w:t>
      </w:r>
    </w:p>
    <w:p w:rsidR="007D0720" w:rsidRDefault="007D0720">
      <w:pPr>
        <w:spacing w:line="12" w:lineRule="exact"/>
        <w:rPr>
          <w:rFonts w:ascii="Symbol" w:eastAsia="Symbol" w:hAnsi="Symbol" w:cs="Symbol"/>
          <w:sz w:val="20"/>
          <w:szCs w:val="20"/>
        </w:rPr>
      </w:pPr>
    </w:p>
    <w:p w:rsidR="007D0720" w:rsidRDefault="007E26B5">
      <w:pPr>
        <w:numPr>
          <w:ilvl w:val="0"/>
          <w:numId w:val="12"/>
        </w:numPr>
        <w:tabs>
          <w:tab w:val="left" w:pos="362"/>
        </w:tabs>
        <w:spacing w:line="235" w:lineRule="auto"/>
        <w:ind w:left="362" w:hanging="362"/>
        <w:rPr>
          <w:rFonts w:ascii="Symbol" w:eastAsia="Symbol" w:hAnsi="Symbol" w:cs="Symbol"/>
          <w:sz w:val="20"/>
          <w:szCs w:val="20"/>
        </w:rPr>
      </w:pPr>
      <w:r>
        <w:rPr>
          <w:rFonts w:eastAsia="Times New Roman"/>
          <w:sz w:val="20"/>
          <w:szCs w:val="20"/>
        </w:rPr>
        <w:t>Loops - 3.3.4 Exercise 2</w:t>
      </w:r>
    </w:p>
    <w:p w:rsidR="007D0720" w:rsidRDefault="007E26B5">
      <w:pPr>
        <w:numPr>
          <w:ilvl w:val="0"/>
          <w:numId w:val="12"/>
        </w:numPr>
        <w:tabs>
          <w:tab w:val="left" w:pos="362"/>
        </w:tabs>
        <w:ind w:left="362" w:hanging="362"/>
        <w:rPr>
          <w:rFonts w:ascii="Symbol" w:eastAsia="Symbol" w:hAnsi="Symbol" w:cs="Symbol"/>
          <w:sz w:val="20"/>
          <w:szCs w:val="20"/>
        </w:rPr>
      </w:pPr>
      <w:r>
        <w:rPr>
          <w:rFonts w:eastAsia="Times New Roman"/>
          <w:sz w:val="20"/>
          <w:szCs w:val="20"/>
        </w:rPr>
        <w:t>Error Handling - 3.5.4 Exercise 2</w:t>
      </w:r>
    </w:p>
    <w:p w:rsidR="007D0720" w:rsidRDefault="007E26B5">
      <w:pPr>
        <w:numPr>
          <w:ilvl w:val="0"/>
          <w:numId w:val="12"/>
        </w:numPr>
        <w:tabs>
          <w:tab w:val="left" w:pos="362"/>
        </w:tabs>
        <w:ind w:left="362" w:hanging="362"/>
        <w:rPr>
          <w:rFonts w:ascii="Symbol" w:eastAsia="Symbol" w:hAnsi="Symbol" w:cs="Symbol"/>
          <w:sz w:val="20"/>
          <w:szCs w:val="20"/>
        </w:rPr>
      </w:pPr>
      <w:r>
        <w:rPr>
          <w:rFonts w:eastAsia="Times New Roman"/>
          <w:sz w:val="20"/>
          <w:szCs w:val="20"/>
        </w:rPr>
        <w:t xml:space="preserve">File Input and Output - </w:t>
      </w:r>
      <w:r>
        <w:rPr>
          <w:rFonts w:eastAsia="Times New Roman"/>
          <w:sz w:val="20"/>
          <w:szCs w:val="20"/>
        </w:rPr>
        <w:t>4.4.3 Exercise 2</w:t>
      </w:r>
    </w:p>
    <w:p w:rsidR="007D0720" w:rsidRDefault="007E26B5">
      <w:pPr>
        <w:numPr>
          <w:ilvl w:val="0"/>
          <w:numId w:val="12"/>
        </w:numPr>
        <w:tabs>
          <w:tab w:val="left" w:pos="362"/>
        </w:tabs>
        <w:ind w:left="362" w:hanging="362"/>
        <w:rPr>
          <w:rFonts w:ascii="Symbol" w:eastAsia="Symbol" w:hAnsi="Symbol" w:cs="Symbol"/>
          <w:sz w:val="20"/>
          <w:szCs w:val="20"/>
        </w:rPr>
      </w:pPr>
      <w:r>
        <w:rPr>
          <w:rFonts w:eastAsia="Times New Roman"/>
          <w:sz w:val="20"/>
          <w:szCs w:val="20"/>
        </w:rPr>
        <w:t>Dictionaries - 4.5.4 Exercise 2</w:t>
      </w:r>
    </w:p>
    <w:p w:rsidR="007D0720" w:rsidRDefault="007E26B5">
      <w:pPr>
        <w:ind w:left="1202"/>
        <w:rPr>
          <w:sz w:val="20"/>
          <w:szCs w:val="20"/>
        </w:rPr>
      </w:pPr>
      <w:r>
        <w:rPr>
          <w:rFonts w:ascii="Cambria" w:eastAsia="Cambria" w:hAnsi="Cambria" w:cs="Cambria"/>
          <w:color w:val="595959"/>
          <w:sz w:val="28"/>
          <w:szCs w:val="28"/>
        </w:rPr>
        <w:t>Exercise Engagement</w:t>
      </w:r>
    </w:p>
    <w:p w:rsidR="007D0720" w:rsidRDefault="007E26B5">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-2540</wp:posOffset>
            </wp:positionH>
            <wp:positionV relativeFrom="paragraph">
              <wp:posOffset>6350</wp:posOffset>
            </wp:positionV>
            <wp:extent cx="3142615" cy="21672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blip>
                    <a:srcRect/>
                    <a:stretch>
                      <a:fillRect/>
                    </a:stretch>
                  </pic:blipFill>
                  <pic:spPr bwMode="auto">
                    <a:xfrm>
                      <a:off x="0" y="0"/>
                      <a:ext cx="3142615" cy="2167255"/>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92" w:lineRule="exact"/>
        <w:rPr>
          <w:sz w:val="20"/>
          <w:szCs w:val="20"/>
        </w:rPr>
      </w:pPr>
    </w:p>
    <w:p w:rsidR="007D0720" w:rsidRDefault="007E26B5">
      <w:pPr>
        <w:ind w:right="4180"/>
        <w:jc w:val="right"/>
        <w:rPr>
          <w:sz w:val="20"/>
          <w:szCs w:val="20"/>
        </w:rPr>
      </w:pPr>
      <w:r>
        <w:rPr>
          <w:rFonts w:ascii="Cambria" w:eastAsia="Cambria" w:hAnsi="Cambria" w:cs="Cambria"/>
          <w:color w:val="595959"/>
          <w:sz w:val="18"/>
          <w:szCs w:val="18"/>
        </w:rPr>
        <w:t>10000</w:t>
      </w:r>
    </w:p>
    <w:p w:rsidR="007D0720" w:rsidRDefault="007D0720">
      <w:pPr>
        <w:spacing w:line="21" w:lineRule="exact"/>
        <w:rPr>
          <w:sz w:val="20"/>
          <w:szCs w:val="20"/>
        </w:rPr>
      </w:pPr>
    </w:p>
    <w:p w:rsidR="007D0720" w:rsidRDefault="007E26B5">
      <w:pPr>
        <w:ind w:right="4180"/>
        <w:jc w:val="right"/>
        <w:rPr>
          <w:sz w:val="20"/>
          <w:szCs w:val="20"/>
        </w:rPr>
      </w:pPr>
      <w:r>
        <w:rPr>
          <w:rFonts w:ascii="Cambria" w:eastAsia="Cambria" w:hAnsi="Cambria" w:cs="Cambria"/>
          <w:color w:val="595959"/>
          <w:sz w:val="18"/>
          <w:szCs w:val="18"/>
        </w:rPr>
        <w:t>8000</w:t>
      </w:r>
    </w:p>
    <w:p w:rsidR="007D0720" w:rsidRDefault="007D0720">
      <w:pPr>
        <w:spacing w:line="21" w:lineRule="exact"/>
        <w:rPr>
          <w:sz w:val="20"/>
          <w:szCs w:val="20"/>
        </w:rPr>
      </w:pPr>
    </w:p>
    <w:p w:rsidR="007D0720" w:rsidRDefault="007E26B5">
      <w:pPr>
        <w:ind w:right="4180"/>
        <w:jc w:val="right"/>
        <w:rPr>
          <w:sz w:val="20"/>
          <w:szCs w:val="20"/>
        </w:rPr>
      </w:pPr>
      <w:r>
        <w:rPr>
          <w:rFonts w:ascii="Cambria" w:eastAsia="Cambria" w:hAnsi="Cambria" w:cs="Cambria"/>
          <w:color w:val="595959"/>
          <w:sz w:val="18"/>
          <w:szCs w:val="18"/>
        </w:rPr>
        <w:t>6000</w:t>
      </w:r>
    </w:p>
    <w:p w:rsidR="007D0720" w:rsidRDefault="007D0720">
      <w:pPr>
        <w:spacing w:line="21" w:lineRule="exact"/>
        <w:rPr>
          <w:sz w:val="20"/>
          <w:szCs w:val="20"/>
        </w:rPr>
      </w:pPr>
    </w:p>
    <w:p w:rsidR="007D0720" w:rsidRDefault="007E26B5">
      <w:pPr>
        <w:ind w:right="4180"/>
        <w:jc w:val="right"/>
        <w:rPr>
          <w:sz w:val="20"/>
          <w:szCs w:val="20"/>
        </w:rPr>
      </w:pPr>
      <w:r>
        <w:rPr>
          <w:rFonts w:ascii="Cambria" w:eastAsia="Cambria" w:hAnsi="Cambria" w:cs="Cambria"/>
          <w:color w:val="595959"/>
          <w:sz w:val="18"/>
          <w:szCs w:val="18"/>
        </w:rPr>
        <w:t>4000</w:t>
      </w:r>
    </w:p>
    <w:p w:rsidR="007D0720" w:rsidRDefault="007D0720">
      <w:pPr>
        <w:spacing w:line="21" w:lineRule="exact"/>
        <w:rPr>
          <w:sz w:val="20"/>
          <w:szCs w:val="20"/>
        </w:rPr>
      </w:pPr>
    </w:p>
    <w:p w:rsidR="007D0720" w:rsidRDefault="007E26B5">
      <w:pPr>
        <w:ind w:right="4180"/>
        <w:jc w:val="right"/>
        <w:rPr>
          <w:sz w:val="20"/>
          <w:szCs w:val="20"/>
        </w:rPr>
      </w:pPr>
      <w:r>
        <w:rPr>
          <w:rFonts w:ascii="Cambria" w:eastAsia="Cambria" w:hAnsi="Cambria" w:cs="Cambria"/>
          <w:color w:val="595959"/>
          <w:sz w:val="18"/>
          <w:szCs w:val="18"/>
        </w:rPr>
        <w:t>2000</w:t>
      </w:r>
    </w:p>
    <w:p w:rsidR="007D0720" w:rsidRDefault="007D0720">
      <w:pPr>
        <w:spacing w:line="21" w:lineRule="exact"/>
        <w:rPr>
          <w:sz w:val="20"/>
          <w:szCs w:val="20"/>
        </w:rPr>
      </w:pPr>
    </w:p>
    <w:p w:rsidR="007D0720" w:rsidRDefault="007E26B5">
      <w:pPr>
        <w:ind w:right="4180"/>
        <w:jc w:val="right"/>
        <w:rPr>
          <w:sz w:val="20"/>
          <w:szCs w:val="20"/>
        </w:rPr>
      </w:pPr>
      <w:r>
        <w:rPr>
          <w:rFonts w:ascii="Cambria" w:eastAsia="Cambria" w:hAnsi="Cambria" w:cs="Cambria"/>
          <w:color w:val="595959"/>
          <w:sz w:val="18"/>
          <w:szCs w:val="18"/>
        </w:rPr>
        <w:t>0</w:t>
      </w:r>
    </w:p>
    <w:p w:rsidR="007D0720" w:rsidRDefault="007D0720">
      <w:pPr>
        <w:spacing w:line="6" w:lineRule="exact"/>
        <w:rPr>
          <w:sz w:val="20"/>
          <w:szCs w:val="20"/>
        </w:rPr>
      </w:pPr>
    </w:p>
    <w:tbl>
      <w:tblPr>
        <w:tblW w:w="0" w:type="auto"/>
        <w:tblInd w:w="702" w:type="dxa"/>
        <w:tblLayout w:type="fixed"/>
        <w:tblCellMar>
          <w:left w:w="0" w:type="dxa"/>
          <w:right w:w="0" w:type="dxa"/>
        </w:tblCellMar>
        <w:tblLook w:val="04A0" w:firstRow="1" w:lastRow="0" w:firstColumn="1" w:lastColumn="0" w:noHBand="0" w:noVBand="1"/>
      </w:tblPr>
      <w:tblGrid>
        <w:gridCol w:w="1540"/>
        <w:gridCol w:w="2440"/>
      </w:tblGrid>
      <w:tr w:rsidR="007D0720">
        <w:trPr>
          <w:trHeight w:val="335"/>
        </w:trPr>
        <w:tc>
          <w:tcPr>
            <w:tcW w:w="1540" w:type="dxa"/>
            <w:textDirection w:val="btLr"/>
            <w:vAlign w:val="bottom"/>
          </w:tcPr>
          <w:p w:rsidR="007D0720" w:rsidRDefault="007E26B5">
            <w:pPr>
              <w:ind w:left="1446"/>
              <w:rPr>
                <w:sz w:val="20"/>
                <w:szCs w:val="20"/>
              </w:rPr>
            </w:pPr>
            <w:r>
              <w:rPr>
                <w:rFonts w:ascii="Cambria" w:eastAsia="Cambria" w:hAnsi="Cambria" w:cs="Cambria"/>
                <w:color w:val="595959"/>
                <w:w w:val="77"/>
                <w:sz w:val="8"/>
                <w:szCs w:val="8"/>
              </w:rPr>
              <w:t>Unit356799</w:t>
            </w:r>
          </w:p>
        </w:tc>
        <w:tc>
          <w:tcPr>
            <w:tcW w:w="2440" w:type="dxa"/>
            <w:textDirection w:val="btLr"/>
            <w:vAlign w:val="bottom"/>
          </w:tcPr>
          <w:p w:rsidR="007D0720" w:rsidRDefault="007E26B5">
            <w:pPr>
              <w:rPr>
                <w:sz w:val="20"/>
                <w:szCs w:val="20"/>
              </w:rPr>
            </w:pPr>
            <w:r>
              <w:rPr>
                <w:rFonts w:ascii="Cambria" w:eastAsia="Cambria" w:hAnsi="Cambria" w:cs="Cambria"/>
                <w:color w:val="595959"/>
                <w:w w:val="81"/>
                <w:sz w:val="2"/>
                <w:szCs w:val="2"/>
              </w:rPr>
              <w:t>1011111213141516171819</w:t>
            </w:r>
          </w:p>
        </w:tc>
      </w:tr>
      <w:tr w:rsidR="007D0720">
        <w:trPr>
          <w:trHeight w:val="583"/>
        </w:trPr>
        <w:tc>
          <w:tcPr>
            <w:tcW w:w="1540" w:type="dxa"/>
            <w:vAlign w:val="bottom"/>
          </w:tcPr>
          <w:p w:rsidR="007D0720" w:rsidRDefault="007E26B5">
            <w:pPr>
              <w:ind w:left="100"/>
              <w:rPr>
                <w:sz w:val="20"/>
                <w:szCs w:val="20"/>
              </w:rPr>
            </w:pPr>
            <w:r>
              <w:rPr>
                <w:rFonts w:ascii="Cambria" w:eastAsia="Cambria" w:hAnsi="Cambria" w:cs="Cambria"/>
                <w:color w:val="595959"/>
                <w:sz w:val="18"/>
                <w:szCs w:val="18"/>
              </w:rPr>
              <w:t>Moving average</w:t>
            </w:r>
          </w:p>
        </w:tc>
        <w:tc>
          <w:tcPr>
            <w:tcW w:w="2440" w:type="dxa"/>
            <w:vAlign w:val="bottom"/>
          </w:tcPr>
          <w:p w:rsidR="007D0720" w:rsidRDefault="007E26B5">
            <w:pPr>
              <w:ind w:right="9"/>
              <w:jc w:val="right"/>
              <w:rPr>
                <w:sz w:val="20"/>
                <w:szCs w:val="20"/>
              </w:rPr>
            </w:pPr>
            <w:r>
              <w:rPr>
                <w:rFonts w:ascii="Cambria" w:eastAsia="Cambria" w:hAnsi="Cambria" w:cs="Cambria"/>
                <w:color w:val="595959"/>
                <w:sz w:val="18"/>
                <w:szCs w:val="18"/>
              </w:rPr>
              <w:t>Upper Bollinger Band</w:t>
            </w:r>
          </w:p>
        </w:tc>
      </w:tr>
    </w:tbl>
    <w:p w:rsidR="007D0720" w:rsidRDefault="007E26B5">
      <w:pPr>
        <w:ind w:left="802"/>
        <w:rPr>
          <w:sz w:val="20"/>
          <w:szCs w:val="20"/>
        </w:rPr>
      </w:pPr>
      <w:r>
        <w:rPr>
          <w:rFonts w:ascii="Cambria" w:eastAsia="Cambria" w:hAnsi="Cambria" w:cs="Cambria"/>
          <w:color w:val="595959"/>
          <w:sz w:val="18"/>
          <w:szCs w:val="18"/>
        </w:rPr>
        <w:t>Lower Bollinger Band</w:t>
      </w:r>
    </w:p>
    <w:p w:rsidR="007D0720" w:rsidRDefault="007D0720">
      <w:pPr>
        <w:spacing w:line="372" w:lineRule="exact"/>
        <w:rPr>
          <w:sz w:val="20"/>
          <w:szCs w:val="20"/>
        </w:rPr>
      </w:pPr>
    </w:p>
    <w:p w:rsidR="007D0720" w:rsidRDefault="007E26B5">
      <w:pPr>
        <w:spacing w:line="238" w:lineRule="auto"/>
        <w:ind w:left="2"/>
        <w:jc w:val="both"/>
        <w:rPr>
          <w:sz w:val="20"/>
          <w:szCs w:val="20"/>
        </w:rPr>
      </w:pPr>
      <w:r>
        <w:rPr>
          <w:rFonts w:eastAsia="Times New Roman"/>
          <w:b/>
          <w:bCs/>
          <w:sz w:val="18"/>
          <w:szCs w:val="18"/>
        </w:rPr>
        <w:t xml:space="preserve">Figure 12. Exercise Engagement with moving averages </w:t>
      </w:r>
      <w:r>
        <w:rPr>
          <w:rFonts w:eastAsia="Times New Roman"/>
          <w:b/>
          <w:bCs/>
          <w:sz w:val="18"/>
          <w:szCs w:val="18"/>
        </w:rPr>
        <w:t>and Bollinger Band</w:t>
      </w:r>
    </w:p>
    <w:p w:rsidR="007D0720" w:rsidRDefault="007D0720">
      <w:pPr>
        <w:spacing w:line="90" w:lineRule="exact"/>
        <w:rPr>
          <w:sz w:val="20"/>
          <w:szCs w:val="20"/>
        </w:rPr>
      </w:pPr>
    </w:p>
    <w:p w:rsidR="007D0720" w:rsidRDefault="007E26B5">
      <w:pPr>
        <w:spacing w:line="243" w:lineRule="auto"/>
        <w:ind w:left="2"/>
        <w:jc w:val="both"/>
        <w:rPr>
          <w:sz w:val="20"/>
          <w:szCs w:val="20"/>
        </w:rPr>
      </w:pPr>
      <w:r>
        <w:rPr>
          <w:rFonts w:eastAsia="Times New Roman"/>
          <w:sz w:val="20"/>
          <w:szCs w:val="20"/>
        </w:rPr>
        <w:t xml:space="preserve">This analysis highlights the exercises that draw higher engagement, compared to the other exercises in the section and subsections. However, it doesn’t provide an insight into the cause of the increased engagement. Course Designers and </w:t>
      </w:r>
      <w:r>
        <w:rPr>
          <w:rFonts w:eastAsia="Times New Roman"/>
          <w:sz w:val="20"/>
          <w:szCs w:val="20"/>
        </w:rPr>
        <w:t>Instructors will need to analyze the Assignment content to explain the uptick in engagement. Once these relationships are better understood, Designers &amp; Instructors can incorporate the date into other Assignments to improve engagement.</w:t>
      </w:r>
    </w:p>
    <w:p w:rsidR="007D0720" w:rsidRDefault="007D0720">
      <w:pPr>
        <w:spacing w:line="200" w:lineRule="exact"/>
        <w:rPr>
          <w:sz w:val="20"/>
          <w:szCs w:val="20"/>
        </w:rPr>
      </w:pPr>
    </w:p>
    <w:p w:rsidR="007D0720" w:rsidRDefault="007D0720">
      <w:pPr>
        <w:spacing w:line="225" w:lineRule="exact"/>
        <w:rPr>
          <w:sz w:val="20"/>
          <w:szCs w:val="20"/>
        </w:rPr>
      </w:pPr>
    </w:p>
    <w:p w:rsidR="007D0720" w:rsidRDefault="007E26B5">
      <w:pPr>
        <w:ind w:left="2"/>
        <w:rPr>
          <w:sz w:val="20"/>
          <w:szCs w:val="20"/>
        </w:rPr>
      </w:pPr>
      <w:r>
        <w:rPr>
          <w:rFonts w:ascii="Arial" w:eastAsia="Arial" w:hAnsi="Arial" w:cs="Arial"/>
          <w:i/>
          <w:iCs/>
          <w:sz w:val="18"/>
          <w:szCs w:val="18"/>
        </w:rPr>
        <w:t>Observation: Codin</w:t>
      </w:r>
      <w:r>
        <w:rPr>
          <w:rFonts w:ascii="Arial" w:eastAsia="Arial" w:hAnsi="Arial" w:cs="Arial"/>
          <w:i/>
          <w:iCs/>
          <w:sz w:val="18"/>
          <w:szCs w:val="18"/>
        </w:rPr>
        <w:t>g Problem Set has worst completion rate</w:t>
      </w:r>
    </w:p>
    <w:p w:rsidR="007D0720" w:rsidRDefault="007D0720">
      <w:pPr>
        <w:spacing w:line="114" w:lineRule="exact"/>
        <w:rPr>
          <w:sz w:val="20"/>
          <w:szCs w:val="20"/>
        </w:rPr>
      </w:pPr>
    </w:p>
    <w:p w:rsidR="007D0720" w:rsidRDefault="007E26B5">
      <w:pPr>
        <w:spacing w:line="243" w:lineRule="auto"/>
        <w:ind w:left="2"/>
        <w:jc w:val="both"/>
        <w:rPr>
          <w:sz w:val="20"/>
          <w:szCs w:val="20"/>
        </w:rPr>
      </w:pPr>
      <w:r>
        <w:rPr>
          <w:rFonts w:eastAsia="Times New Roman"/>
          <w:sz w:val="20"/>
          <w:szCs w:val="20"/>
        </w:rPr>
        <w:t>Engagement for the Problem Set is higher than engagement for the Coding Problem Set. Specifically, engagement is 20-30% higher for the non-coding problem set. Here again, designers and instructors need to figure out</w:t>
      </w:r>
      <w:r>
        <w:rPr>
          <w:rFonts w:eastAsia="Times New Roman"/>
          <w:sz w:val="20"/>
          <w:szCs w:val="20"/>
        </w:rPr>
        <w:t xml:space="preserve"> why learners are not engaging with coding problem sets even though this course is all about learning how to code with Python. The spike in engagement for Unit 3 merely accounts for Multiple Choice questions. We also see higher engagement rates for the Mul</w:t>
      </w:r>
      <w:r>
        <w:rPr>
          <w:rFonts w:eastAsia="Times New Roman"/>
          <w:sz w:val="20"/>
          <w:szCs w:val="20"/>
        </w:rPr>
        <w:t>tiple Choice Question Problem Set.</w:t>
      </w:r>
    </w:p>
    <w:p w:rsidR="007D0720" w:rsidRDefault="007E26B5">
      <w:pPr>
        <w:spacing w:line="20" w:lineRule="exact"/>
        <w:rPr>
          <w:sz w:val="20"/>
          <w:szCs w:val="20"/>
        </w:rPr>
      </w:pPr>
      <w:r>
        <w:rPr>
          <w:sz w:val="20"/>
          <w:szCs w:val="20"/>
        </w:rPr>
        <w:br w:type="column"/>
      </w:r>
    </w:p>
    <w:p w:rsidR="007D0720" w:rsidRDefault="007E26B5">
      <w:pPr>
        <w:ind w:left="1820"/>
        <w:rPr>
          <w:sz w:val="20"/>
          <w:szCs w:val="20"/>
        </w:rPr>
      </w:pPr>
      <w:r>
        <w:rPr>
          <w:rFonts w:ascii="Cambria" w:eastAsia="Cambria" w:hAnsi="Cambria" w:cs="Cambria"/>
          <w:color w:val="595959"/>
          <w:sz w:val="28"/>
          <w:szCs w:val="28"/>
        </w:rPr>
        <w:t>Problem Set</w:t>
      </w:r>
    </w:p>
    <w:p w:rsidR="007D0720" w:rsidRDefault="007E26B5">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-6350</wp:posOffset>
            </wp:positionH>
            <wp:positionV relativeFrom="paragraph">
              <wp:posOffset>53340</wp:posOffset>
            </wp:positionV>
            <wp:extent cx="3234055" cy="18561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blip>
                    <a:srcRect/>
                    <a:stretch>
                      <a:fillRect/>
                    </a:stretch>
                  </pic:blipFill>
                  <pic:spPr bwMode="auto">
                    <a:xfrm>
                      <a:off x="0" y="0"/>
                      <a:ext cx="3234055" cy="1856105"/>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67" w:lineRule="exact"/>
        <w:rPr>
          <w:sz w:val="20"/>
          <w:szCs w:val="20"/>
        </w:rPr>
      </w:pPr>
    </w:p>
    <w:p w:rsidR="007D0720" w:rsidRDefault="007E26B5">
      <w:pPr>
        <w:ind w:right="4280"/>
        <w:jc w:val="right"/>
        <w:rPr>
          <w:sz w:val="20"/>
          <w:szCs w:val="20"/>
        </w:rPr>
      </w:pPr>
      <w:r>
        <w:rPr>
          <w:rFonts w:ascii="Cambria" w:eastAsia="Cambria" w:hAnsi="Cambria" w:cs="Cambria"/>
          <w:color w:val="595959"/>
          <w:sz w:val="18"/>
          <w:szCs w:val="18"/>
        </w:rPr>
        <w:t>2500</w:t>
      </w:r>
    </w:p>
    <w:p w:rsidR="007D0720" w:rsidRDefault="007D0720">
      <w:pPr>
        <w:spacing w:line="118" w:lineRule="exact"/>
        <w:rPr>
          <w:sz w:val="20"/>
          <w:szCs w:val="20"/>
        </w:rPr>
      </w:pPr>
    </w:p>
    <w:p w:rsidR="007D0720" w:rsidRDefault="007E26B5">
      <w:pPr>
        <w:ind w:right="4280"/>
        <w:jc w:val="right"/>
        <w:rPr>
          <w:sz w:val="20"/>
          <w:szCs w:val="20"/>
        </w:rPr>
      </w:pPr>
      <w:r>
        <w:rPr>
          <w:rFonts w:ascii="Cambria" w:eastAsia="Cambria" w:hAnsi="Cambria" w:cs="Cambria"/>
          <w:color w:val="595959"/>
          <w:sz w:val="18"/>
          <w:szCs w:val="18"/>
        </w:rPr>
        <w:t>2000</w:t>
      </w:r>
    </w:p>
    <w:p w:rsidR="007D0720" w:rsidRDefault="007D0720">
      <w:pPr>
        <w:spacing w:line="118" w:lineRule="exact"/>
        <w:rPr>
          <w:sz w:val="20"/>
          <w:szCs w:val="20"/>
        </w:rPr>
      </w:pPr>
    </w:p>
    <w:p w:rsidR="007D0720" w:rsidRDefault="007E26B5">
      <w:pPr>
        <w:ind w:right="4280"/>
        <w:jc w:val="right"/>
        <w:rPr>
          <w:sz w:val="20"/>
          <w:szCs w:val="20"/>
        </w:rPr>
      </w:pPr>
      <w:r>
        <w:rPr>
          <w:rFonts w:ascii="Cambria" w:eastAsia="Cambria" w:hAnsi="Cambria" w:cs="Cambria"/>
          <w:color w:val="595959"/>
          <w:sz w:val="18"/>
          <w:szCs w:val="18"/>
        </w:rPr>
        <w:t>1500</w:t>
      </w:r>
    </w:p>
    <w:p w:rsidR="007D0720" w:rsidRDefault="007D0720">
      <w:pPr>
        <w:spacing w:line="118" w:lineRule="exact"/>
        <w:rPr>
          <w:sz w:val="20"/>
          <w:szCs w:val="20"/>
        </w:rPr>
      </w:pPr>
    </w:p>
    <w:p w:rsidR="007D0720" w:rsidRDefault="007E26B5">
      <w:pPr>
        <w:ind w:right="4280"/>
        <w:jc w:val="right"/>
        <w:rPr>
          <w:sz w:val="20"/>
          <w:szCs w:val="20"/>
        </w:rPr>
      </w:pPr>
      <w:r>
        <w:rPr>
          <w:rFonts w:ascii="Cambria" w:eastAsia="Cambria" w:hAnsi="Cambria" w:cs="Cambria"/>
          <w:color w:val="595959"/>
          <w:sz w:val="18"/>
          <w:szCs w:val="18"/>
        </w:rPr>
        <w:t>1000</w:t>
      </w:r>
    </w:p>
    <w:p w:rsidR="007D0720" w:rsidRDefault="007D0720">
      <w:pPr>
        <w:spacing w:line="118" w:lineRule="exact"/>
        <w:rPr>
          <w:sz w:val="20"/>
          <w:szCs w:val="20"/>
        </w:rPr>
      </w:pPr>
    </w:p>
    <w:p w:rsidR="007D0720" w:rsidRDefault="007E26B5">
      <w:pPr>
        <w:ind w:right="4280"/>
        <w:jc w:val="right"/>
        <w:rPr>
          <w:sz w:val="20"/>
          <w:szCs w:val="20"/>
        </w:rPr>
      </w:pPr>
      <w:r>
        <w:rPr>
          <w:rFonts w:ascii="Cambria" w:eastAsia="Cambria" w:hAnsi="Cambria" w:cs="Cambria"/>
          <w:color w:val="595959"/>
          <w:sz w:val="18"/>
          <w:szCs w:val="18"/>
        </w:rPr>
        <w:t>500</w:t>
      </w:r>
    </w:p>
    <w:p w:rsidR="007D0720" w:rsidRDefault="007D0720">
      <w:pPr>
        <w:spacing w:line="118" w:lineRule="exact"/>
        <w:rPr>
          <w:sz w:val="20"/>
          <w:szCs w:val="20"/>
        </w:rPr>
      </w:pPr>
    </w:p>
    <w:p w:rsidR="007D0720" w:rsidRDefault="007E26B5">
      <w:pPr>
        <w:ind w:right="4280"/>
        <w:jc w:val="right"/>
        <w:rPr>
          <w:sz w:val="20"/>
          <w:szCs w:val="20"/>
        </w:rPr>
      </w:pPr>
      <w:r>
        <w:rPr>
          <w:rFonts w:ascii="Cambria" w:eastAsia="Cambria" w:hAnsi="Cambria" w:cs="Cambria"/>
          <w:color w:val="595959"/>
          <w:sz w:val="18"/>
          <w:szCs w:val="18"/>
        </w:rPr>
        <w:t>0</w:t>
      </w:r>
    </w:p>
    <w:p w:rsidR="007D0720" w:rsidRDefault="007D0720">
      <w:pPr>
        <w:spacing w:line="8" w:lineRule="exact"/>
        <w:rPr>
          <w:sz w:val="20"/>
          <w:szCs w:val="20"/>
        </w:rPr>
      </w:pPr>
    </w:p>
    <w:p w:rsidR="007D0720" w:rsidRDefault="007E26B5">
      <w:pPr>
        <w:ind w:left="660"/>
        <w:rPr>
          <w:sz w:val="20"/>
          <w:szCs w:val="20"/>
        </w:rPr>
      </w:pPr>
      <w:r>
        <w:rPr>
          <w:rFonts w:ascii="Cambria" w:eastAsia="Cambria" w:hAnsi="Cambria" w:cs="Cambria"/>
          <w:color w:val="595959"/>
          <w:sz w:val="18"/>
          <w:szCs w:val="18"/>
        </w:rPr>
        <w:t>1 1 2 3 3 4 5 6 6 7 7 8 8 9 9 1011111213</w:t>
      </w:r>
    </w:p>
    <w:p w:rsidR="007D0720" w:rsidRDefault="007D0720">
      <w:pPr>
        <w:spacing w:line="280" w:lineRule="exact"/>
        <w:rPr>
          <w:sz w:val="20"/>
          <w:szCs w:val="20"/>
        </w:rPr>
      </w:pPr>
    </w:p>
    <w:p w:rsidR="007D0720" w:rsidRDefault="007E26B5">
      <w:pPr>
        <w:spacing w:line="238" w:lineRule="auto"/>
        <w:jc w:val="both"/>
        <w:rPr>
          <w:sz w:val="20"/>
          <w:szCs w:val="20"/>
        </w:rPr>
      </w:pPr>
      <w:r>
        <w:rPr>
          <w:rFonts w:eastAsia="Times New Roman"/>
          <w:b/>
          <w:bCs/>
          <w:sz w:val="18"/>
          <w:szCs w:val="18"/>
        </w:rPr>
        <w:t>Figure 13. Problem Set Engagement, excluding Coding Problem Set. Spike in Unit 3 is for a multiple choice question.</w:t>
      </w:r>
    </w:p>
    <w:p w:rsidR="007D0720" w:rsidRDefault="007D0720">
      <w:pPr>
        <w:spacing w:line="45" w:lineRule="exact"/>
        <w:rPr>
          <w:sz w:val="20"/>
          <w:szCs w:val="20"/>
        </w:rPr>
      </w:pPr>
    </w:p>
    <w:p w:rsidR="007D0720" w:rsidRDefault="007E26B5">
      <w:pPr>
        <w:ind w:left="1360"/>
        <w:rPr>
          <w:sz w:val="20"/>
          <w:szCs w:val="20"/>
        </w:rPr>
      </w:pPr>
      <w:r>
        <w:rPr>
          <w:rFonts w:ascii="Cambria" w:eastAsia="Cambria" w:hAnsi="Cambria" w:cs="Cambria"/>
          <w:color w:val="595959"/>
          <w:sz w:val="28"/>
          <w:szCs w:val="28"/>
        </w:rPr>
        <w:t xml:space="preserve">Coding </w:t>
      </w:r>
      <w:r>
        <w:rPr>
          <w:rFonts w:ascii="Cambria" w:eastAsia="Cambria" w:hAnsi="Cambria" w:cs="Cambria"/>
          <w:color w:val="595959"/>
          <w:sz w:val="28"/>
          <w:szCs w:val="28"/>
        </w:rPr>
        <w:t>Problem Set</w:t>
      </w:r>
    </w:p>
    <w:p w:rsidR="007D0720" w:rsidRDefault="007E26B5">
      <w:pPr>
        <w:spacing w:line="20" w:lineRule="exact"/>
        <w:rPr>
          <w:sz w:val="20"/>
          <w:szCs w:val="20"/>
        </w:rPr>
      </w:pPr>
      <w:r>
        <w:rPr>
          <w:noProof/>
          <w:sz w:val="20"/>
          <w:szCs w:val="20"/>
        </w:rPr>
        <w:drawing>
          <wp:anchor distT="0" distB="0" distL="114300" distR="114300" simplePos="0" relativeHeight="251654144" behindDoc="1" locked="0" layoutInCell="0" allowOverlap="1">
            <wp:simplePos x="0" y="0"/>
            <wp:positionH relativeFrom="column">
              <wp:posOffset>-6350</wp:posOffset>
            </wp:positionH>
            <wp:positionV relativeFrom="paragraph">
              <wp:posOffset>52070</wp:posOffset>
            </wp:positionV>
            <wp:extent cx="3234055" cy="15913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blip>
                    <a:srcRect/>
                    <a:stretch>
                      <a:fillRect/>
                    </a:stretch>
                  </pic:blipFill>
                  <pic:spPr bwMode="auto">
                    <a:xfrm>
                      <a:off x="0" y="0"/>
                      <a:ext cx="3234055" cy="159131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67" w:lineRule="exact"/>
        <w:rPr>
          <w:sz w:val="20"/>
          <w:szCs w:val="20"/>
        </w:rPr>
      </w:pPr>
    </w:p>
    <w:p w:rsidR="007D0720" w:rsidRDefault="007E26B5">
      <w:pPr>
        <w:ind w:right="4280"/>
        <w:jc w:val="right"/>
        <w:rPr>
          <w:sz w:val="20"/>
          <w:szCs w:val="20"/>
        </w:rPr>
      </w:pPr>
      <w:r>
        <w:rPr>
          <w:rFonts w:ascii="Cambria" w:eastAsia="Cambria" w:hAnsi="Cambria" w:cs="Cambria"/>
          <w:color w:val="595959"/>
          <w:sz w:val="18"/>
          <w:szCs w:val="18"/>
        </w:rPr>
        <w:t>2000</w:t>
      </w:r>
    </w:p>
    <w:p w:rsidR="007D0720" w:rsidRDefault="007D0720">
      <w:pPr>
        <w:spacing w:line="94" w:lineRule="exact"/>
        <w:rPr>
          <w:sz w:val="20"/>
          <w:szCs w:val="20"/>
        </w:rPr>
      </w:pPr>
    </w:p>
    <w:p w:rsidR="007D0720" w:rsidRDefault="007E26B5">
      <w:pPr>
        <w:ind w:right="4280"/>
        <w:jc w:val="right"/>
        <w:rPr>
          <w:sz w:val="20"/>
          <w:szCs w:val="20"/>
        </w:rPr>
      </w:pPr>
      <w:r>
        <w:rPr>
          <w:rFonts w:ascii="Cambria" w:eastAsia="Cambria" w:hAnsi="Cambria" w:cs="Cambria"/>
          <w:color w:val="595959"/>
          <w:sz w:val="18"/>
          <w:szCs w:val="18"/>
        </w:rPr>
        <w:t>1500</w:t>
      </w:r>
    </w:p>
    <w:p w:rsidR="007D0720" w:rsidRDefault="007D0720">
      <w:pPr>
        <w:spacing w:line="94" w:lineRule="exact"/>
        <w:rPr>
          <w:sz w:val="20"/>
          <w:szCs w:val="20"/>
        </w:rPr>
      </w:pPr>
    </w:p>
    <w:p w:rsidR="007D0720" w:rsidRDefault="007E26B5">
      <w:pPr>
        <w:ind w:right="4280"/>
        <w:jc w:val="right"/>
        <w:rPr>
          <w:sz w:val="20"/>
          <w:szCs w:val="20"/>
        </w:rPr>
      </w:pPr>
      <w:r>
        <w:rPr>
          <w:rFonts w:ascii="Cambria" w:eastAsia="Cambria" w:hAnsi="Cambria" w:cs="Cambria"/>
          <w:color w:val="595959"/>
          <w:sz w:val="18"/>
          <w:szCs w:val="18"/>
        </w:rPr>
        <w:t>1000</w:t>
      </w:r>
    </w:p>
    <w:p w:rsidR="007D0720" w:rsidRDefault="007D0720">
      <w:pPr>
        <w:spacing w:line="94" w:lineRule="exact"/>
        <w:rPr>
          <w:sz w:val="20"/>
          <w:szCs w:val="20"/>
        </w:rPr>
      </w:pPr>
    </w:p>
    <w:p w:rsidR="007D0720" w:rsidRDefault="007E26B5">
      <w:pPr>
        <w:ind w:right="4280"/>
        <w:jc w:val="right"/>
        <w:rPr>
          <w:sz w:val="20"/>
          <w:szCs w:val="20"/>
        </w:rPr>
      </w:pPr>
      <w:r>
        <w:rPr>
          <w:rFonts w:ascii="Cambria" w:eastAsia="Cambria" w:hAnsi="Cambria" w:cs="Cambria"/>
          <w:color w:val="595959"/>
          <w:sz w:val="18"/>
          <w:szCs w:val="18"/>
        </w:rPr>
        <w:t>500</w:t>
      </w:r>
    </w:p>
    <w:p w:rsidR="007D0720" w:rsidRDefault="007D0720">
      <w:pPr>
        <w:spacing w:line="94" w:lineRule="exact"/>
        <w:rPr>
          <w:sz w:val="20"/>
          <w:szCs w:val="20"/>
        </w:rPr>
      </w:pPr>
    </w:p>
    <w:p w:rsidR="007D0720" w:rsidRDefault="007E26B5">
      <w:pPr>
        <w:ind w:right="4280"/>
        <w:jc w:val="right"/>
        <w:rPr>
          <w:sz w:val="20"/>
          <w:szCs w:val="20"/>
        </w:rPr>
      </w:pPr>
      <w:r>
        <w:rPr>
          <w:rFonts w:ascii="Cambria" w:eastAsia="Cambria" w:hAnsi="Cambria" w:cs="Cambria"/>
          <w:color w:val="595959"/>
          <w:sz w:val="18"/>
          <w:szCs w:val="18"/>
        </w:rPr>
        <w:t>0</w:t>
      </w:r>
    </w:p>
    <w:p w:rsidR="007D0720" w:rsidRDefault="007D0720">
      <w:pPr>
        <w:spacing w:line="8" w:lineRule="exact"/>
        <w:rPr>
          <w:sz w:val="20"/>
          <w:szCs w:val="20"/>
        </w:rPr>
      </w:pPr>
    </w:p>
    <w:p w:rsidR="007D0720" w:rsidRDefault="007E26B5">
      <w:pPr>
        <w:ind w:left="680"/>
        <w:rPr>
          <w:sz w:val="20"/>
          <w:szCs w:val="20"/>
        </w:rPr>
      </w:pPr>
      <w:r>
        <w:rPr>
          <w:rFonts w:ascii="Cambria" w:eastAsia="Cambria" w:hAnsi="Cambria" w:cs="Cambria"/>
          <w:color w:val="595959"/>
          <w:sz w:val="18"/>
          <w:szCs w:val="18"/>
        </w:rPr>
        <w:t>1 2 2 3 4 5 5 6 7 7 8 8 9 101011121213</w:t>
      </w:r>
    </w:p>
    <w:p w:rsidR="007D0720" w:rsidRDefault="007D0720">
      <w:pPr>
        <w:spacing w:line="301" w:lineRule="exact"/>
        <w:rPr>
          <w:sz w:val="20"/>
          <w:szCs w:val="20"/>
        </w:rPr>
      </w:pPr>
    </w:p>
    <w:p w:rsidR="007D0720" w:rsidRDefault="007E26B5">
      <w:pPr>
        <w:spacing w:line="242" w:lineRule="auto"/>
        <w:jc w:val="both"/>
        <w:rPr>
          <w:sz w:val="20"/>
          <w:szCs w:val="20"/>
        </w:rPr>
      </w:pPr>
      <w:r>
        <w:rPr>
          <w:rFonts w:eastAsia="Times New Roman"/>
          <w:b/>
          <w:bCs/>
          <w:sz w:val="18"/>
          <w:szCs w:val="18"/>
        </w:rPr>
        <w:t>Figure 14. Coding Problem Set only Engagement. Engagement is 20-30% lower than non-coding Problem Set.</w:t>
      </w:r>
    </w:p>
    <w:p w:rsidR="007D0720" w:rsidRDefault="007D0720">
      <w:pPr>
        <w:spacing w:line="200" w:lineRule="exact"/>
        <w:rPr>
          <w:sz w:val="20"/>
          <w:szCs w:val="20"/>
        </w:rPr>
      </w:pPr>
    </w:p>
    <w:p w:rsidR="007D0720" w:rsidRDefault="007D0720">
      <w:pPr>
        <w:spacing w:line="244" w:lineRule="exact"/>
        <w:rPr>
          <w:sz w:val="20"/>
          <w:szCs w:val="20"/>
        </w:rPr>
      </w:pPr>
    </w:p>
    <w:p w:rsidR="007D0720" w:rsidRDefault="007E26B5">
      <w:pPr>
        <w:rPr>
          <w:sz w:val="20"/>
          <w:szCs w:val="20"/>
        </w:rPr>
      </w:pPr>
      <w:r>
        <w:rPr>
          <w:rFonts w:ascii="Arial" w:eastAsia="Arial" w:hAnsi="Arial" w:cs="Arial"/>
          <w:i/>
          <w:iCs/>
          <w:sz w:val="18"/>
          <w:szCs w:val="18"/>
        </w:rPr>
        <w:t>Observation: Higher drop off after major milestone</w:t>
      </w:r>
    </w:p>
    <w:p w:rsidR="007D0720" w:rsidRDefault="007D0720">
      <w:pPr>
        <w:spacing w:line="114" w:lineRule="exact"/>
        <w:rPr>
          <w:sz w:val="20"/>
          <w:szCs w:val="20"/>
        </w:rPr>
      </w:pPr>
    </w:p>
    <w:p w:rsidR="007D0720" w:rsidRDefault="007E26B5">
      <w:pPr>
        <w:spacing w:line="243" w:lineRule="auto"/>
        <w:jc w:val="both"/>
        <w:rPr>
          <w:sz w:val="20"/>
          <w:szCs w:val="20"/>
        </w:rPr>
      </w:pPr>
      <w:r>
        <w:rPr>
          <w:rFonts w:eastAsia="Times New Roman"/>
          <w:sz w:val="20"/>
          <w:szCs w:val="20"/>
        </w:rPr>
        <w:t xml:space="preserve">Analyzing the </w:t>
      </w:r>
      <w:r>
        <w:rPr>
          <w:rFonts w:eastAsia="Times New Roman"/>
          <w:sz w:val="20"/>
          <w:szCs w:val="20"/>
        </w:rPr>
        <w:t>Assignment Engagement data reflects that learner engagement continues to drop as the course progresses, but the rate of drop is higher around the milestones in the course. That is, drops are steeper when the course transitions from one section, subject, or</w:t>
      </w:r>
      <w:r>
        <w:rPr>
          <w:rFonts w:eastAsia="Times New Roman"/>
          <w:sz w:val="20"/>
          <w:szCs w:val="20"/>
        </w:rPr>
        <w:t xml:space="preserve"> chapter to another. We see the trend consistently for Exercise and Problem Set Assignment Types. This observation is also consistent with the Video Content Engagement from edX Insights.</w:t>
      </w:r>
    </w:p>
    <w:p w:rsidR="007D0720" w:rsidRDefault="007D0720">
      <w:pPr>
        <w:sectPr w:rsidR="007D0720">
          <w:pgSz w:w="12240" w:h="15840"/>
          <w:pgMar w:top="823" w:right="1080" w:bottom="1440" w:left="1078" w:header="0" w:footer="0" w:gutter="0"/>
          <w:cols w:num="2" w:space="720" w:equalWidth="0">
            <w:col w:w="4822" w:space="440"/>
            <w:col w:w="4820"/>
          </w:cols>
        </w:sectPr>
      </w:pPr>
    </w:p>
    <w:p w:rsidR="007D0720" w:rsidRDefault="007E26B5">
      <w:pPr>
        <w:spacing w:line="200" w:lineRule="exact"/>
        <w:rPr>
          <w:sz w:val="20"/>
          <w:szCs w:val="20"/>
        </w:rPr>
      </w:pPr>
      <w:bookmarkStart w:id="5" w:name="page6"/>
      <w:bookmarkEnd w:id="5"/>
      <w:r>
        <w:rPr>
          <w:noProof/>
          <w:sz w:val="20"/>
          <w:szCs w:val="20"/>
        </w:rPr>
        <w:lastRenderedPageBreak/>
        <w:drawing>
          <wp:anchor distT="0" distB="0" distL="114300" distR="114300" simplePos="0" relativeHeight="251655168" behindDoc="1" locked="0" layoutInCell="0" allowOverlap="1">
            <wp:simplePos x="0" y="0"/>
            <wp:positionH relativeFrom="page">
              <wp:posOffset>684530</wp:posOffset>
            </wp:positionH>
            <wp:positionV relativeFrom="page">
              <wp:posOffset>784860</wp:posOffset>
            </wp:positionV>
            <wp:extent cx="3117850" cy="18503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3117850" cy="185039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40" w:lineRule="exact"/>
        <w:rPr>
          <w:sz w:val="20"/>
          <w:szCs w:val="20"/>
        </w:rPr>
      </w:pPr>
    </w:p>
    <w:p w:rsidR="007D0720" w:rsidRDefault="007E26B5">
      <w:pPr>
        <w:ind w:left="2"/>
        <w:rPr>
          <w:sz w:val="20"/>
          <w:szCs w:val="20"/>
        </w:rPr>
      </w:pPr>
      <w:r>
        <w:rPr>
          <w:rFonts w:eastAsia="Times New Roman"/>
          <w:b/>
          <w:bCs/>
          <w:sz w:val="18"/>
          <w:szCs w:val="18"/>
        </w:rPr>
        <w:t xml:space="preserve">Figure 15. Problem Set </w:t>
      </w:r>
      <w:r>
        <w:rPr>
          <w:rFonts w:eastAsia="Times New Roman"/>
          <w:b/>
          <w:bCs/>
          <w:sz w:val="18"/>
          <w:szCs w:val="18"/>
        </w:rPr>
        <w:t>drop-off around course milestones.</w:t>
      </w:r>
    </w:p>
    <w:p w:rsidR="007D0720" w:rsidRDefault="007D0720">
      <w:pPr>
        <w:spacing w:line="118" w:lineRule="exact"/>
        <w:rPr>
          <w:sz w:val="20"/>
          <w:szCs w:val="20"/>
        </w:rPr>
      </w:pPr>
    </w:p>
    <w:p w:rsidR="007D0720" w:rsidRDefault="007E26B5">
      <w:pPr>
        <w:spacing w:line="242" w:lineRule="auto"/>
        <w:ind w:left="2"/>
        <w:jc w:val="both"/>
        <w:rPr>
          <w:sz w:val="20"/>
          <w:szCs w:val="20"/>
        </w:rPr>
      </w:pPr>
      <w:r>
        <w:rPr>
          <w:rFonts w:eastAsia="Times New Roman"/>
          <w:sz w:val="20"/>
          <w:szCs w:val="20"/>
        </w:rPr>
        <w:t xml:space="preserve">Analyzing the content for the final sections in Unit 1, (Chapter 1.3 “SmartBook” &amp; Chapter 1.3 “Additional Resources”), it is seen that the content gives the learner accolades for completing the first unit. This kind of </w:t>
      </w:r>
      <w:r>
        <w:rPr>
          <w:rFonts w:eastAsia="Times New Roman"/>
          <w:sz w:val="20"/>
          <w:szCs w:val="20"/>
        </w:rPr>
        <w:t>milestone seems consistent with traditional education where instructors reward learners for persistence. With MOOCs, too, it is important to motivate learners. Perhaps even more important, in MOOCs situations, is the need to keep learners engaged with futu</w:t>
      </w:r>
      <w:r>
        <w:rPr>
          <w:rFonts w:eastAsia="Times New Roman"/>
          <w:sz w:val="20"/>
          <w:szCs w:val="20"/>
        </w:rPr>
        <w:t>re assignments by creating a hook into the next unit. As with television shows, when an episode concludes previews of the next episode are shown to pique curiosity and increase engagement. In the online education arena, instructors could give a simple snap</w:t>
      </w:r>
      <w:r>
        <w:rPr>
          <w:rFonts w:eastAsia="Times New Roman"/>
          <w:sz w:val="20"/>
          <w:szCs w:val="20"/>
        </w:rPr>
        <w:t>shot of what follows. A hook such as this could benefit online courses by keeping leaners engaged.</w:t>
      </w:r>
    </w:p>
    <w:p w:rsidR="007D0720" w:rsidRDefault="007D0720">
      <w:pPr>
        <w:spacing w:line="89" w:lineRule="exact"/>
        <w:rPr>
          <w:sz w:val="20"/>
          <w:szCs w:val="20"/>
        </w:rPr>
      </w:pPr>
    </w:p>
    <w:p w:rsidR="007D0720" w:rsidRDefault="007E26B5">
      <w:pPr>
        <w:ind w:left="2"/>
        <w:rPr>
          <w:sz w:val="20"/>
          <w:szCs w:val="20"/>
        </w:rPr>
      </w:pPr>
      <w:r>
        <w:rPr>
          <w:rFonts w:ascii="Arial" w:eastAsia="Arial" w:hAnsi="Arial" w:cs="Arial"/>
          <w:b/>
          <w:bCs/>
          <w:sz w:val="18"/>
          <w:szCs w:val="18"/>
        </w:rPr>
        <w:t>Learner Engagement Score &amp; Profile Analysis</w:t>
      </w:r>
    </w:p>
    <w:p w:rsidR="007D0720" w:rsidRDefault="007D0720">
      <w:pPr>
        <w:spacing w:line="34" w:lineRule="exact"/>
        <w:rPr>
          <w:sz w:val="20"/>
          <w:szCs w:val="20"/>
        </w:rPr>
      </w:pPr>
    </w:p>
    <w:p w:rsidR="007D0720" w:rsidRDefault="007E26B5">
      <w:pPr>
        <w:spacing w:line="239" w:lineRule="auto"/>
        <w:ind w:left="2"/>
        <w:jc w:val="both"/>
        <w:rPr>
          <w:sz w:val="20"/>
          <w:szCs w:val="20"/>
        </w:rPr>
      </w:pPr>
      <w:r>
        <w:rPr>
          <w:rFonts w:eastAsia="Times New Roman"/>
          <w:sz w:val="20"/>
          <w:szCs w:val="20"/>
        </w:rPr>
        <w:t>Next, the edXlytic project continued investigating learner engagement specific to assignment content. The metho</w:t>
      </w:r>
      <w:r>
        <w:rPr>
          <w:rFonts w:eastAsia="Times New Roman"/>
          <w:sz w:val="20"/>
          <w:szCs w:val="20"/>
        </w:rPr>
        <w:t>d of this analysis involved finding correlation between learners’ engagement scores and different aspects of learner profiles.</w:t>
      </w:r>
    </w:p>
    <w:p w:rsidR="007D0720" w:rsidRDefault="007D0720">
      <w:pPr>
        <w:spacing w:line="101" w:lineRule="exact"/>
        <w:rPr>
          <w:sz w:val="20"/>
          <w:szCs w:val="20"/>
        </w:rPr>
      </w:pPr>
    </w:p>
    <w:p w:rsidR="007D0720" w:rsidRDefault="007E26B5">
      <w:pPr>
        <w:ind w:left="2"/>
        <w:rPr>
          <w:sz w:val="20"/>
          <w:szCs w:val="20"/>
        </w:rPr>
      </w:pPr>
      <w:r>
        <w:rPr>
          <w:rFonts w:ascii="Arial" w:eastAsia="Arial" w:hAnsi="Arial" w:cs="Arial"/>
          <w:i/>
          <w:iCs/>
          <w:sz w:val="18"/>
          <w:szCs w:val="18"/>
        </w:rPr>
        <w:t>Method</w:t>
      </w:r>
    </w:p>
    <w:p w:rsidR="007D0720" w:rsidRDefault="007D0720">
      <w:pPr>
        <w:spacing w:line="114" w:lineRule="exact"/>
        <w:rPr>
          <w:sz w:val="20"/>
          <w:szCs w:val="20"/>
        </w:rPr>
      </w:pPr>
    </w:p>
    <w:p w:rsidR="007D0720" w:rsidRDefault="007E26B5">
      <w:pPr>
        <w:spacing w:line="245" w:lineRule="auto"/>
        <w:ind w:left="2"/>
        <w:jc w:val="both"/>
        <w:rPr>
          <w:sz w:val="20"/>
          <w:szCs w:val="20"/>
        </w:rPr>
      </w:pPr>
      <w:r>
        <w:rPr>
          <w:rFonts w:eastAsia="Times New Roman"/>
          <w:sz w:val="20"/>
          <w:szCs w:val="20"/>
        </w:rPr>
        <w:t>Analyzing learner engagement and various profiles started with Learner Profile and Problem Grade data from the Instructo</w:t>
      </w:r>
      <w:r>
        <w:rPr>
          <w:rFonts w:eastAsia="Times New Roman"/>
          <w:sz w:val="20"/>
          <w:szCs w:val="20"/>
        </w:rPr>
        <w:t>r Dashboard, Data Download section. Using a python script, Problem Grade Data was converted to Learner Assignment Engagement data. Then, the assignment engagement score was calculated for each learner using the following two methods:</w:t>
      </w:r>
    </w:p>
    <w:p w:rsidR="007D0720" w:rsidRDefault="007D0720">
      <w:pPr>
        <w:spacing w:line="85" w:lineRule="exact"/>
        <w:rPr>
          <w:sz w:val="20"/>
          <w:szCs w:val="20"/>
        </w:rPr>
      </w:pPr>
    </w:p>
    <w:p w:rsidR="007D0720" w:rsidRDefault="007E26B5">
      <w:pPr>
        <w:numPr>
          <w:ilvl w:val="0"/>
          <w:numId w:val="13"/>
        </w:numPr>
        <w:tabs>
          <w:tab w:val="left" w:pos="362"/>
        </w:tabs>
        <w:spacing w:line="249" w:lineRule="auto"/>
        <w:ind w:left="362" w:hanging="362"/>
        <w:jc w:val="both"/>
        <w:rPr>
          <w:rFonts w:eastAsia="Times New Roman"/>
          <w:sz w:val="20"/>
          <w:szCs w:val="20"/>
        </w:rPr>
      </w:pPr>
      <w:r>
        <w:rPr>
          <w:rFonts w:eastAsia="Times New Roman"/>
          <w:sz w:val="20"/>
          <w:szCs w:val="20"/>
        </w:rPr>
        <w:t xml:space="preserve">Counting the number </w:t>
      </w:r>
      <w:r>
        <w:rPr>
          <w:rFonts w:eastAsia="Times New Roman"/>
          <w:sz w:val="20"/>
          <w:szCs w:val="20"/>
        </w:rPr>
        <w:t>of assignments attempted, and calculating the percentage out of the total number of assignments in the course.</w:t>
      </w:r>
    </w:p>
    <w:p w:rsidR="007D0720" w:rsidRDefault="007D0720">
      <w:pPr>
        <w:spacing w:line="2" w:lineRule="exact"/>
        <w:rPr>
          <w:rFonts w:eastAsia="Times New Roman"/>
          <w:sz w:val="20"/>
          <w:szCs w:val="20"/>
        </w:rPr>
      </w:pPr>
    </w:p>
    <w:p w:rsidR="007D0720" w:rsidRDefault="007E26B5">
      <w:pPr>
        <w:numPr>
          <w:ilvl w:val="0"/>
          <w:numId w:val="13"/>
        </w:numPr>
        <w:tabs>
          <w:tab w:val="left" w:pos="362"/>
        </w:tabs>
        <w:ind w:left="362" w:hanging="362"/>
        <w:jc w:val="both"/>
        <w:rPr>
          <w:rFonts w:eastAsia="Times New Roman"/>
          <w:sz w:val="20"/>
          <w:szCs w:val="20"/>
        </w:rPr>
      </w:pPr>
      <w:r>
        <w:rPr>
          <w:rFonts w:eastAsia="Times New Roman"/>
          <w:sz w:val="20"/>
          <w:szCs w:val="20"/>
        </w:rPr>
        <w:t>Calculating the furthest progression through entire syllabus of assignments in the course, and calculating the percentage out of total number of</w:t>
      </w:r>
      <w:r>
        <w:rPr>
          <w:rFonts w:eastAsia="Times New Roman"/>
          <w:sz w:val="20"/>
          <w:szCs w:val="20"/>
        </w:rPr>
        <w:t xml:space="preserve"> assignment in the course. (This method was used for further analysis).</w:t>
      </w:r>
    </w:p>
    <w:p w:rsidR="007D0720" w:rsidRDefault="007D0720">
      <w:pPr>
        <w:spacing w:line="205" w:lineRule="exact"/>
        <w:rPr>
          <w:sz w:val="20"/>
          <w:szCs w:val="20"/>
        </w:rPr>
      </w:pPr>
    </w:p>
    <w:p w:rsidR="007D0720" w:rsidRDefault="007E26B5">
      <w:pPr>
        <w:spacing w:line="248" w:lineRule="auto"/>
        <w:ind w:left="2"/>
        <w:jc w:val="both"/>
        <w:rPr>
          <w:sz w:val="20"/>
          <w:szCs w:val="20"/>
        </w:rPr>
      </w:pPr>
      <w:r>
        <w:rPr>
          <w:rFonts w:eastAsia="Times New Roman"/>
          <w:sz w:val="20"/>
          <w:szCs w:val="20"/>
        </w:rPr>
        <w:t xml:space="preserve">The engagement scores were calculated separately for two different types of assignments: Exercise and Problem Set. Then, the total score for each learner was calculated by taking the </w:t>
      </w:r>
      <w:r>
        <w:rPr>
          <w:rFonts w:eastAsia="Times New Roman"/>
          <w:sz w:val="20"/>
          <w:szCs w:val="20"/>
        </w:rPr>
        <w:t>average engagement score for Exercise and</w:t>
      </w:r>
    </w:p>
    <w:p w:rsidR="007D0720" w:rsidRDefault="007E26B5">
      <w:pPr>
        <w:spacing w:line="20" w:lineRule="exact"/>
        <w:rPr>
          <w:sz w:val="20"/>
          <w:szCs w:val="20"/>
        </w:rPr>
      </w:pPr>
      <w:r>
        <w:rPr>
          <w:sz w:val="20"/>
          <w:szCs w:val="20"/>
        </w:rPr>
        <w:br w:type="column"/>
      </w:r>
    </w:p>
    <w:p w:rsidR="007D0720" w:rsidRDefault="007E26B5">
      <w:pPr>
        <w:spacing w:line="243" w:lineRule="auto"/>
        <w:ind w:left="6"/>
        <w:jc w:val="both"/>
        <w:rPr>
          <w:sz w:val="20"/>
          <w:szCs w:val="20"/>
        </w:rPr>
      </w:pPr>
      <w:r>
        <w:rPr>
          <w:rFonts w:eastAsia="Times New Roman"/>
          <w:sz w:val="20"/>
          <w:szCs w:val="20"/>
        </w:rPr>
        <w:t>Problem Set engagement. Next, the newly calculated learner assignment engagement score was joined with the learner profiles to see trends by different attributes of specific profiles. Here are the learner profile</w:t>
      </w:r>
      <w:r>
        <w:rPr>
          <w:rFonts w:eastAsia="Times New Roman"/>
          <w:sz w:val="20"/>
          <w:szCs w:val="20"/>
        </w:rPr>
        <w:t xml:space="preserve"> attributes that were used to analyze the engagement score:</w:t>
      </w:r>
    </w:p>
    <w:p w:rsidR="007D0720" w:rsidRDefault="007D0720">
      <w:pPr>
        <w:spacing w:line="2" w:lineRule="exact"/>
        <w:rPr>
          <w:sz w:val="20"/>
          <w:szCs w:val="20"/>
        </w:rPr>
      </w:pPr>
    </w:p>
    <w:p w:rsidR="007D0720" w:rsidRDefault="007E26B5">
      <w:pPr>
        <w:numPr>
          <w:ilvl w:val="0"/>
          <w:numId w:val="14"/>
        </w:numPr>
        <w:tabs>
          <w:tab w:val="left" w:pos="366"/>
        </w:tabs>
        <w:ind w:left="366" w:hanging="366"/>
        <w:rPr>
          <w:rFonts w:ascii="Symbol" w:eastAsia="Symbol" w:hAnsi="Symbol" w:cs="Symbol"/>
          <w:sz w:val="20"/>
          <w:szCs w:val="20"/>
        </w:rPr>
      </w:pPr>
      <w:r>
        <w:rPr>
          <w:rFonts w:eastAsia="Times New Roman"/>
          <w:sz w:val="20"/>
          <w:szCs w:val="20"/>
        </w:rPr>
        <w:t>Gender</w:t>
      </w:r>
    </w:p>
    <w:p w:rsidR="007D0720" w:rsidRDefault="007D0720">
      <w:pPr>
        <w:spacing w:line="12" w:lineRule="exact"/>
        <w:rPr>
          <w:rFonts w:ascii="Symbol" w:eastAsia="Symbol" w:hAnsi="Symbol" w:cs="Symbol"/>
          <w:sz w:val="20"/>
          <w:szCs w:val="20"/>
        </w:rPr>
      </w:pPr>
    </w:p>
    <w:p w:rsidR="007D0720" w:rsidRDefault="007E26B5">
      <w:pPr>
        <w:numPr>
          <w:ilvl w:val="0"/>
          <w:numId w:val="14"/>
        </w:numPr>
        <w:tabs>
          <w:tab w:val="left" w:pos="366"/>
        </w:tabs>
        <w:spacing w:line="235" w:lineRule="auto"/>
        <w:ind w:left="366" w:hanging="366"/>
        <w:rPr>
          <w:rFonts w:ascii="Symbol" w:eastAsia="Symbol" w:hAnsi="Symbol" w:cs="Symbol"/>
          <w:sz w:val="20"/>
          <w:szCs w:val="20"/>
        </w:rPr>
      </w:pPr>
      <w:r>
        <w:rPr>
          <w:rFonts w:eastAsia="Times New Roman"/>
          <w:sz w:val="20"/>
          <w:szCs w:val="20"/>
        </w:rPr>
        <w:t>Year of birth</w:t>
      </w:r>
    </w:p>
    <w:p w:rsidR="007D0720" w:rsidRDefault="007E26B5">
      <w:pPr>
        <w:numPr>
          <w:ilvl w:val="0"/>
          <w:numId w:val="14"/>
        </w:numPr>
        <w:tabs>
          <w:tab w:val="left" w:pos="366"/>
        </w:tabs>
        <w:ind w:left="366" w:hanging="366"/>
        <w:rPr>
          <w:rFonts w:ascii="Symbol" w:eastAsia="Symbol" w:hAnsi="Symbol" w:cs="Symbol"/>
          <w:sz w:val="20"/>
          <w:szCs w:val="20"/>
        </w:rPr>
      </w:pPr>
      <w:r>
        <w:rPr>
          <w:rFonts w:eastAsia="Times New Roman"/>
          <w:sz w:val="20"/>
          <w:szCs w:val="20"/>
        </w:rPr>
        <w:t>Level of education</w:t>
      </w:r>
    </w:p>
    <w:p w:rsidR="007D0720" w:rsidRDefault="007E26B5">
      <w:pPr>
        <w:numPr>
          <w:ilvl w:val="0"/>
          <w:numId w:val="14"/>
        </w:numPr>
        <w:tabs>
          <w:tab w:val="left" w:pos="366"/>
        </w:tabs>
        <w:ind w:left="366" w:hanging="366"/>
        <w:rPr>
          <w:rFonts w:ascii="Symbol" w:eastAsia="Symbol" w:hAnsi="Symbol" w:cs="Symbol"/>
          <w:sz w:val="20"/>
          <w:szCs w:val="20"/>
        </w:rPr>
      </w:pPr>
      <w:r>
        <w:rPr>
          <w:rFonts w:eastAsia="Times New Roman"/>
          <w:sz w:val="20"/>
          <w:szCs w:val="20"/>
        </w:rPr>
        <w:t>Country</w:t>
      </w:r>
    </w:p>
    <w:p w:rsidR="007D0720" w:rsidRDefault="007D0720">
      <w:pPr>
        <w:spacing w:line="93" w:lineRule="exact"/>
        <w:rPr>
          <w:sz w:val="20"/>
          <w:szCs w:val="20"/>
        </w:rPr>
      </w:pPr>
    </w:p>
    <w:p w:rsidR="007D0720" w:rsidRDefault="007E26B5">
      <w:pPr>
        <w:spacing w:line="245" w:lineRule="auto"/>
        <w:ind w:left="6"/>
        <w:jc w:val="both"/>
        <w:rPr>
          <w:sz w:val="20"/>
          <w:szCs w:val="20"/>
        </w:rPr>
      </w:pPr>
      <w:r>
        <w:rPr>
          <w:rFonts w:eastAsia="Times New Roman"/>
          <w:sz w:val="20"/>
          <w:szCs w:val="20"/>
        </w:rPr>
        <w:t xml:space="preserve">After joining the learner engagement score with the learner profile attributes, data was run through different filtering and sorting mechanisms, </w:t>
      </w:r>
      <w:r>
        <w:rPr>
          <w:rFonts w:eastAsia="Times New Roman"/>
          <w:sz w:val="20"/>
          <w:szCs w:val="20"/>
        </w:rPr>
        <w:t>and plugged into data visualization charts. Initially, excel charts were used for data visualization. Eventually, Python scripts (using Seaborn, pandas &amp; Matplotlib libraries) were used for more comprehensive analyses.</w:t>
      </w:r>
    </w:p>
    <w:p w:rsidR="007D0720" w:rsidRDefault="007D0720">
      <w:pPr>
        <w:spacing w:line="95" w:lineRule="exact"/>
        <w:rPr>
          <w:sz w:val="20"/>
          <w:szCs w:val="20"/>
        </w:rPr>
      </w:pPr>
    </w:p>
    <w:p w:rsidR="007D0720" w:rsidRDefault="007E26B5">
      <w:pPr>
        <w:ind w:left="6"/>
        <w:rPr>
          <w:sz w:val="20"/>
          <w:szCs w:val="20"/>
        </w:rPr>
      </w:pPr>
      <w:r>
        <w:rPr>
          <w:rFonts w:ascii="Arial" w:eastAsia="Arial" w:hAnsi="Arial" w:cs="Arial"/>
          <w:i/>
          <w:iCs/>
          <w:sz w:val="18"/>
          <w:szCs w:val="18"/>
        </w:rPr>
        <w:t>Observations: Gender</w:t>
      </w:r>
    </w:p>
    <w:p w:rsidR="007D0720" w:rsidRDefault="007D0720">
      <w:pPr>
        <w:spacing w:line="114" w:lineRule="exact"/>
        <w:rPr>
          <w:sz w:val="20"/>
          <w:szCs w:val="20"/>
        </w:rPr>
      </w:pPr>
    </w:p>
    <w:p w:rsidR="007D0720" w:rsidRDefault="007E26B5">
      <w:pPr>
        <w:spacing w:line="245" w:lineRule="auto"/>
        <w:ind w:left="6"/>
        <w:jc w:val="both"/>
        <w:rPr>
          <w:sz w:val="20"/>
          <w:szCs w:val="20"/>
        </w:rPr>
      </w:pPr>
      <w:r>
        <w:rPr>
          <w:rFonts w:eastAsia="Times New Roman"/>
          <w:sz w:val="20"/>
          <w:szCs w:val="20"/>
        </w:rPr>
        <w:t>Gender doesn’t</w:t>
      </w:r>
      <w:r>
        <w:rPr>
          <w:rFonts w:eastAsia="Times New Roman"/>
          <w:sz w:val="20"/>
          <w:szCs w:val="20"/>
        </w:rPr>
        <w:t xml:space="preserve"> seem to have any correlation on the learner population or the average learner engagement score by gender. In the following bar chart we see that the average engagement score varies by within 2% for different genders.</w:t>
      </w:r>
    </w:p>
    <w:p w:rsidR="007D0720" w:rsidRDefault="007E26B5">
      <w:pPr>
        <w:ind w:left="1166"/>
        <w:rPr>
          <w:sz w:val="20"/>
          <w:szCs w:val="20"/>
        </w:rPr>
      </w:pPr>
      <w:r>
        <w:rPr>
          <w:rFonts w:ascii="Cambria" w:eastAsia="Cambria" w:hAnsi="Cambria" w:cs="Cambria"/>
          <w:color w:val="595959"/>
          <w:sz w:val="28"/>
          <w:szCs w:val="28"/>
        </w:rPr>
        <w:t>Engagement by Gender</w:t>
      </w:r>
    </w:p>
    <w:p w:rsidR="007D0720" w:rsidRDefault="007E26B5">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-2540</wp:posOffset>
            </wp:positionH>
            <wp:positionV relativeFrom="paragraph">
              <wp:posOffset>-139065</wp:posOffset>
            </wp:positionV>
            <wp:extent cx="3234055" cy="240474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blip>
                    <a:srcRect/>
                    <a:stretch>
                      <a:fillRect/>
                    </a:stretch>
                  </pic:blipFill>
                  <pic:spPr bwMode="auto">
                    <a:xfrm>
                      <a:off x="0" y="0"/>
                      <a:ext cx="3234055" cy="2404745"/>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389" w:lineRule="exact"/>
        <w:rPr>
          <w:sz w:val="20"/>
          <w:szCs w:val="20"/>
        </w:rPr>
      </w:pPr>
    </w:p>
    <w:tbl>
      <w:tblPr>
        <w:tblW w:w="0" w:type="auto"/>
        <w:tblInd w:w="126" w:type="dxa"/>
        <w:tblLayout w:type="fixed"/>
        <w:tblCellMar>
          <w:left w:w="0" w:type="dxa"/>
          <w:right w:w="0" w:type="dxa"/>
        </w:tblCellMar>
        <w:tblLook w:val="04A0" w:firstRow="1" w:lastRow="0" w:firstColumn="1" w:lastColumn="0" w:noHBand="0" w:noVBand="1"/>
      </w:tblPr>
      <w:tblGrid>
        <w:gridCol w:w="1360"/>
        <w:gridCol w:w="100"/>
        <w:gridCol w:w="580"/>
        <w:gridCol w:w="400"/>
        <w:gridCol w:w="120"/>
        <w:gridCol w:w="100"/>
        <w:gridCol w:w="400"/>
        <w:gridCol w:w="400"/>
        <w:gridCol w:w="240"/>
        <w:gridCol w:w="400"/>
        <w:gridCol w:w="440"/>
        <w:gridCol w:w="160"/>
        <w:gridCol w:w="20"/>
      </w:tblGrid>
      <w:tr w:rsidR="007D0720">
        <w:trPr>
          <w:trHeight w:val="272"/>
        </w:trPr>
        <w:tc>
          <w:tcPr>
            <w:tcW w:w="1360" w:type="dxa"/>
            <w:vMerge w:val="restart"/>
            <w:vAlign w:val="bottom"/>
          </w:tcPr>
          <w:p w:rsidR="007D0720" w:rsidRDefault="007E26B5">
            <w:pPr>
              <w:ind w:right="229"/>
              <w:jc w:val="right"/>
              <w:rPr>
                <w:sz w:val="20"/>
                <w:szCs w:val="20"/>
              </w:rPr>
            </w:pPr>
            <w:r>
              <w:rPr>
                <w:rFonts w:ascii="Cambria" w:eastAsia="Cambria" w:hAnsi="Cambria" w:cs="Cambria"/>
                <w:color w:val="595959"/>
                <w:sz w:val="18"/>
                <w:szCs w:val="18"/>
              </w:rPr>
              <w:t>Other</w:t>
            </w:r>
          </w:p>
        </w:tc>
        <w:tc>
          <w:tcPr>
            <w:tcW w:w="100" w:type="dxa"/>
            <w:vAlign w:val="bottom"/>
          </w:tcPr>
          <w:p w:rsidR="007D0720" w:rsidRDefault="007D0720">
            <w:pPr>
              <w:rPr>
                <w:sz w:val="23"/>
                <w:szCs w:val="23"/>
              </w:rPr>
            </w:pPr>
          </w:p>
        </w:tc>
        <w:tc>
          <w:tcPr>
            <w:tcW w:w="580" w:type="dxa"/>
            <w:tcBorders>
              <w:right w:val="single" w:sz="8" w:space="0" w:color="D9D9D9"/>
            </w:tcBorders>
            <w:vAlign w:val="bottom"/>
          </w:tcPr>
          <w:p w:rsidR="007D0720" w:rsidRDefault="007D0720">
            <w:pPr>
              <w:rPr>
                <w:sz w:val="23"/>
                <w:szCs w:val="23"/>
              </w:rPr>
            </w:pPr>
          </w:p>
        </w:tc>
        <w:tc>
          <w:tcPr>
            <w:tcW w:w="400" w:type="dxa"/>
            <w:vAlign w:val="bottom"/>
          </w:tcPr>
          <w:p w:rsidR="007D0720" w:rsidRDefault="007D0720">
            <w:pPr>
              <w:rPr>
                <w:sz w:val="23"/>
                <w:szCs w:val="23"/>
              </w:rPr>
            </w:pPr>
          </w:p>
        </w:tc>
        <w:tc>
          <w:tcPr>
            <w:tcW w:w="620" w:type="dxa"/>
            <w:gridSpan w:val="3"/>
            <w:vAlign w:val="bottom"/>
          </w:tcPr>
          <w:p w:rsidR="007D0720" w:rsidRDefault="007E26B5">
            <w:pPr>
              <w:jc w:val="right"/>
              <w:rPr>
                <w:sz w:val="20"/>
                <w:szCs w:val="20"/>
              </w:rPr>
            </w:pPr>
            <w:r>
              <w:rPr>
                <w:rFonts w:ascii="Mangal" w:eastAsia="Mangal" w:hAnsi="Mangal" w:cs="Mangal"/>
                <w:color w:val="404040"/>
                <w:sz w:val="14"/>
                <w:szCs w:val="14"/>
              </w:rPr>
              <w:t>11.75%</w:t>
            </w:r>
          </w:p>
        </w:tc>
        <w:tc>
          <w:tcPr>
            <w:tcW w:w="400" w:type="dxa"/>
            <w:vAlign w:val="bottom"/>
          </w:tcPr>
          <w:p w:rsidR="007D0720" w:rsidRDefault="007D0720">
            <w:pPr>
              <w:rPr>
                <w:sz w:val="23"/>
                <w:szCs w:val="23"/>
              </w:rPr>
            </w:pPr>
          </w:p>
        </w:tc>
        <w:tc>
          <w:tcPr>
            <w:tcW w:w="240" w:type="dxa"/>
            <w:tcBorders>
              <w:right w:val="single" w:sz="8" w:space="0" w:color="D9D9D9"/>
            </w:tcBorders>
            <w:vAlign w:val="bottom"/>
          </w:tcPr>
          <w:p w:rsidR="007D0720" w:rsidRDefault="007D0720">
            <w:pPr>
              <w:rPr>
                <w:sz w:val="23"/>
                <w:szCs w:val="23"/>
              </w:rPr>
            </w:pPr>
          </w:p>
        </w:tc>
        <w:tc>
          <w:tcPr>
            <w:tcW w:w="400" w:type="dxa"/>
            <w:vAlign w:val="bottom"/>
          </w:tcPr>
          <w:p w:rsidR="007D0720" w:rsidRDefault="007D0720">
            <w:pPr>
              <w:rPr>
                <w:sz w:val="23"/>
                <w:szCs w:val="23"/>
              </w:rPr>
            </w:pPr>
          </w:p>
        </w:tc>
        <w:tc>
          <w:tcPr>
            <w:tcW w:w="440" w:type="dxa"/>
            <w:tcBorders>
              <w:right w:val="single" w:sz="8" w:space="0" w:color="D9D9D9"/>
            </w:tcBorders>
            <w:vAlign w:val="bottom"/>
          </w:tcPr>
          <w:p w:rsidR="007D0720" w:rsidRDefault="007D0720">
            <w:pPr>
              <w:rPr>
                <w:sz w:val="23"/>
                <w:szCs w:val="23"/>
              </w:rPr>
            </w:pPr>
          </w:p>
        </w:tc>
        <w:tc>
          <w:tcPr>
            <w:tcW w:w="160" w:type="dxa"/>
            <w:vAlign w:val="bottom"/>
          </w:tcPr>
          <w:p w:rsidR="007D0720" w:rsidRDefault="007D0720">
            <w:pPr>
              <w:rPr>
                <w:sz w:val="23"/>
                <w:szCs w:val="23"/>
              </w:rPr>
            </w:pPr>
          </w:p>
        </w:tc>
        <w:tc>
          <w:tcPr>
            <w:tcW w:w="0" w:type="dxa"/>
            <w:vAlign w:val="bottom"/>
          </w:tcPr>
          <w:p w:rsidR="007D0720" w:rsidRDefault="007D0720">
            <w:pPr>
              <w:rPr>
                <w:sz w:val="1"/>
                <w:szCs w:val="1"/>
              </w:rPr>
            </w:pPr>
          </w:p>
        </w:tc>
      </w:tr>
      <w:tr w:rsidR="007D0720">
        <w:tc>
          <w:tcPr>
            <w:tcW w:w="1360" w:type="dxa"/>
            <w:vMerge/>
            <w:vAlign w:val="bottom"/>
          </w:tcPr>
          <w:p w:rsidR="007D0720" w:rsidRDefault="007D0720">
            <w:pPr>
              <w:spacing w:line="20" w:lineRule="exact"/>
              <w:rPr>
                <w:sz w:val="1"/>
                <w:szCs w:val="1"/>
              </w:rPr>
            </w:pPr>
          </w:p>
        </w:tc>
        <w:tc>
          <w:tcPr>
            <w:tcW w:w="100" w:type="dxa"/>
            <w:vAlign w:val="bottom"/>
          </w:tcPr>
          <w:p w:rsidR="007D0720" w:rsidRDefault="007D0720">
            <w:pPr>
              <w:spacing w:line="20" w:lineRule="exact"/>
              <w:rPr>
                <w:sz w:val="1"/>
                <w:szCs w:val="1"/>
              </w:rPr>
            </w:pPr>
          </w:p>
        </w:tc>
        <w:tc>
          <w:tcPr>
            <w:tcW w:w="580" w:type="dxa"/>
            <w:tcBorders>
              <w:right w:val="single" w:sz="8" w:space="0" w:color="D9D9D9"/>
            </w:tcBorders>
            <w:vAlign w:val="bottom"/>
          </w:tcPr>
          <w:p w:rsidR="007D0720" w:rsidRDefault="007D0720">
            <w:pPr>
              <w:spacing w:line="20" w:lineRule="exact"/>
              <w:rPr>
                <w:sz w:val="1"/>
                <w:szCs w:val="1"/>
              </w:rPr>
            </w:pPr>
          </w:p>
        </w:tc>
        <w:tc>
          <w:tcPr>
            <w:tcW w:w="400" w:type="dxa"/>
            <w:vAlign w:val="bottom"/>
          </w:tcPr>
          <w:p w:rsidR="007D0720" w:rsidRDefault="007D0720">
            <w:pPr>
              <w:spacing w:line="20" w:lineRule="exact"/>
              <w:rPr>
                <w:sz w:val="1"/>
                <w:szCs w:val="1"/>
              </w:rPr>
            </w:pPr>
          </w:p>
        </w:tc>
        <w:tc>
          <w:tcPr>
            <w:tcW w:w="1020" w:type="dxa"/>
            <w:gridSpan w:val="4"/>
            <w:vAlign w:val="bottom"/>
          </w:tcPr>
          <w:p w:rsidR="007D0720" w:rsidRDefault="007E26B5">
            <w:pPr>
              <w:spacing w:line="1" w:lineRule="exact"/>
              <w:jc w:val="right"/>
              <w:rPr>
                <w:sz w:val="20"/>
                <w:szCs w:val="20"/>
              </w:rPr>
            </w:pPr>
            <w:r>
              <w:rPr>
                <w:rFonts w:ascii="Mangal" w:eastAsia="Mangal" w:hAnsi="Mangal" w:cs="Mangal"/>
                <w:color w:val="404040"/>
                <w:sz w:val="1"/>
                <w:szCs w:val="1"/>
              </w:rPr>
              <w:t>14.25%</w:t>
            </w:r>
          </w:p>
        </w:tc>
        <w:tc>
          <w:tcPr>
            <w:tcW w:w="240" w:type="dxa"/>
            <w:tcBorders>
              <w:right w:val="single" w:sz="8" w:space="0" w:color="D9D9D9"/>
            </w:tcBorders>
            <w:vAlign w:val="bottom"/>
          </w:tcPr>
          <w:p w:rsidR="007D0720" w:rsidRDefault="007D0720">
            <w:pPr>
              <w:spacing w:line="20" w:lineRule="exact"/>
              <w:rPr>
                <w:sz w:val="1"/>
                <w:szCs w:val="1"/>
              </w:rPr>
            </w:pPr>
          </w:p>
        </w:tc>
        <w:tc>
          <w:tcPr>
            <w:tcW w:w="400" w:type="dxa"/>
            <w:vAlign w:val="bottom"/>
          </w:tcPr>
          <w:p w:rsidR="007D0720" w:rsidRDefault="007D0720">
            <w:pPr>
              <w:spacing w:line="20" w:lineRule="exact"/>
              <w:rPr>
                <w:sz w:val="1"/>
                <w:szCs w:val="1"/>
              </w:rPr>
            </w:pPr>
          </w:p>
        </w:tc>
        <w:tc>
          <w:tcPr>
            <w:tcW w:w="440" w:type="dxa"/>
            <w:tcBorders>
              <w:right w:val="single" w:sz="8" w:space="0" w:color="D9D9D9"/>
            </w:tcBorders>
            <w:vAlign w:val="bottom"/>
          </w:tcPr>
          <w:p w:rsidR="007D0720" w:rsidRDefault="007D0720">
            <w:pPr>
              <w:spacing w:line="20" w:lineRule="exact"/>
              <w:rPr>
                <w:sz w:val="1"/>
                <w:szCs w:val="1"/>
              </w:rPr>
            </w:pPr>
          </w:p>
        </w:tc>
        <w:tc>
          <w:tcPr>
            <w:tcW w:w="160" w:type="dxa"/>
            <w:vAlign w:val="bottom"/>
          </w:tcPr>
          <w:p w:rsidR="007D0720" w:rsidRDefault="007D0720">
            <w:pPr>
              <w:spacing w:line="20" w:lineRule="exact"/>
              <w:rPr>
                <w:sz w:val="1"/>
                <w:szCs w:val="1"/>
              </w:rPr>
            </w:pPr>
          </w:p>
        </w:tc>
        <w:tc>
          <w:tcPr>
            <w:tcW w:w="0" w:type="dxa"/>
            <w:vAlign w:val="bottom"/>
          </w:tcPr>
          <w:p w:rsidR="007D0720" w:rsidRDefault="007D0720">
            <w:pPr>
              <w:spacing w:line="20" w:lineRule="exact"/>
              <w:rPr>
                <w:sz w:val="1"/>
                <w:szCs w:val="1"/>
              </w:rPr>
            </w:pPr>
          </w:p>
        </w:tc>
      </w:tr>
      <w:tr w:rsidR="007D0720">
        <w:trPr>
          <w:trHeight w:val="253"/>
        </w:trPr>
        <w:tc>
          <w:tcPr>
            <w:tcW w:w="1360" w:type="dxa"/>
            <w:vMerge w:val="restart"/>
            <w:vAlign w:val="bottom"/>
          </w:tcPr>
          <w:p w:rsidR="007D0720" w:rsidRDefault="007E26B5">
            <w:pPr>
              <w:ind w:right="229"/>
              <w:jc w:val="right"/>
              <w:rPr>
                <w:sz w:val="20"/>
                <w:szCs w:val="20"/>
              </w:rPr>
            </w:pPr>
            <w:r>
              <w:rPr>
                <w:rFonts w:ascii="Cambria" w:eastAsia="Cambria" w:hAnsi="Cambria" w:cs="Cambria"/>
                <w:color w:val="595959"/>
                <w:sz w:val="18"/>
                <w:szCs w:val="18"/>
              </w:rPr>
              <w:t>Male</w:t>
            </w:r>
          </w:p>
        </w:tc>
        <w:tc>
          <w:tcPr>
            <w:tcW w:w="100" w:type="dxa"/>
            <w:vAlign w:val="bottom"/>
          </w:tcPr>
          <w:p w:rsidR="007D0720" w:rsidRDefault="007D0720">
            <w:pPr>
              <w:rPr>
                <w:sz w:val="21"/>
                <w:szCs w:val="21"/>
              </w:rPr>
            </w:pPr>
          </w:p>
        </w:tc>
        <w:tc>
          <w:tcPr>
            <w:tcW w:w="580" w:type="dxa"/>
            <w:tcBorders>
              <w:right w:val="single" w:sz="8" w:space="0" w:color="D9D9D9"/>
            </w:tcBorders>
            <w:vAlign w:val="bottom"/>
          </w:tcPr>
          <w:p w:rsidR="007D0720" w:rsidRDefault="007D0720">
            <w:pPr>
              <w:rPr>
                <w:sz w:val="21"/>
                <w:szCs w:val="21"/>
              </w:rPr>
            </w:pPr>
          </w:p>
        </w:tc>
        <w:tc>
          <w:tcPr>
            <w:tcW w:w="400" w:type="dxa"/>
            <w:vAlign w:val="bottom"/>
          </w:tcPr>
          <w:p w:rsidR="007D0720" w:rsidRDefault="007D0720">
            <w:pPr>
              <w:rPr>
                <w:sz w:val="21"/>
                <w:szCs w:val="21"/>
              </w:rPr>
            </w:pPr>
          </w:p>
        </w:tc>
        <w:tc>
          <w:tcPr>
            <w:tcW w:w="120" w:type="dxa"/>
            <w:vAlign w:val="bottom"/>
          </w:tcPr>
          <w:p w:rsidR="007D0720" w:rsidRDefault="007D0720">
            <w:pPr>
              <w:rPr>
                <w:sz w:val="21"/>
                <w:szCs w:val="21"/>
              </w:rPr>
            </w:pPr>
          </w:p>
        </w:tc>
        <w:tc>
          <w:tcPr>
            <w:tcW w:w="100" w:type="dxa"/>
            <w:vAlign w:val="bottom"/>
          </w:tcPr>
          <w:p w:rsidR="007D0720" w:rsidRDefault="007D0720">
            <w:pPr>
              <w:rPr>
                <w:sz w:val="21"/>
                <w:szCs w:val="21"/>
              </w:rPr>
            </w:pPr>
          </w:p>
        </w:tc>
        <w:tc>
          <w:tcPr>
            <w:tcW w:w="400" w:type="dxa"/>
            <w:vAlign w:val="bottom"/>
          </w:tcPr>
          <w:p w:rsidR="007D0720" w:rsidRDefault="007D0720">
            <w:pPr>
              <w:rPr>
                <w:sz w:val="21"/>
                <w:szCs w:val="21"/>
              </w:rPr>
            </w:pPr>
          </w:p>
        </w:tc>
        <w:tc>
          <w:tcPr>
            <w:tcW w:w="640" w:type="dxa"/>
            <w:gridSpan w:val="2"/>
            <w:tcBorders>
              <w:right w:val="single" w:sz="8" w:space="0" w:color="D9D9D9"/>
            </w:tcBorders>
            <w:vAlign w:val="bottom"/>
          </w:tcPr>
          <w:p w:rsidR="007D0720" w:rsidRDefault="007E26B5">
            <w:pPr>
              <w:jc w:val="right"/>
              <w:rPr>
                <w:sz w:val="20"/>
                <w:szCs w:val="20"/>
              </w:rPr>
            </w:pPr>
            <w:r>
              <w:rPr>
                <w:rFonts w:ascii="Mangal" w:eastAsia="Mangal" w:hAnsi="Mangal" w:cs="Mangal"/>
                <w:color w:val="404040"/>
                <w:sz w:val="14"/>
                <w:szCs w:val="14"/>
              </w:rPr>
              <w:t>16.09%</w:t>
            </w:r>
          </w:p>
        </w:tc>
        <w:tc>
          <w:tcPr>
            <w:tcW w:w="400" w:type="dxa"/>
            <w:vAlign w:val="bottom"/>
          </w:tcPr>
          <w:p w:rsidR="007D0720" w:rsidRDefault="007D0720">
            <w:pPr>
              <w:rPr>
                <w:sz w:val="21"/>
                <w:szCs w:val="21"/>
              </w:rPr>
            </w:pPr>
          </w:p>
        </w:tc>
        <w:tc>
          <w:tcPr>
            <w:tcW w:w="440" w:type="dxa"/>
            <w:tcBorders>
              <w:right w:val="single" w:sz="8" w:space="0" w:color="D9D9D9"/>
            </w:tcBorders>
            <w:vAlign w:val="bottom"/>
          </w:tcPr>
          <w:p w:rsidR="007D0720" w:rsidRDefault="007D0720">
            <w:pPr>
              <w:rPr>
                <w:sz w:val="21"/>
                <w:szCs w:val="21"/>
              </w:rPr>
            </w:pPr>
          </w:p>
        </w:tc>
        <w:tc>
          <w:tcPr>
            <w:tcW w:w="160" w:type="dxa"/>
            <w:vAlign w:val="bottom"/>
          </w:tcPr>
          <w:p w:rsidR="007D0720" w:rsidRDefault="007D0720">
            <w:pPr>
              <w:rPr>
                <w:sz w:val="21"/>
                <w:szCs w:val="21"/>
              </w:rPr>
            </w:pPr>
          </w:p>
        </w:tc>
        <w:tc>
          <w:tcPr>
            <w:tcW w:w="0" w:type="dxa"/>
            <w:vAlign w:val="bottom"/>
          </w:tcPr>
          <w:p w:rsidR="007D0720" w:rsidRDefault="007D0720">
            <w:pPr>
              <w:rPr>
                <w:sz w:val="1"/>
                <w:szCs w:val="1"/>
              </w:rPr>
            </w:pPr>
          </w:p>
        </w:tc>
      </w:tr>
      <w:tr w:rsidR="007D0720">
        <w:trPr>
          <w:trHeight w:val="108"/>
        </w:trPr>
        <w:tc>
          <w:tcPr>
            <w:tcW w:w="1360" w:type="dxa"/>
            <w:vMerge/>
            <w:vAlign w:val="bottom"/>
          </w:tcPr>
          <w:p w:rsidR="007D0720" w:rsidRDefault="007D0720">
            <w:pPr>
              <w:rPr>
                <w:sz w:val="9"/>
                <w:szCs w:val="9"/>
              </w:rPr>
            </w:pPr>
          </w:p>
        </w:tc>
        <w:tc>
          <w:tcPr>
            <w:tcW w:w="100" w:type="dxa"/>
            <w:vAlign w:val="bottom"/>
          </w:tcPr>
          <w:p w:rsidR="007D0720" w:rsidRDefault="007D0720">
            <w:pPr>
              <w:rPr>
                <w:sz w:val="9"/>
                <w:szCs w:val="9"/>
              </w:rPr>
            </w:pPr>
          </w:p>
        </w:tc>
        <w:tc>
          <w:tcPr>
            <w:tcW w:w="580" w:type="dxa"/>
            <w:tcBorders>
              <w:right w:val="single" w:sz="8" w:space="0" w:color="D9D9D9"/>
            </w:tcBorders>
            <w:vAlign w:val="bottom"/>
          </w:tcPr>
          <w:p w:rsidR="007D0720" w:rsidRDefault="007D0720">
            <w:pPr>
              <w:rPr>
                <w:sz w:val="9"/>
                <w:szCs w:val="9"/>
              </w:rPr>
            </w:pPr>
          </w:p>
        </w:tc>
        <w:tc>
          <w:tcPr>
            <w:tcW w:w="400" w:type="dxa"/>
            <w:vAlign w:val="bottom"/>
          </w:tcPr>
          <w:p w:rsidR="007D0720" w:rsidRDefault="007D0720">
            <w:pPr>
              <w:rPr>
                <w:sz w:val="9"/>
                <w:szCs w:val="9"/>
              </w:rPr>
            </w:pPr>
          </w:p>
        </w:tc>
        <w:tc>
          <w:tcPr>
            <w:tcW w:w="1020" w:type="dxa"/>
            <w:gridSpan w:val="4"/>
            <w:vAlign w:val="bottom"/>
          </w:tcPr>
          <w:p w:rsidR="007D0720" w:rsidRDefault="007E26B5">
            <w:pPr>
              <w:spacing w:line="109" w:lineRule="exact"/>
              <w:ind w:right="30"/>
              <w:jc w:val="right"/>
              <w:rPr>
                <w:sz w:val="20"/>
                <w:szCs w:val="20"/>
              </w:rPr>
            </w:pPr>
            <w:r>
              <w:rPr>
                <w:rFonts w:ascii="Mangal" w:eastAsia="Mangal" w:hAnsi="Mangal" w:cs="Mangal"/>
                <w:color w:val="404040"/>
                <w:sz w:val="8"/>
                <w:szCs w:val="8"/>
              </w:rPr>
              <w:t>13.82%</w:t>
            </w:r>
          </w:p>
        </w:tc>
        <w:tc>
          <w:tcPr>
            <w:tcW w:w="240" w:type="dxa"/>
            <w:tcBorders>
              <w:right w:val="single" w:sz="8" w:space="0" w:color="D9D9D9"/>
            </w:tcBorders>
            <w:vAlign w:val="bottom"/>
          </w:tcPr>
          <w:p w:rsidR="007D0720" w:rsidRDefault="007D0720">
            <w:pPr>
              <w:rPr>
                <w:sz w:val="9"/>
                <w:szCs w:val="9"/>
              </w:rPr>
            </w:pPr>
          </w:p>
        </w:tc>
        <w:tc>
          <w:tcPr>
            <w:tcW w:w="400" w:type="dxa"/>
            <w:vAlign w:val="bottom"/>
          </w:tcPr>
          <w:p w:rsidR="007D0720" w:rsidRDefault="007D0720">
            <w:pPr>
              <w:rPr>
                <w:sz w:val="9"/>
                <w:szCs w:val="9"/>
              </w:rPr>
            </w:pPr>
          </w:p>
        </w:tc>
        <w:tc>
          <w:tcPr>
            <w:tcW w:w="440" w:type="dxa"/>
            <w:tcBorders>
              <w:right w:val="single" w:sz="8" w:space="0" w:color="D9D9D9"/>
            </w:tcBorders>
            <w:vAlign w:val="bottom"/>
          </w:tcPr>
          <w:p w:rsidR="007D0720" w:rsidRDefault="007D0720">
            <w:pPr>
              <w:rPr>
                <w:sz w:val="9"/>
                <w:szCs w:val="9"/>
              </w:rPr>
            </w:pPr>
          </w:p>
        </w:tc>
        <w:tc>
          <w:tcPr>
            <w:tcW w:w="160" w:type="dxa"/>
            <w:vAlign w:val="bottom"/>
          </w:tcPr>
          <w:p w:rsidR="007D0720" w:rsidRDefault="007D0720">
            <w:pPr>
              <w:rPr>
                <w:sz w:val="9"/>
                <w:szCs w:val="9"/>
              </w:rPr>
            </w:pPr>
          </w:p>
        </w:tc>
        <w:tc>
          <w:tcPr>
            <w:tcW w:w="0" w:type="dxa"/>
            <w:vAlign w:val="bottom"/>
          </w:tcPr>
          <w:p w:rsidR="007D0720" w:rsidRDefault="007D0720">
            <w:pPr>
              <w:rPr>
                <w:sz w:val="1"/>
                <w:szCs w:val="1"/>
              </w:rPr>
            </w:pPr>
          </w:p>
        </w:tc>
      </w:tr>
      <w:tr w:rsidR="007D0720">
        <w:trPr>
          <w:trHeight w:val="253"/>
        </w:trPr>
        <w:tc>
          <w:tcPr>
            <w:tcW w:w="1360" w:type="dxa"/>
            <w:vMerge w:val="restart"/>
            <w:vAlign w:val="bottom"/>
          </w:tcPr>
          <w:p w:rsidR="007D0720" w:rsidRDefault="007E26B5">
            <w:pPr>
              <w:ind w:right="229"/>
              <w:jc w:val="right"/>
              <w:rPr>
                <w:sz w:val="20"/>
                <w:szCs w:val="20"/>
              </w:rPr>
            </w:pPr>
            <w:r>
              <w:rPr>
                <w:rFonts w:ascii="Cambria" w:eastAsia="Cambria" w:hAnsi="Cambria" w:cs="Cambria"/>
                <w:color w:val="595959"/>
                <w:sz w:val="18"/>
                <w:szCs w:val="18"/>
              </w:rPr>
              <w:t>Female</w:t>
            </w:r>
          </w:p>
        </w:tc>
        <w:tc>
          <w:tcPr>
            <w:tcW w:w="100" w:type="dxa"/>
            <w:vAlign w:val="bottom"/>
          </w:tcPr>
          <w:p w:rsidR="007D0720" w:rsidRDefault="007D0720">
            <w:pPr>
              <w:rPr>
                <w:sz w:val="21"/>
                <w:szCs w:val="21"/>
              </w:rPr>
            </w:pPr>
          </w:p>
        </w:tc>
        <w:tc>
          <w:tcPr>
            <w:tcW w:w="580" w:type="dxa"/>
            <w:tcBorders>
              <w:right w:val="single" w:sz="8" w:space="0" w:color="D9D9D9"/>
            </w:tcBorders>
            <w:vAlign w:val="bottom"/>
          </w:tcPr>
          <w:p w:rsidR="007D0720" w:rsidRDefault="007D0720">
            <w:pPr>
              <w:rPr>
                <w:sz w:val="21"/>
                <w:szCs w:val="21"/>
              </w:rPr>
            </w:pPr>
          </w:p>
        </w:tc>
        <w:tc>
          <w:tcPr>
            <w:tcW w:w="400" w:type="dxa"/>
            <w:vAlign w:val="bottom"/>
          </w:tcPr>
          <w:p w:rsidR="007D0720" w:rsidRDefault="007D0720">
            <w:pPr>
              <w:rPr>
                <w:sz w:val="21"/>
                <w:szCs w:val="21"/>
              </w:rPr>
            </w:pPr>
          </w:p>
        </w:tc>
        <w:tc>
          <w:tcPr>
            <w:tcW w:w="120" w:type="dxa"/>
            <w:vAlign w:val="bottom"/>
          </w:tcPr>
          <w:p w:rsidR="007D0720" w:rsidRDefault="007D0720">
            <w:pPr>
              <w:rPr>
                <w:sz w:val="21"/>
                <w:szCs w:val="21"/>
              </w:rPr>
            </w:pPr>
          </w:p>
        </w:tc>
        <w:tc>
          <w:tcPr>
            <w:tcW w:w="100" w:type="dxa"/>
            <w:vAlign w:val="bottom"/>
          </w:tcPr>
          <w:p w:rsidR="007D0720" w:rsidRDefault="007D0720">
            <w:pPr>
              <w:rPr>
                <w:sz w:val="21"/>
                <w:szCs w:val="21"/>
              </w:rPr>
            </w:pPr>
          </w:p>
        </w:tc>
        <w:tc>
          <w:tcPr>
            <w:tcW w:w="400" w:type="dxa"/>
            <w:vAlign w:val="bottom"/>
          </w:tcPr>
          <w:p w:rsidR="007D0720" w:rsidRDefault="007D0720">
            <w:pPr>
              <w:rPr>
                <w:sz w:val="21"/>
                <w:szCs w:val="21"/>
              </w:rPr>
            </w:pPr>
          </w:p>
        </w:tc>
        <w:tc>
          <w:tcPr>
            <w:tcW w:w="640" w:type="dxa"/>
            <w:gridSpan w:val="2"/>
            <w:tcBorders>
              <w:right w:val="single" w:sz="8" w:space="0" w:color="D9D9D9"/>
            </w:tcBorders>
            <w:vAlign w:val="bottom"/>
          </w:tcPr>
          <w:p w:rsidR="007D0720" w:rsidRDefault="007E26B5">
            <w:pPr>
              <w:ind w:right="49"/>
              <w:jc w:val="right"/>
              <w:rPr>
                <w:sz w:val="20"/>
                <w:szCs w:val="20"/>
              </w:rPr>
            </w:pPr>
            <w:r>
              <w:rPr>
                <w:rFonts w:ascii="Mangal" w:eastAsia="Mangal" w:hAnsi="Mangal" w:cs="Mangal"/>
                <w:color w:val="404040"/>
                <w:w w:val="97"/>
                <w:sz w:val="14"/>
                <w:szCs w:val="14"/>
              </w:rPr>
              <w:t>15.06%</w:t>
            </w:r>
          </w:p>
        </w:tc>
        <w:tc>
          <w:tcPr>
            <w:tcW w:w="400" w:type="dxa"/>
            <w:vAlign w:val="bottom"/>
          </w:tcPr>
          <w:p w:rsidR="007D0720" w:rsidRDefault="007D0720">
            <w:pPr>
              <w:rPr>
                <w:sz w:val="21"/>
                <w:szCs w:val="21"/>
              </w:rPr>
            </w:pPr>
          </w:p>
        </w:tc>
        <w:tc>
          <w:tcPr>
            <w:tcW w:w="440" w:type="dxa"/>
            <w:tcBorders>
              <w:right w:val="single" w:sz="8" w:space="0" w:color="D9D9D9"/>
            </w:tcBorders>
            <w:vAlign w:val="bottom"/>
          </w:tcPr>
          <w:p w:rsidR="007D0720" w:rsidRDefault="007D0720">
            <w:pPr>
              <w:rPr>
                <w:sz w:val="21"/>
                <w:szCs w:val="21"/>
              </w:rPr>
            </w:pPr>
          </w:p>
        </w:tc>
        <w:tc>
          <w:tcPr>
            <w:tcW w:w="160" w:type="dxa"/>
            <w:vAlign w:val="bottom"/>
          </w:tcPr>
          <w:p w:rsidR="007D0720" w:rsidRDefault="007D0720">
            <w:pPr>
              <w:rPr>
                <w:sz w:val="21"/>
                <w:szCs w:val="21"/>
              </w:rPr>
            </w:pPr>
          </w:p>
        </w:tc>
        <w:tc>
          <w:tcPr>
            <w:tcW w:w="0" w:type="dxa"/>
            <w:vAlign w:val="bottom"/>
          </w:tcPr>
          <w:p w:rsidR="007D0720" w:rsidRDefault="007D0720">
            <w:pPr>
              <w:rPr>
                <w:sz w:val="1"/>
                <w:szCs w:val="1"/>
              </w:rPr>
            </w:pPr>
          </w:p>
        </w:tc>
      </w:tr>
      <w:tr w:rsidR="007D0720">
        <w:trPr>
          <w:trHeight w:val="219"/>
        </w:trPr>
        <w:tc>
          <w:tcPr>
            <w:tcW w:w="1360" w:type="dxa"/>
            <w:vMerge/>
            <w:vAlign w:val="bottom"/>
          </w:tcPr>
          <w:p w:rsidR="007D0720" w:rsidRDefault="007D0720">
            <w:pPr>
              <w:rPr>
                <w:sz w:val="19"/>
                <w:szCs w:val="19"/>
              </w:rPr>
            </w:pPr>
          </w:p>
        </w:tc>
        <w:tc>
          <w:tcPr>
            <w:tcW w:w="100" w:type="dxa"/>
            <w:vAlign w:val="bottom"/>
          </w:tcPr>
          <w:p w:rsidR="007D0720" w:rsidRDefault="007D0720">
            <w:pPr>
              <w:rPr>
                <w:sz w:val="19"/>
                <w:szCs w:val="19"/>
              </w:rPr>
            </w:pPr>
          </w:p>
        </w:tc>
        <w:tc>
          <w:tcPr>
            <w:tcW w:w="580" w:type="dxa"/>
            <w:tcBorders>
              <w:right w:val="single" w:sz="8" w:space="0" w:color="D9D9D9"/>
            </w:tcBorders>
            <w:vAlign w:val="bottom"/>
          </w:tcPr>
          <w:p w:rsidR="007D0720" w:rsidRDefault="007D0720">
            <w:pPr>
              <w:rPr>
                <w:sz w:val="19"/>
                <w:szCs w:val="19"/>
              </w:rPr>
            </w:pPr>
          </w:p>
        </w:tc>
        <w:tc>
          <w:tcPr>
            <w:tcW w:w="400" w:type="dxa"/>
            <w:vAlign w:val="bottom"/>
          </w:tcPr>
          <w:p w:rsidR="007D0720" w:rsidRDefault="007D0720">
            <w:pPr>
              <w:rPr>
                <w:sz w:val="19"/>
                <w:szCs w:val="19"/>
              </w:rPr>
            </w:pPr>
          </w:p>
        </w:tc>
        <w:tc>
          <w:tcPr>
            <w:tcW w:w="1020" w:type="dxa"/>
            <w:gridSpan w:val="4"/>
            <w:vAlign w:val="bottom"/>
          </w:tcPr>
          <w:p w:rsidR="007D0720" w:rsidRDefault="007E26B5">
            <w:pPr>
              <w:spacing w:line="219" w:lineRule="exact"/>
              <w:ind w:right="170"/>
              <w:jc w:val="right"/>
              <w:rPr>
                <w:sz w:val="20"/>
                <w:szCs w:val="20"/>
              </w:rPr>
            </w:pPr>
            <w:r>
              <w:rPr>
                <w:rFonts w:ascii="Mangal" w:eastAsia="Mangal" w:hAnsi="Mangal" w:cs="Mangal"/>
                <w:color w:val="404040"/>
                <w:sz w:val="14"/>
                <w:szCs w:val="14"/>
              </w:rPr>
              <w:t>13.09%</w:t>
            </w:r>
          </w:p>
        </w:tc>
        <w:tc>
          <w:tcPr>
            <w:tcW w:w="240" w:type="dxa"/>
            <w:tcBorders>
              <w:right w:val="single" w:sz="8" w:space="0" w:color="D9D9D9"/>
            </w:tcBorders>
            <w:vAlign w:val="bottom"/>
          </w:tcPr>
          <w:p w:rsidR="007D0720" w:rsidRDefault="007D0720">
            <w:pPr>
              <w:rPr>
                <w:sz w:val="19"/>
                <w:szCs w:val="19"/>
              </w:rPr>
            </w:pPr>
          </w:p>
        </w:tc>
        <w:tc>
          <w:tcPr>
            <w:tcW w:w="400" w:type="dxa"/>
            <w:vAlign w:val="bottom"/>
          </w:tcPr>
          <w:p w:rsidR="007D0720" w:rsidRDefault="007D0720">
            <w:pPr>
              <w:rPr>
                <w:sz w:val="19"/>
                <w:szCs w:val="19"/>
              </w:rPr>
            </w:pPr>
          </w:p>
        </w:tc>
        <w:tc>
          <w:tcPr>
            <w:tcW w:w="440" w:type="dxa"/>
            <w:tcBorders>
              <w:right w:val="single" w:sz="8" w:space="0" w:color="D9D9D9"/>
            </w:tcBorders>
            <w:vAlign w:val="bottom"/>
          </w:tcPr>
          <w:p w:rsidR="007D0720" w:rsidRDefault="007D0720">
            <w:pPr>
              <w:rPr>
                <w:sz w:val="19"/>
                <w:szCs w:val="19"/>
              </w:rPr>
            </w:pPr>
          </w:p>
        </w:tc>
        <w:tc>
          <w:tcPr>
            <w:tcW w:w="160" w:type="dxa"/>
            <w:vAlign w:val="bottom"/>
          </w:tcPr>
          <w:p w:rsidR="007D0720" w:rsidRDefault="007D0720">
            <w:pPr>
              <w:rPr>
                <w:sz w:val="19"/>
                <w:szCs w:val="19"/>
              </w:rPr>
            </w:pPr>
          </w:p>
        </w:tc>
        <w:tc>
          <w:tcPr>
            <w:tcW w:w="0" w:type="dxa"/>
            <w:vAlign w:val="bottom"/>
          </w:tcPr>
          <w:p w:rsidR="007D0720" w:rsidRDefault="007D0720">
            <w:pPr>
              <w:rPr>
                <w:sz w:val="1"/>
                <w:szCs w:val="1"/>
              </w:rPr>
            </w:pPr>
          </w:p>
        </w:tc>
      </w:tr>
      <w:tr w:rsidR="007D0720">
        <w:trPr>
          <w:trHeight w:val="253"/>
        </w:trPr>
        <w:tc>
          <w:tcPr>
            <w:tcW w:w="1360" w:type="dxa"/>
            <w:vMerge w:val="restart"/>
            <w:vAlign w:val="bottom"/>
          </w:tcPr>
          <w:p w:rsidR="007D0720" w:rsidRDefault="007E26B5">
            <w:pPr>
              <w:ind w:right="229"/>
              <w:jc w:val="right"/>
              <w:rPr>
                <w:sz w:val="20"/>
                <w:szCs w:val="20"/>
              </w:rPr>
            </w:pPr>
            <w:r>
              <w:rPr>
                <w:rFonts w:ascii="Cambria" w:eastAsia="Cambria" w:hAnsi="Cambria" w:cs="Cambria"/>
                <w:color w:val="595959"/>
                <w:sz w:val="18"/>
                <w:szCs w:val="18"/>
              </w:rPr>
              <w:t>Not Specified</w:t>
            </w:r>
          </w:p>
        </w:tc>
        <w:tc>
          <w:tcPr>
            <w:tcW w:w="100" w:type="dxa"/>
            <w:vAlign w:val="bottom"/>
          </w:tcPr>
          <w:p w:rsidR="007D0720" w:rsidRDefault="007D0720">
            <w:pPr>
              <w:rPr>
                <w:sz w:val="21"/>
                <w:szCs w:val="21"/>
              </w:rPr>
            </w:pPr>
          </w:p>
        </w:tc>
        <w:tc>
          <w:tcPr>
            <w:tcW w:w="580" w:type="dxa"/>
            <w:tcBorders>
              <w:right w:val="single" w:sz="8" w:space="0" w:color="D9D9D9"/>
            </w:tcBorders>
            <w:vAlign w:val="bottom"/>
          </w:tcPr>
          <w:p w:rsidR="007D0720" w:rsidRDefault="007D0720">
            <w:pPr>
              <w:rPr>
                <w:sz w:val="21"/>
                <w:szCs w:val="21"/>
              </w:rPr>
            </w:pPr>
          </w:p>
        </w:tc>
        <w:tc>
          <w:tcPr>
            <w:tcW w:w="400" w:type="dxa"/>
            <w:vAlign w:val="bottom"/>
          </w:tcPr>
          <w:p w:rsidR="007D0720" w:rsidRDefault="007D0720">
            <w:pPr>
              <w:rPr>
                <w:sz w:val="21"/>
                <w:szCs w:val="21"/>
              </w:rPr>
            </w:pPr>
          </w:p>
        </w:tc>
        <w:tc>
          <w:tcPr>
            <w:tcW w:w="1020" w:type="dxa"/>
            <w:gridSpan w:val="4"/>
            <w:vAlign w:val="bottom"/>
          </w:tcPr>
          <w:p w:rsidR="007D0720" w:rsidRDefault="007E26B5">
            <w:pPr>
              <w:ind w:right="90"/>
              <w:jc w:val="right"/>
              <w:rPr>
                <w:sz w:val="20"/>
                <w:szCs w:val="20"/>
              </w:rPr>
            </w:pPr>
            <w:r>
              <w:rPr>
                <w:rFonts w:ascii="Mangal" w:eastAsia="Mangal" w:hAnsi="Mangal" w:cs="Mangal"/>
                <w:color w:val="404040"/>
                <w:sz w:val="14"/>
                <w:szCs w:val="14"/>
              </w:rPr>
              <w:t>13.52%</w:t>
            </w:r>
          </w:p>
        </w:tc>
        <w:tc>
          <w:tcPr>
            <w:tcW w:w="240" w:type="dxa"/>
            <w:tcBorders>
              <w:right w:val="single" w:sz="8" w:space="0" w:color="D9D9D9"/>
            </w:tcBorders>
            <w:vAlign w:val="bottom"/>
          </w:tcPr>
          <w:p w:rsidR="007D0720" w:rsidRDefault="007D0720">
            <w:pPr>
              <w:rPr>
                <w:sz w:val="21"/>
                <w:szCs w:val="21"/>
              </w:rPr>
            </w:pPr>
          </w:p>
        </w:tc>
        <w:tc>
          <w:tcPr>
            <w:tcW w:w="400" w:type="dxa"/>
            <w:vAlign w:val="bottom"/>
          </w:tcPr>
          <w:p w:rsidR="007D0720" w:rsidRDefault="007D0720">
            <w:pPr>
              <w:rPr>
                <w:sz w:val="21"/>
                <w:szCs w:val="21"/>
              </w:rPr>
            </w:pPr>
          </w:p>
        </w:tc>
        <w:tc>
          <w:tcPr>
            <w:tcW w:w="440" w:type="dxa"/>
            <w:tcBorders>
              <w:right w:val="single" w:sz="8" w:space="0" w:color="D9D9D9"/>
            </w:tcBorders>
            <w:vAlign w:val="bottom"/>
          </w:tcPr>
          <w:p w:rsidR="007D0720" w:rsidRDefault="007D0720">
            <w:pPr>
              <w:rPr>
                <w:sz w:val="21"/>
                <w:szCs w:val="21"/>
              </w:rPr>
            </w:pPr>
          </w:p>
        </w:tc>
        <w:tc>
          <w:tcPr>
            <w:tcW w:w="160" w:type="dxa"/>
            <w:vAlign w:val="bottom"/>
          </w:tcPr>
          <w:p w:rsidR="007D0720" w:rsidRDefault="007D0720">
            <w:pPr>
              <w:rPr>
                <w:sz w:val="21"/>
                <w:szCs w:val="21"/>
              </w:rPr>
            </w:pPr>
          </w:p>
        </w:tc>
        <w:tc>
          <w:tcPr>
            <w:tcW w:w="0" w:type="dxa"/>
            <w:vAlign w:val="bottom"/>
          </w:tcPr>
          <w:p w:rsidR="007D0720" w:rsidRDefault="007D0720">
            <w:pPr>
              <w:rPr>
                <w:sz w:val="1"/>
                <w:szCs w:val="1"/>
              </w:rPr>
            </w:pPr>
          </w:p>
        </w:tc>
      </w:tr>
      <w:tr w:rsidR="007D0720">
        <w:trPr>
          <w:trHeight w:val="509"/>
        </w:trPr>
        <w:tc>
          <w:tcPr>
            <w:tcW w:w="1360" w:type="dxa"/>
            <w:vMerge/>
            <w:vAlign w:val="bottom"/>
          </w:tcPr>
          <w:p w:rsidR="007D0720" w:rsidRDefault="007D0720">
            <w:pPr>
              <w:rPr>
                <w:sz w:val="24"/>
                <w:szCs w:val="24"/>
              </w:rPr>
            </w:pPr>
          </w:p>
        </w:tc>
        <w:tc>
          <w:tcPr>
            <w:tcW w:w="100" w:type="dxa"/>
            <w:vAlign w:val="bottom"/>
          </w:tcPr>
          <w:p w:rsidR="007D0720" w:rsidRDefault="007D0720">
            <w:pPr>
              <w:rPr>
                <w:sz w:val="24"/>
                <w:szCs w:val="24"/>
              </w:rPr>
            </w:pPr>
          </w:p>
        </w:tc>
        <w:tc>
          <w:tcPr>
            <w:tcW w:w="580" w:type="dxa"/>
            <w:tcBorders>
              <w:right w:val="single" w:sz="8" w:space="0" w:color="D9D9D9"/>
            </w:tcBorders>
            <w:vAlign w:val="bottom"/>
          </w:tcPr>
          <w:p w:rsidR="007D0720" w:rsidRDefault="007D0720">
            <w:pPr>
              <w:rPr>
                <w:sz w:val="24"/>
                <w:szCs w:val="24"/>
              </w:rPr>
            </w:pPr>
          </w:p>
        </w:tc>
        <w:tc>
          <w:tcPr>
            <w:tcW w:w="400" w:type="dxa"/>
            <w:vAlign w:val="bottom"/>
          </w:tcPr>
          <w:p w:rsidR="007D0720" w:rsidRDefault="007D0720">
            <w:pPr>
              <w:rPr>
                <w:sz w:val="24"/>
                <w:szCs w:val="24"/>
              </w:rPr>
            </w:pPr>
          </w:p>
        </w:tc>
        <w:tc>
          <w:tcPr>
            <w:tcW w:w="1020" w:type="dxa"/>
            <w:gridSpan w:val="4"/>
            <w:vAlign w:val="bottom"/>
          </w:tcPr>
          <w:p w:rsidR="007D0720" w:rsidRDefault="007E26B5">
            <w:pPr>
              <w:jc w:val="right"/>
              <w:rPr>
                <w:sz w:val="20"/>
                <w:szCs w:val="20"/>
              </w:rPr>
            </w:pPr>
            <w:r>
              <w:rPr>
                <w:rFonts w:ascii="Mangal" w:eastAsia="Mangal" w:hAnsi="Mangal" w:cs="Mangal"/>
                <w:color w:val="404040"/>
                <w:sz w:val="14"/>
                <w:szCs w:val="14"/>
              </w:rPr>
              <w:t>14.18%</w:t>
            </w:r>
          </w:p>
        </w:tc>
        <w:tc>
          <w:tcPr>
            <w:tcW w:w="240" w:type="dxa"/>
            <w:tcBorders>
              <w:right w:val="single" w:sz="8" w:space="0" w:color="D9D9D9"/>
            </w:tcBorders>
            <w:vAlign w:val="bottom"/>
          </w:tcPr>
          <w:p w:rsidR="007D0720" w:rsidRDefault="007D0720">
            <w:pPr>
              <w:rPr>
                <w:sz w:val="24"/>
                <w:szCs w:val="24"/>
              </w:rPr>
            </w:pPr>
          </w:p>
        </w:tc>
        <w:tc>
          <w:tcPr>
            <w:tcW w:w="400" w:type="dxa"/>
            <w:vAlign w:val="bottom"/>
          </w:tcPr>
          <w:p w:rsidR="007D0720" w:rsidRDefault="007D0720">
            <w:pPr>
              <w:rPr>
                <w:sz w:val="24"/>
                <w:szCs w:val="24"/>
              </w:rPr>
            </w:pPr>
          </w:p>
        </w:tc>
        <w:tc>
          <w:tcPr>
            <w:tcW w:w="440" w:type="dxa"/>
            <w:tcBorders>
              <w:right w:val="single" w:sz="8" w:space="0" w:color="D9D9D9"/>
            </w:tcBorders>
            <w:vAlign w:val="bottom"/>
          </w:tcPr>
          <w:p w:rsidR="007D0720" w:rsidRDefault="007D0720">
            <w:pPr>
              <w:rPr>
                <w:sz w:val="24"/>
                <w:szCs w:val="24"/>
              </w:rPr>
            </w:pPr>
          </w:p>
        </w:tc>
        <w:tc>
          <w:tcPr>
            <w:tcW w:w="160" w:type="dxa"/>
            <w:vAlign w:val="bottom"/>
          </w:tcPr>
          <w:p w:rsidR="007D0720" w:rsidRDefault="007D0720">
            <w:pPr>
              <w:rPr>
                <w:sz w:val="24"/>
                <w:szCs w:val="24"/>
              </w:rPr>
            </w:pPr>
          </w:p>
        </w:tc>
        <w:tc>
          <w:tcPr>
            <w:tcW w:w="0" w:type="dxa"/>
            <w:vAlign w:val="bottom"/>
          </w:tcPr>
          <w:p w:rsidR="007D0720" w:rsidRDefault="007D0720">
            <w:pPr>
              <w:rPr>
                <w:sz w:val="1"/>
                <w:szCs w:val="1"/>
              </w:rPr>
            </w:pPr>
          </w:p>
        </w:tc>
      </w:tr>
      <w:tr w:rsidR="007D0720">
        <w:trPr>
          <w:trHeight w:val="341"/>
        </w:trPr>
        <w:tc>
          <w:tcPr>
            <w:tcW w:w="1360" w:type="dxa"/>
            <w:vAlign w:val="bottom"/>
          </w:tcPr>
          <w:p w:rsidR="007D0720" w:rsidRDefault="007E26B5">
            <w:pPr>
              <w:jc w:val="right"/>
              <w:rPr>
                <w:sz w:val="20"/>
                <w:szCs w:val="20"/>
              </w:rPr>
            </w:pPr>
            <w:r>
              <w:rPr>
                <w:rFonts w:ascii="Mangal" w:eastAsia="Mangal" w:hAnsi="Mangal" w:cs="Mangal"/>
                <w:color w:val="595959"/>
                <w:sz w:val="18"/>
                <w:szCs w:val="18"/>
              </w:rPr>
              <w:t>0%</w:t>
            </w:r>
          </w:p>
        </w:tc>
        <w:tc>
          <w:tcPr>
            <w:tcW w:w="1080" w:type="dxa"/>
            <w:gridSpan w:val="3"/>
            <w:vAlign w:val="bottom"/>
          </w:tcPr>
          <w:p w:rsidR="007D0720" w:rsidRDefault="007E26B5">
            <w:pPr>
              <w:ind w:right="280"/>
              <w:jc w:val="right"/>
              <w:rPr>
                <w:sz w:val="20"/>
                <w:szCs w:val="20"/>
              </w:rPr>
            </w:pPr>
            <w:r>
              <w:rPr>
                <w:rFonts w:ascii="Mangal" w:eastAsia="Mangal" w:hAnsi="Mangal" w:cs="Mangal"/>
                <w:color w:val="595959"/>
                <w:sz w:val="18"/>
                <w:szCs w:val="18"/>
              </w:rPr>
              <w:t>5%</w:t>
            </w:r>
          </w:p>
        </w:tc>
        <w:tc>
          <w:tcPr>
            <w:tcW w:w="620" w:type="dxa"/>
            <w:gridSpan w:val="3"/>
            <w:vAlign w:val="bottom"/>
          </w:tcPr>
          <w:p w:rsidR="007D0720" w:rsidRDefault="007E26B5">
            <w:pPr>
              <w:jc w:val="right"/>
              <w:rPr>
                <w:sz w:val="20"/>
                <w:szCs w:val="20"/>
              </w:rPr>
            </w:pPr>
            <w:r>
              <w:rPr>
                <w:rFonts w:ascii="Mangal" w:eastAsia="Mangal" w:hAnsi="Mangal" w:cs="Mangal"/>
                <w:color w:val="595959"/>
                <w:sz w:val="18"/>
                <w:szCs w:val="18"/>
              </w:rPr>
              <w:t>10%</w:t>
            </w:r>
          </w:p>
        </w:tc>
        <w:tc>
          <w:tcPr>
            <w:tcW w:w="400" w:type="dxa"/>
            <w:vAlign w:val="bottom"/>
          </w:tcPr>
          <w:p w:rsidR="007D0720" w:rsidRDefault="007D0720">
            <w:pPr>
              <w:rPr>
                <w:sz w:val="24"/>
                <w:szCs w:val="24"/>
              </w:rPr>
            </w:pPr>
          </w:p>
        </w:tc>
        <w:tc>
          <w:tcPr>
            <w:tcW w:w="640" w:type="dxa"/>
            <w:gridSpan w:val="2"/>
            <w:vAlign w:val="bottom"/>
          </w:tcPr>
          <w:p w:rsidR="007D0720" w:rsidRDefault="007E26B5">
            <w:pPr>
              <w:ind w:right="220"/>
              <w:jc w:val="right"/>
              <w:rPr>
                <w:sz w:val="20"/>
                <w:szCs w:val="20"/>
              </w:rPr>
            </w:pPr>
            <w:r>
              <w:rPr>
                <w:rFonts w:ascii="Mangal" w:eastAsia="Mangal" w:hAnsi="Mangal" w:cs="Mangal"/>
                <w:color w:val="595959"/>
                <w:sz w:val="18"/>
                <w:szCs w:val="18"/>
              </w:rPr>
              <w:t>15%</w:t>
            </w:r>
          </w:p>
        </w:tc>
        <w:tc>
          <w:tcPr>
            <w:tcW w:w="600" w:type="dxa"/>
            <w:gridSpan w:val="2"/>
            <w:vAlign w:val="bottom"/>
          </w:tcPr>
          <w:p w:rsidR="007D0720" w:rsidRDefault="007E26B5">
            <w:pPr>
              <w:jc w:val="right"/>
              <w:rPr>
                <w:sz w:val="20"/>
                <w:szCs w:val="20"/>
              </w:rPr>
            </w:pPr>
            <w:r>
              <w:rPr>
                <w:rFonts w:ascii="Mangal" w:eastAsia="Mangal" w:hAnsi="Mangal" w:cs="Mangal"/>
                <w:color w:val="595959"/>
                <w:sz w:val="18"/>
                <w:szCs w:val="18"/>
              </w:rPr>
              <w:t>20%</w:t>
            </w:r>
          </w:p>
        </w:tc>
        <w:tc>
          <w:tcPr>
            <w:tcW w:w="0" w:type="dxa"/>
            <w:vAlign w:val="bottom"/>
          </w:tcPr>
          <w:p w:rsidR="007D0720" w:rsidRDefault="007D0720">
            <w:pPr>
              <w:rPr>
                <w:sz w:val="1"/>
                <w:szCs w:val="1"/>
              </w:rPr>
            </w:pPr>
          </w:p>
        </w:tc>
      </w:tr>
      <w:tr w:rsidR="007D0720">
        <w:trPr>
          <w:trHeight w:val="352"/>
        </w:trPr>
        <w:tc>
          <w:tcPr>
            <w:tcW w:w="1360" w:type="dxa"/>
            <w:vAlign w:val="bottom"/>
          </w:tcPr>
          <w:p w:rsidR="007D0720" w:rsidRDefault="007D0720">
            <w:pPr>
              <w:rPr>
                <w:sz w:val="24"/>
                <w:szCs w:val="24"/>
              </w:rPr>
            </w:pPr>
          </w:p>
        </w:tc>
        <w:tc>
          <w:tcPr>
            <w:tcW w:w="100" w:type="dxa"/>
            <w:vAlign w:val="bottom"/>
          </w:tcPr>
          <w:p w:rsidR="007D0720" w:rsidRDefault="007D0720">
            <w:pPr>
              <w:rPr>
                <w:sz w:val="24"/>
                <w:szCs w:val="24"/>
              </w:rPr>
            </w:pPr>
          </w:p>
        </w:tc>
        <w:tc>
          <w:tcPr>
            <w:tcW w:w="980" w:type="dxa"/>
            <w:gridSpan w:val="2"/>
            <w:vMerge w:val="restart"/>
            <w:vAlign w:val="bottom"/>
          </w:tcPr>
          <w:p w:rsidR="007D0720" w:rsidRDefault="007E26B5">
            <w:pPr>
              <w:ind w:right="60"/>
              <w:jc w:val="right"/>
              <w:rPr>
                <w:sz w:val="20"/>
                <w:szCs w:val="20"/>
              </w:rPr>
            </w:pPr>
            <w:r>
              <w:rPr>
                <w:rFonts w:ascii="Cambria" w:eastAsia="Cambria" w:hAnsi="Cambria" w:cs="Cambria"/>
                <w:color w:val="595959"/>
                <w:sz w:val="18"/>
                <w:szCs w:val="18"/>
              </w:rPr>
              <w:t>Engagment</w:t>
            </w:r>
          </w:p>
        </w:tc>
        <w:tc>
          <w:tcPr>
            <w:tcW w:w="120" w:type="dxa"/>
            <w:vMerge w:val="restart"/>
            <w:vAlign w:val="bottom"/>
          </w:tcPr>
          <w:p w:rsidR="007D0720" w:rsidRDefault="007D0720">
            <w:pPr>
              <w:rPr>
                <w:sz w:val="24"/>
                <w:szCs w:val="24"/>
              </w:rPr>
            </w:pPr>
          </w:p>
        </w:tc>
        <w:tc>
          <w:tcPr>
            <w:tcW w:w="100" w:type="dxa"/>
            <w:vAlign w:val="bottom"/>
          </w:tcPr>
          <w:p w:rsidR="007D0720" w:rsidRDefault="007D0720">
            <w:pPr>
              <w:rPr>
                <w:sz w:val="24"/>
                <w:szCs w:val="24"/>
              </w:rPr>
            </w:pPr>
          </w:p>
        </w:tc>
        <w:tc>
          <w:tcPr>
            <w:tcW w:w="1440" w:type="dxa"/>
            <w:gridSpan w:val="4"/>
            <w:vMerge w:val="restart"/>
            <w:vAlign w:val="bottom"/>
          </w:tcPr>
          <w:p w:rsidR="007D0720" w:rsidRDefault="007E26B5">
            <w:pPr>
              <w:ind w:right="540"/>
              <w:jc w:val="right"/>
              <w:rPr>
                <w:sz w:val="20"/>
                <w:szCs w:val="20"/>
              </w:rPr>
            </w:pPr>
            <w:r>
              <w:rPr>
                <w:rFonts w:ascii="Cambria" w:eastAsia="Cambria" w:hAnsi="Cambria" w:cs="Cambria"/>
                <w:color w:val="595959"/>
                <w:sz w:val="18"/>
                <w:szCs w:val="18"/>
              </w:rPr>
              <w:t>Population</w:t>
            </w:r>
          </w:p>
        </w:tc>
        <w:tc>
          <w:tcPr>
            <w:tcW w:w="440" w:type="dxa"/>
            <w:vAlign w:val="bottom"/>
          </w:tcPr>
          <w:p w:rsidR="007D0720" w:rsidRDefault="007D0720">
            <w:pPr>
              <w:rPr>
                <w:sz w:val="24"/>
                <w:szCs w:val="24"/>
              </w:rPr>
            </w:pPr>
          </w:p>
        </w:tc>
        <w:tc>
          <w:tcPr>
            <w:tcW w:w="160" w:type="dxa"/>
            <w:vAlign w:val="bottom"/>
          </w:tcPr>
          <w:p w:rsidR="007D0720" w:rsidRDefault="007D0720">
            <w:pPr>
              <w:rPr>
                <w:sz w:val="24"/>
                <w:szCs w:val="24"/>
              </w:rPr>
            </w:pPr>
          </w:p>
        </w:tc>
        <w:tc>
          <w:tcPr>
            <w:tcW w:w="0" w:type="dxa"/>
            <w:vAlign w:val="bottom"/>
          </w:tcPr>
          <w:p w:rsidR="007D0720" w:rsidRDefault="007D0720">
            <w:pPr>
              <w:rPr>
                <w:sz w:val="1"/>
                <w:szCs w:val="1"/>
              </w:rPr>
            </w:pPr>
          </w:p>
        </w:tc>
      </w:tr>
      <w:tr w:rsidR="007D0720">
        <w:trPr>
          <w:trHeight w:val="96"/>
        </w:trPr>
        <w:tc>
          <w:tcPr>
            <w:tcW w:w="1360" w:type="dxa"/>
            <w:vAlign w:val="bottom"/>
          </w:tcPr>
          <w:p w:rsidR="007D0720" w:rsidRDefault="007D0720">
            <w:pPr>
              <w:rPr>
                <w:sz w:val="8"/>
                <w:szCs w:val="8"/>
              </w:rPr>
            </w:pPr>
          </w:p>
        </w:tc>
        <w:tc>
          <w:tcPr>
            <w:tcW w:w="100" w:type="dxa"/>
            <w:shd w:val="clear" w:color="auto" w:fill="EE7D31"/>
            <w:vAlign w:val="bottom"/>
          </w:tcPr>
          <w:p w:rsidR="007D0720" w:rsidRDefault="007D0720">
            <w:pPr>
              <w:rPr>
                <w:sz w:val="8"/>
                <w:szCs w:val="8"/>
              </w:rPr>
            </w:pPr>
          </w:p>
        </w:tc>
        <w:tc>
          <w:tcPr>
            <w:tcW w:w="980" w:type="dxa"/>
            <w:gridSpan w:val="2"/>
            <w:vMerge/>
            <w:vAlign w:val="bottom"/>
          </w:tcPr>
          <w:p w:rsidR="007D0720" w:rsidRDefault="007D0720">
            <w:pPr>
              <w:rPr>
                <w:sz w:val="8"/>
                <w:szCs w:val="8"/>
              </w:rPr>
            </w:pPr>
          </w:p>
        </w:tc>
        <w:tc>
          <w:tcPr>
            <w:tcW w:w="120" w:type="dxa"/>
            <w:vMerge/>
            <w:vAlign w:val="bottom"/>
          </w:tcPr>
          <w:p w:rsidR="007D0720" w:rsidRDefault="007D0720">
            <w:pPr>
              <w:rPr>
                <w:sz w:val="8"/>
                <w:szCs w:val="8"/>
              </w:rPr>
            </w:pPr>
          </w:p>
        </w:tc>
        <w:tc>
          <w:tcPr>
            <w:tcW w:w="100" w:type="dxa"/>
            <w:shd w:val="clear" w:color="auto" w:fill="4F81BD"/>
            <w:vAlign w:val="bottom"/>
          </w:tcPr>
          <w:p w:rsidR="007D0720" w:rsidRDefault="007D0720">
            <w:pPr>
              <w:rPr>
                <w:sz w:val="8"/>
                <w:szCs w:val="8"/>
              </w:rPr>
            </w:pPr>
          </w:p>
        </w:tc>
        <w:tc>
          <w:tcPr>
            <w:tcW w:w="1440" w:type="dxa"/>
            <w:gridSpan w:val="4"/>
            <w:vMerge/>
            <w:vAlign w:val="bottom"/>
          </w:tcPr>
          <w:p w:rsidR="007D0720" w:rsidRDefault="007D0720">
            <w:pPr>
              <w:rPr>
                <w:sz w:val="8"/>
                <w:szCs w:val="8"/>
              </w:rPr>
            </w:pPr>
          </w:p>
        </w:tc>
        <w:tc>
          <w:tcPr>
            <w:tcW w:w="440" w:type="dxa"/>
            <w:vAlign w:val="bottom"/>
          </w:tcPr>
          <w:p w:rsidR="007D0720" w:rsidRDefault="007D0720">
            <w:pPr>
              <w:rPr>
                <w:sz w:val="8"/>
                <w:szCs w:val="8"/>
              </w:rPr>
            </w:pPr>
          </w:p>
        </w:tc>
        <w:tc>
          <w:tcPr>
            <w:tcW w:w="160" w:type="dxa"/>
            <w:vAlign w:val="bottom"/>
          </w:tcPr>
          <w:p w:rsidR="007D0720" w:rsidRDefault="007D0720">
            <w:pPr>
              <w:rPr>
                <w:sz w:val="8"/>
                <w:szCs w:val="8"/>
              </w:rPr>
            </w:pPr>
          </w:p>
        </w:tc>
        <w:tc>
          <w:tcPr>
            <w:tcW w:w="0" w:type="dxa"/>
            <w:vAlign w:val="bottom"/>
          </w:tcPr>
          <w:p w:rsidR="007D0720" w:rsidRDefault="007D0720">
            <w:pPr>
              <w:rPr>
                <w:sz w:val="1"/>
                <w:szCs w:val="1"/>
              </w:rPr>
            </w:pPr>
          </w:p>
        </w:tc>
      </w:tr>
      <w:tr w:rsidR="007D0720">
        <w:trPr>
          <w:trHeight w:val="454"/>
        </w:trPr>
        <w:tc>
          <w:tcPr>
            <w:tcW w:w="1360" w:type="dxa"/>
            <w:vAlign w:val="bottom"/>
          </w:tcPr>
          <w:p w:rsidR="007D0720" w:rsidRDefault="007D0720">
            <w:pPr>
              <w:rPr>
                <w:sz w:val="24"/>
                <w:szCs w:val="24"/>
              </w:rPr>
            </w:pPr>
          </w:p>
        </w:tc>
        <w:tc>
          <w:tcPr>
            <w:tcW w:w="100" w:type="dxa"/>
            <w:vAlign w:val="bottom"/>
          </w:tcPr>
          <w:p w:rsidR="007D0720" w:rsidRDefault="007D0720">
            <w:pPr>
              <w:rPr>
                <w:sz w:val="24"/>
                <w:szCs w:val="24"/>
              </w:rPr>
            </w:pPr>
          </w:p>
        </w:tc>
        <w:tc>
          <w:tcPr>
            <w:tcW w:w="980" w:type="dxa"/>
            <w:gridSpan w:val="2"/>
            <w:vMerge/>
            <w:vAlign w:val="bottom"/>
          </w:tcPr>
          <w:p w:rsidR="007D0720" w:rsidRDefault="007D0720">
            <w:pPr>
              <w:rPr>
                <w:sz w:val="24"/>
                <w:szCs w:val="24"/>
              </w:rPr>
            </w:pPr>
          </w:p>
        </w:tc>
        <w:tc>
          <w:tcPr>
            <w:tcW w:w="120" w:type="dxa"/>
            <w:vMerge/>
            <w:vAlign w:val="bottom"/>
          </w:tcPr>
          <w:p w:rsidR="007D0720" w:rsidRDefault="007D0720">
            <w:pPr>
              <w:rPr>
                <w:sz w:val="24"/>
                <w:szCs w:val="24"/>
              </w:rPr>
            </w:pPr>
          </w:p>
        </w:tc>
        <w:tc>
          <w:tcPr>
            <w:tcW w:w="100" w:type="dxa"/>
            <w:vAlign w:val="bottom"/>
          </w:tcPr>
          <w:p w:rsidR="007D0720" w:rsidRDefault="007D0720">
            <w:pPr>
              <w:rPr>
                <w:sz w:val="24"/>
                <w:szCs w:val="24"/>
              </w:rPr>
            </w:pPr>
          </w:p>
        </w:tc>
        <w:tc>
          <w:tcPr>
            <w:tcW w:w="1440" w:type="dxa"/>
            <w:gridSpan w:val="4"/>
            <w:vMerge/>
            <w:vAlign w:val="bottom"/>
          </w:tcPr>
          <w:p w:rsidR="007D0720" w:rsidRDefault="007D0720">
            <w:pPr>
              <w:rPr>
                <w:sz w:val="24"/>
                <w:szCs w:val="24"/>
              </w:rPr>
            </w:pPr>
          </w:p>
        </w:tc>
        <w:tc>
          <w:tcPr>
            <w:tcW w:w="440" w:type="dxa"/>
            <w:vAlign w:val="bottom"/>
          </w:tcPr>
          <w:p w:rsidR="007D0720" w:rsidRDefault="007D0720">
            <w:pPr>
              <w:rPr>
                <w:sz w:val="24"/>
                <w:szCs w:val="24"/>
              </w:rPr>
            </w:pPr>
          </w:p>
        </w:tc>
        <w:tc>
          <w:tcPr>
            <w:tcW w:w="160" w:type="dxa"/>
            <w:vAlign w:val="bottom"/>
          </w:tcPr>
          <w:p w:rsidR="007D0720" w:rsidRDefault="007D0720">
            <w:pPr>
              <w:rPr>
                <w:sz w:val="24"/>
                <w:szCs w:val="24"/>
              </w:rPr>
            </w:pPr>
          </w:p>
        </w:tc>
        <w:tc>
          <w:tcPr>
            <w:tcW w:w="0" w:type="dxa"/>
            <w:vAlign w:val="bottom"/>
          </w:tcPr>
          <w:p w:rsidR="007D0720" w:rsidRDefault="007D0720">
            <w:pPr>
              <w:rPr>
                <w:sz w:val="1"/>
                <w:szCs w:val="1"/>
              </w:rPr>
            </w:pPr>
          </w:p>
        </w:tc>
      </w:tr>
    </w:tbl>
    <w:p w:rsidR="007D0720" w:rsidRDefault="007E26B5">
      <w:pPr>
        <w:spacing w:line="237" w:lineRule="auto"/>
        <w:ind w:left="6"/>
        <w:rPr>
          <w:sz w:val="20"/>
          <w:szCs w:val="20"/>
        </w:rPr>
      </w:pPr>
      <w:r>
        <w:rPr>
          <w:rFonts w:eastAsia="Times New Roman"/>
          <w:b/>
          <w:bCs/>
          <w:sz w:val="18"/>
          <w:szCs w:val="18"/>
        </w:rPr>
        <w:t xml:space="preserve">Figure  16.  Average  </w:t>
      </w:r>
      <w:r>
        <w:rPr>
          <w:rFonts w:eastAsia="Times New Roman"/>
          <w:b/>
          <w:bCs/>
          <w:sz w:val="18"/>
          <w:szCs w:val="18"/>
        </w:rPr>
        <w:t>Learner  Engagement  Score  by  gender.</w:t>
      </w:r>
    </w:p>
    <w:p w:rsidR="007D0720" w:rsidRDefault="007E26B5">
      <w:pPr>
        <w:ind w:left="6"/>
        <w:rPr>
          <w:sz w:val="20"/>
          <w:szCs w:val="20"/>
        </w:rPr>
      </w:pPr>
      <w:r>
        <w:rPr>
          <w:rFonts w:eastAsia="Times New Roman"/>
          <w:b/>
          <w:bCs/>
          <w:sz w:val="18"/>
          <w:szCs w:val="18"/>
        </w:rPr>
        <w:t>Only 2% variation by gender.</w:t>
      </w:r>
    </w:p>
    <w:p w:rsidR="007D0720" w:rsidRDefault="007D0720">
      <w:pPr>
        <w:spacing w:line="90" w:lineRule="exact"/>
        <w:rPr>
          <w:sz w:val="20"/>
          <w:szCs w:val="20"/>
        </w:rPr>
      </w:pPr>
    </w:p>
    <w:p w:rsidR="007D0720" w:rsidRDefault="007E26B5">
      <w:pPr>
        <w:spacing w:line="247" w:lineRule="auto"/>
        <w:ind w:left="6"/>
        <w:jc w:val="both"/>
        <w:rPr>
          <w:sz w:val="20"/>
          <w:szCs w:val="20"/>
        </w:rPr>
      </w:pPr>
      <w:r>
        <w:rPr>
          <w:rFonts w:eastAsia="Times New Roman"/>
          <w:sz w:val="20"/>
          <w:szCs w:val="20"/>
        </w:rPr>
        <w:t xml:space="preserve">Figure 17 This box and whiskers chart also confirms the same observation that the median and quartile values are consistent for different values of gender. Even though there are more </w:t>
      </w:r>
      <w:r>
        <w:rPr>
          <w:rFonts w:eastAsia="Times New Roman"/>
          <w:sz w:val="20"/>
          <w:szCs w:val="20"/>
        </w:rPr>
        <w:t>Male learners compared to Females, Not Specified and Other, the engagement score ranges are fairly uniform.</w:t>
      </w:r>
    </w:p>
    <w:p w:rsidR="007D0720" w:rsidRDefault="007D0720">
      <w:pPr>
        <w:sectPr w:rsidR="007D0720">
          <w:pgSz w:w="12240" w:h="15840"/>
          <w:pgMar w:top="1220" w:right="1080" w:bottom="1022" w:left="1078" w:header="0" w:footer="0" w:gutter="0"/>
          <w:cols w:num="2" w:space="720" w:equalWidth="0">
            <w:col w:w="4822" w:space="434"/>
            <w:col w:w="4826"/>
          </w:cols>
        </w:sectPr>
      </w:pPr>
    </w:p>
    <w:p w:rsidR="007D0720" w:rsidRDefault="007E26B5">
      <w:pPr>
        <w:spacing w:line="200" w:lineRule="exact"/>
        <w:rPr>
          <w:sz w:val="20"/>
          <w:szCs w:val="20"/>
        </w:rPr>
      </w:pPr>
      <w:bookmarkStart w:id="6" w:name="page7"/>
      <w:bookmarkEnd w:id="6"/>
      <w:r>
        <w:rPr>
          <w:noProof/>
          <w:sz w:val="20"/>
          <w:szCs w:val="20"/>
        </w:rPr>
        <w:lastRenderedPageBreak/>
        <w:drawing>
          <wp:anchor distT="0" distB="0" distL="114300" distR="114300" simplePos="0" relativeHeight="251657216" behindDoc="1" locked="0" layoutInCell="0" allowOverlap="1">
            <wp:simplePos x="0" y="0"/>
            <wp:positionH relativeFrom="page">
              <wp:posOffset>684530</wp:posOffset>
            </wp:positionH>
            <wp:positionV relativeFrom="page">
              <wp:posOffset>784860</wp:posOffset>
            </wp:positionV>
            <wp:extent cx="3133090" cy="292925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3133090" cy="2929255"/>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32" w:lineRule="exact"/>
        <w:rPr>
          <w:sz w:val="20"/>
          <w:szCs w:val="20"/>
        </w:rPr>
      </w:pPr>
    </w:p>
    <w:p w:rsidR="007D0720" w:rsidRDefault="007E26B5">
      <w:pPr>
        <w:spacing w:line="271" w:lineRule="auto"/>
        <w:ind w:left="2"/>
        <w:jc w:val="both"/>
        <w:rPr>
          <w:sz w:val="20"/>
          <w:szCs w:val="20"/>
        </w:rPr>
      </w:pPr>
      <w:r>
        <w:rPr>
          <w:rFonts w:eastAsia="Times New Roman"/>
          <w:b/>
          <w:bCs/>
          <w:sz w:val="18"/>
          <w:szCs w:val="18"/>
        </w:rPr>
        <w:t>Figure 17. Box and whisker chart for Learner Engagement Score by gender.</w:t>
      </w:r>
    </w:p>
    <w:p w:rsidR="007D0720" w:rsidRDefault="007D0720">
      <w:pPr>
        <w:spacing w:line="396" w:lineRule="exact"/>
        <w:rPr>
          <w:sz w:val="20"/>
          <w:szCs w:val="20"/>
        </w:rPr>
      </w:pPr>
    </w:p>
    <w:p w:rsidR="007D0720" w:rsidRDefault="007E26B5">
      <w:pPr>
        <w:ind w:left="2"/>
        <w:rPr>
          <w:sz w:val="20"/>
          <w:szCs w:val="20"/>
        </w:rPr>
      </w:pPr>
      <w:r>
        <w:rPr>
          <w:rFonts w:ascii="Arial" w:eastAsia="Arial" w:hAnsi="Arial" w:cs="Arial"/>
          <w:i/>
          <w:iCs/>
          <w:sz w:val="18"/>
          <w:szCs w:val="18"/>
        </w:rPr>
        <w:t>Observations: Age</w:t>
      </w:r>
    </w:p>
    <w:p w:rsidR="007D0720" w:rsidRDefault="007D0720">
      <w:pPr>
        <w:spacing w:line="114" w:lineRule="exact"/>
        <w:rPr>
          <w:sz w:val="20"/>
          <w:szCs w:val="20"/>
        </w:rPr>
      </w:pPr>
    </w:p>
    <w:p w:rsidR="007D0720" w:rsidRDefault="007E26B5">
      <w:pPr>
        <w:spacing w:line="241" w:lineRule="auto"/>
        <w:ind w:left="2"/>
        <w:jc w:val="both"/>
        <w:rPr>
          <w:sz w:val="20"/>
          <w:szCs w:val="20"/>
        </w:rPr>
      </w:pPr>
      <w:r>
        <w:rPr>
          <w:rFonts w:eastAsia="Times New Roman"/>
          <w:sz w:val="20"/>
          <w:szCs w:val="20"/>
        </w:rPr>
        <w:t>Figure 4. depicts the distribution of average learner engagement scores by the decade in which the learner was born. The engagement score is highest for learners born in the 1940s, and gradually decreases for younger learners born later. The pattern is not</w:t>
      </w:r>
      <w:r>
        <w:rPr>
          <w:rFonts w:eastAsia="Times New Roman"/>
          <w:sz w:val="20"/>
          <w:szCs w:val="20"/>
        </w:rPr>
        <w:t xml:space="preserve"> consistent for learners born in the 1900s, 2010s and 2020s, which are also outliers and can be considered as invalid data. After all, it is hard to imagine Python learners that are</w:t>
      </w:r>
    </w:p>
    <w:p w:rsidR="007D0720" w:rsidRDefault="007D0720">
      <w:pPr>
        <w:spacing w:line="5" w:lineRule="exact"/>
        <w:rPr>
          <w:sz w:val="20"/>
          <w:szCs w:val="20"/>
        </w:rPr>
      </w:pPr>
    </w:p>
    <w:p w:rsidR="007D0720" w:rsidRDefault="007E26B5">
      <w:pPr>
        <w:numPr>
          <w:ilvl w:val="0"/>
          <w:numId w:val="15"/>
        </w:numPr>
        <w:tabs>
          <w:tab w:val="left" w:pos="362"/>
        </w:tabs>
        <w:ind w:left="362" w:hanging="362"/>
        <w:rPr>
          <w:rFonts w:ascii="Symbol" w:eastAsia="Symbol" w:hAnsi="Symbol" w:cs="Symbol"/>
          <w:sz w:val="20"/>
          <w:szCs w:val="20"/>
        </w:rPr>
      </w:pPr>
      <w:r>
        <w:rPr>
          <w:rFonts w:eastAsia="Times New Roman"/>
          <w:sz w:val="20"/>
          <w:szCs w:val="20"/>
        </w:rPr>
        <w:t>older than 110 years old (1900s)</w:t>
      </w:r>
    </w:p>
    <w:p w:rsidR="007D0720" w:rsidRDefault="007D0720">
      <w:pPr>
        <w:spacing w:line="12" w:lineRule="exact"/>
        <w:rPr>
          <w:rFonts w:ascii="Symbol" w:eastAsia="Symbol" w:hAnsi="Symbol" w:cs="Symbol"/>
          <w:sz w:val="20"/>
          <w:szCs w:val="20"/>
        </w:rPr>
      </w:pPr>
    </w:p>
    <w:p w:rsidR="007D0720" w:rsidRDefault="007E26B5">
      <w:pPr>
        <w:numPr>
          <w:ilvl w:val="0"/>
          <w:numId w:val="15"/>
        </w:numPr>
        <w:tabs>
          <w:tab w:val="left" w:pos="362"/>
        </w:tabs>
        <w:ind w:left="362" w:hanging="362"/>
        <w:rPr>
          <w:rFonts w:ascii="Symbol" w:eastAsia="Symbol" w:hAnsi="Symbol" w:cs="Symbol"/>
          <w:sz w:val="20"/>
          <w:szCs w:val="20"/>
        </w:rPr>
      </w:pPr>
      <w:r>
        <w:rPr>
          <w:rFonts w:eastAsia="Times New Roman"/>
          <w:sz w:val="20"/>
          <w:szCs w:val="20"/>
        </w:rPr>
        <w:t>younger than 7 years old (2010s)</w:t>
      </w:r>
    </w:p>
    <w:p w:rsidR="007D0720" w:rsidRDefault="007E26B5">
      <w:pPr>
        <w:numPr>
          <w:ilvl w:val="0"/>
          <w:numId w:val="15"/>
        </w:numPr>
        <w:tabs>
          <w:tab w:val="left" w:pos="362"/>
        </w:tabs>
        <w:ind w:left="362" w:hanging="362"/>
        <w:rPr>
          <w:rFonts w:ascii="Symbol" w:eastAsia="Symbol" w:hAnsi="Symbol" w:cs="Symbol"/>
          <w:sz w:val="20"/>
          <w:szCs w:val="20"/>
        </w:rPr>
      </w:pPr>
      <w:r>
        <w:rPr>
          <w:rFonts w:eastAsia="Times New Roman"/>
          <w:sz w:val="20"/>
          <w:szCs w:val="20"/>
        </w:rPr>
        <w:t xml:space="preserve">not </w:t>
      </w:r>
      <w:r>
        <w:rPr>
          <w:rFonts w:eastAsia="Times New Roman"/>
          <w:sz w:val="20"/>
          <w:szCs w:val="20"/>
        </w:rPr>
        <w:t>born yet (2020s)</w:t>
      </w:r>
    </w:p>
    <w:p w:rsidR="007D0720" w:rsidRDefault="007D0720">
      <w:pPr>
        <w:spacing w:line="323" w:lineRule="exact"/>
        <w:rPr>
          <w:sz w:val="20"/>
          <w:szCs w:val="20"/>
        </w:rPr>
      </w:pPr>
    </w:p>
    <w:p w:rsidR="007D0720" w:rsidRDefault="007E26B5">
      <w:pPr>
        <w:spacing w:line="247" w:lineRule="auto"/>
        <w:ind w:left="2"/>
        <w:jc w:val="both"/>
        <w:rPr>
          <w:sz w:val="20"/>
          <w:szCs w:val="20"/>
        </w:rPr>
      </w:pPr>
      <w:r>
        <w:rPr>
          <w:rFonts w:eastAsia="Times New Roman"/>
          <w:sz w:val="20"/>
          <w:szCs w:val="20"/>
        </w:rPr>
        <w:t>The Learner Count line in Figure 18 clearly shows that the number of learners born in the 1900s, 2010s &amp; 2020s are really small, and could be considered as outliers. Outlier data was filtered out for further analysis of Learner Engagement</w:t>
      </w:r>
      <w:r>
        <w:rPr>
          <w:rFonts w:eastAsia="Times New Roman"/>
          <w:sz w:val="20"/>
          <w:szCs w:val="20"/>
        </w:rPr>
        <w:t xml:space="preserve"> Score and Age.</w:t>
      </w:r>
    </w:p>
    <w:p w:rsidR="007D0720" w:rsidRDefault="007E26B5">
      <w:pPr>
        <w:spacing w:line="20" w:lineRule="exact"/>
        <w:rPr>
          <w:sz w:val="20"/>
          <w:szCs w:val="20"/>
        </w:rPr>
      </w:pPr>
      <w:r>
        <w:rPr>
          <w:sz w:val="20"/>
          <w:szCs w:val="20"/>
        </w:rPr>
        <w:br w:type="column"/>
      </w:r>
    </w:p>
    <w:p w:rsidR="007D0720" w:rsidRDefault="007E26B5">
      <w:pPr>
        <w:ind w:right="-439"/>
        <w:jc w:val="center"/>
        <w:rPr>
          <w:sz w:val="20"/>
          <w:szCs w:val="20"/>
        </w:rPr>
      </w:pPr>
      <w:r>
        <w:rPr>
          <w:rFonts w:ascii="Cambria" w:eastAsia="Cambria" w:hAnsi="Cambria" w:cs="Cambria"/>
          <w:color w:val="595959"/>
          <w:sz w:val="28"/>
          <w:szCs w:val="28"/>
        </w:rPr>
        <w:t>Engagement &amp; Count by Birth</w:t>
      </w:r>
    </w:p>
    <w:p w:rsidR="007D0720" w:rsidRDefault="007E26B5">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69215</wp:posOffset>
            </wp:positionH>
            <wp:positionV relativeFrom="paragraph">
              <wp:posOffset>53340</wp:posOffset>
            </wp:positionV>
            <wp:extent cx="3371215" cy="27279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blip>
                    <a:srcRect/>
                    <a:stretch>
                      <a:fillRect/>
                    </a:stretch>
                  </pic:blipFill>
                  <pic:spPr bwMode="auto">
                    <a:xfrm>
                      <a:off x="0" y="0"/>
                      <a:ext cx="3371215" cy="272796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385" w:lineRule="exact"/>
        <w:rPr>
          <w:sz w:val="20"/>
          <w:szCs w:val="20"/>
        </w:rPr>
      </w:pPr>
    </w:p>
    <w:p w:rsidR="007D0720" w:rsidRDefault="007E26B5">
      <w:pPr>
        <w:ind w:right="-439"/>
        <w:jc w:val="center"/>
        <w:rPr>
          <w:sz w:val="20"/>
          <w:szCs w:val="20"/>
        </w:rPr>
      </w:pPr>
      <w:r>
        <w:rPr>
          <w:rFonts w:ascii="Cambria" w:eastAsia="Cambria" w:hAnsi="Cambria" w:cs="Cambria"/>
          <w:color w:val="595959"/>
          <w:sz w:val="28"/>
          <w:szCs w:val="28"/>
        </w:rPr>
        <w:t>Decade</w:t>
      </w:r>
    </w:p>
    <w:p w:rsidR="007D0720" w:rsidRDefault="007D0720">
      <w:pPr>
        <w:spacing w:line="136"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260"/>
        <w:gridCol w:w="520"/>
        <w:gridCol w:w="2060"/>
        <w:gridCol w:w="1100"/>
        <w:gridCol w:w="500"/>
        <w:gridCol w:w="240"/>
        <w:gridCol w:w="20"/>
      </w:tblGrid>
      <w:tr w:rsidR="007D0720">
        <w:trPr>
          <w:trHeight w:val="311"/>
        </w:trPr>
        <w:tc>
          <w:tcPr>
            <w:tcW w:w="260" w:type="dxa"/>
            <w:vMerge w:val="restart"/>
            <w:textDirection w:val="btLr"/>
            <w:vAlign w:val="bottom"/>
          </w:tcPr>
          <w:p w:rsidR="007D0720" w:rsidRDefault="007E26B5">
            <w:pPr>
              <w:ind w:left="26"/>
              <w:rPr>
                <w:sz w:val="20"/>
                <w:szCs w:val="20"/>
              </w:rPr>
            </w:pPr>
            <w:r>
              <w:rPr>
                <w:rFonts w:ascii="Cambria" w:eastAsia="Cambria" w:hAnsi="Cambria" w:cs="Cambria"/>
                <w:color w:val="595959"/>
                <w:sz w:val="20"/>
                <w:szCs w:val="20"/>
              </w:rPr>
              <w:t>Score</w:t>
            </w:r>
          </w:p>
        </w:tc>
        <w:tc>
          <w:tcPr>
            <w:tcW w:w="520" w:type="dxa"/>
            <w:vAlign w:val="bottom"/>
          </w:tcPr>
          <w:p w:rsidR="007D0720" w:rsidRDefault="007E26B5">
            <w:pPr>
              <w:ind w:right="21"/>
              <w:jc w:val="right"/>
              <w:rPr>
                <w:sz w:val="20"/>
                <w:szCs w:val="20"/>
              </w:rPr>
            </w:pPr>
            <w:r>
              <w:rPr>
                <w:rFonts w:ascii="Mangal" w:eastAsia="Mangal" w:hAnsi="Mangal" w:cs="Mangal"/>
                <w:color w:val="595959"/>
                <w:sz w:val="18"/>
                <w:szCs w:val="18"/>
              </w:rPr>
              <w:t>30%</w:t>
            </w:r>
          </w:p>
        </w:tc>
        <w:tc>
          <w:tcPr>
            <w:tcW w:w="2060" w:type="dxa"/>
            <w:vAlign w:val="bottom"/>
          </w:tcPr>
          <w:p w:rsidR="007D0720" w:rsidRDefault="007D0720">
            <w:pPr>
              <w:rPr>
                <w:sz w:val="24"/>
                <w:szCs w:val="24"/>
              </w:rPr>
            </w:pPr>
          </w:p>
        </w:tc>
        <w:tc>
          <w:tcPr>
            <w:tcW w:w="1100" w:type="dxa"/>
            <w:vAlign w:val="bottom"/>
          </w:tcPr>
          <w:p w:rsidR="007D0720" w:rsidRDefault="007D0720">
            <w:pPr>
              <w:rPr>
                <w:sz w:val="24"/>
                <w:szCs w:val="24"/>
              </w:rPr>
            </w:pPr>
          </w:p>
        </w:tc>
        <w:tc>
          <w:tcPr>
            <w:tcW w:w="500" w:type="dxa"/>
            <w:vMerge w:val="restart"/>
            <w:vAlign w:val="bottom"/>
          </w:tcPr>
          <w:p w:rsidR="007D0720" w:rsidRDefault="007E26B5">
            <w:pPr>
              <w:ind w:left="80"/>
              <w:rPr>
                <w:sz w:val="20"/>
                <w:szCs w:val="20"/>
              </w:rPr>
            </w:pPr>
            <w:r>
              <w:rPr>
                <w:rFonts w:ascii="Cambria" w:eastAsia="Cambria" w:hAnsi="Cambria" w:cs="Cambria"/>
                <w:color w:val="595959"/>
                <w:sz w:val="18"/>
                <w:szCs w:val="18"/>
              </w:rPr>
              <w:t>2500</w:t>
            </w:r>
          </w:p>
        </w:tc>
        <w:tc>
          <w:tcPr>
            <w:tcW w:w="240" w:type="dxa"/>
            <w:vAlign w:val="bottom"/>
          </w:tcPr>
          <w:p w:rsidR="007D0720" w:rsidRDefault="007D0720">
            <w:pPr>
              <w:rPr>
                <w:sz w:val="24"/>
                <w:szCs w:val="24"/>
              </w:rPr>
            </w:pPr>
          </w:p>
        </w:tc>
        <w:tc>
          <w:tcPr>
            <w:tcW w:w="0" w:type="dxa"/>
            <w:vAlign w:val="bottom"/>
          </w:tcPr>
          <w:p w:rsidR="007D0720" w:rsidRDefault="007D0720">
            <w:pPr>
              <w:rPr>
                <w:sz w:val="1"/>
                <w:szCs w:val="1"/>
              </w:rPr>
            </w:pPr>
          </w:p>
        </w:tc>
      </w:tr>
      <w:tr w:rsidR="007D0720">
        <w:trPr>
          <w:trHeight w:val="242"/>
        </w:trPr>
        <w:tc>
          <w:tcPr>
            <w:tcW w:w="260" w:type="dxa"/>
            <w:vMerge/>
            <w:vAlign w:val="bottom"/>
          </w:tcPr>
          <w:p w:rsidR="007D0720" w:rsidRDefault="007D0720">
            <w:pPr>
              <w:rPr>
                <w:sz w:val="21"/>
                <w:szCs w:val="21"/>
              </w:rPr>
            </w:pPr>
          </w:p>
        </w:tc>
        <w:tc>
          <w:tcPr>
            <w:tcW w:w="520" w:type="dxa"/>
            <w:vAlign w:val="bottom"/>
          </w:tcPr>
          <w:p w:rsidR="007D0720" w:rsidRDefault="007E26B5">
            <w:pPr>
              <w:spacing w:line="242" w:lineRule="exact"/>
              <w:ind w:right="21"/>
              <w:jc w:val="right"/>
              <w:rPr>
                <w:sz w:val="20"/>
                <w:szCs w:val="20"/>
              </w:rPr>
            </w:pPr>
            <w:r>
              <w:rPr>
                <w:rFonts w:ascii="Mangal" w:eastAsia="Mangal" w:hAnsi="Mangal" w:cs="Mangal"/>
                <w:color w:val="595959"/>
                <w:sz w:val="18"/>
                <w:szCs w:val="18"/>
              </w:rPr>
              <w:t>25%</w:t>
            </w:r>
          </w:p>
        </w:tc>
        <w:tc>
          <w:tcPr>
            <w:tcW w:w="2060" w:type="dxa"/>
            <w:vAlign w:val="bottom"/>
          </w:tcPr>
          <w:p w:rsidR="007D0720" w:rsidRDefault="007D0720">
            <w:pPr>
              <w:rPr>
                <w:sz w:val="21"/>
                <w:szCs w:val="21"/>
              </w:rPr>
            </w:pPr>
          </w:p>
        </w:tc>
        <w:tc>
          <w:tcPr>
            <w:tcW w:w="1100" w:type="dxa"/>
            <w:vAlign w:val="bottom"/>
          </w:tcPr>
          <w:p w:rsidR="007D0720" w:rsidRDefault="007D0720">
            <w:pPr>
              <w:rPr>
                <w:sz w:val="21"/>
                <w:szCs w:val="21"/>
              </w:rPr>
            </w:pPr>
          </w:p>
        </w:tc>
        <w:tc>
          <w:tcPr>
            <w:tcW w:w="500" w:type="dxa"/>
            <w:vMerge/>
            <w:vAlign w:val="bottom"/>
          </w:tcPr>
          <w:p w:rsidR="007D0720" w:rsidRDefault="007D0720">
            <w:pPr>
              <w:rPr>
                <w:sz w:val="21"/>
                <w:szCs w:val="21"/>
              </w:rPr>
            </w:pPr>
          </w:p>
        </w:tc>
        <w:tc>
          <w:tcPr>
            <w:tcW w:w="240" w:type="dxa"/>
            <w:vAlign w:val="bottom"/>
          </w:tcPr>
          <w:p w:rsidR="007D0720" w:rsidRDefault="007D0720">
            <w:pPr>
              <w:rPr>
                <w:sz w:val="21"/>
                <w:szCs w:val="21"/>
              </w:rPr>
            </w:pPr>
          </w:p>
        </w:tc>
        <w:tc>
          <w:tcPr>
            <w:tcW w:w="0" w:type="dxa"/>
            <w:vAlign w:val="bottom"/>
          </w:tcPr>
          <w:p w:rsidR="007D0720" w:rsidRDefault="007D0720">
            <w:pPr>
              <w:rPr>
                <w:sz w:val="1"/>
                <w:szCs w:val="1"/>
              </w:rPr>
            </w:pPr>
          </w:p>
        </w:tc>
      </w:tr>
      <w:tr w:rsidR="007D0720">
        <w:trPr>
          <w:trHeight w:val="277"/>
        </w:trPr>
        <w:tc>
          <w:tcPr>
            <w:tcW w:w="260" w:type="dxa"/>
            <w:vMerge/>
            <w:vAlign w:val="bottom"/>
          </w:tcPr>
          <w:p w:rsidR="007D0720" w:rsidRDefault="007D0720">
            <w:pPr>
              <w:rPr>
                <w:sz w:val="24"/>
                <w:szCs w:val="24"/>
              </w:rPr>
            </w:pPr>
          </w:p>
        </w:tc>
        <w:tc>
          <w:tcPr>
            <w:tcW w:w="520" w:type="dxa"/>
            <w:vAlign w:val="bottom"/>
          </w:tcPr>
          <w:p w:rsidR="007D0720" w:rsidRDefault="007E26B5">
            <w:pPr>
              <w:spacing w:line="278" w:lineRule="exact"/>
              <w:ind w:right="21"/>
              <w:jc w:val="right"/>
              <w:rPr>
                <w:sz w:val="20"/>
                <w:szCs w:val="20"/>
              </w:rPr>
            </w:pPr>
            <w:r>
              <w:rPr>
                <w:rFonts w:ascii="Mangal" w:eastAsia="Mangal" w:hAnsi="Mangal" w:cs="Mangal"/>
                <w:color w:val="595959"/>
                <w:sz w:val="18"/>
                <w:szCs w:val="18"/>
              </w:rPr>
              <w:t>20%</w:t>
            </w:r>
          </w:p>
        </w:tc>
        <w:tc>
          <w:tcPr>
            <w:tcW w:w="2060" w:type="dxa"/>
            <w:vAlign w:val="bottom"/>
          </w:tcPr>
          <w:p w:rsidR="007D0720" w:rsidRDefault="007D0720">
            <w:pPr>
              <w:rPr>
                <w:sz w:val="24"/>
                <w:szCs w:val="24"/>
              </w:rPr>
            </w:pPr>
          </w:p>
        </w:tc>
        <w:tc>
          <w:tcPr>
            <w:tcW w:w="1100" w:type="dxa"/>
            <w:vAlign w:val="bottom"/>
          </w:tcPr>
          <w:p w:rsidR="007D0720" w:rsidRDefault="007D0720">
            <w:pPr>
              <w:rPr>
                <w:sz w:val="24"/>
                <w:szCs w:val="24"/>
              </w:rPr>
            </w:pPr>
          </w:p>
        </w:tc>
        <w:tc>
          <w:tcPr>
            <w:tcW w:w="500" w:type="dxa"/>
            <w:vAlign w:val="bottom"/>
          </w:tcPr>
          <w:p w:rsidR="007D0720" w:rsidRDefault="007E26B5">
            <w:pPr>
              <w:ind w:left="80"/>
              <w:rPr>
                <w:sz w:val="20"/>
                <w:szCs w:val="20"/>
              </w:rPr>
            </w:pPr>
            <w:r>
              <w:rPr>
                <w:rFonts w:ascii="Cambria" w:eastAsia="Cambria" w:hAnsi="Cambria" w:cs="Cambria"/>
                <w:color w:val="595959"/>
                <w:sz w:val="18"/>
                <w:szCs w:val="18"/>
              </w:rPr>
              <w:t>2000</w:t>
            </w:r>
          </w:p>
        </w:tc>
        <w:tc>
          <w:tcPr>
            <w:tcW w:w="240" w:type="dxa"/>
            <w:vAlign w:val="bottom"/>
          </w:tcPr>
          <w:p w:rsidR="007D0720" w:rsidRDefault="007D0720">
            <w:pPr>
              <w:rPr>
                <w:sz w:val="24"/>
                <w:szCs w:val="24"/>
              </w:rPr>
            </w:pPr>
          </w:p>
        </w:tc>
        <w:tc>
          <w:tcPr>
            <w:tcW w:w="0" w:type="dxa"/>
            <w:vAlign w:val="bottom"/>
          </w:tcPr>
          <w:p w:rsidR="007D0720" w:rsidRDefault="007D0720">
            <w:pPr>
              <w:rPr>
                <w:sz w:val="1"/>
                <w:szCs w:val="1"/>
              </w:rPr>
            </w:pPr>
          </w:p>
        </w:tc>
      </w:tr>
      <w:tr w:rsidR="007D0720">
        <w:trPr>
          <w:trHeight w:val="392"/>
        </w:trPr>
        <w:tc>
          <w:tcPr>
            <w:tcW w:w="260" w:type="dxa"/>
            <w:vMerge w:val="restart"/>
            <w:textDirection w:val="btLr"/>
            <w:vAlign w:val="bottom"/>
          </w:tcPr>
          <w:p w:rsidR="007D0720" w:rsidRDefault="007E26B5">
            <w:pPr>
              <w:ind w:left="143"/>
              <w:rPr>
                <w:sz w:val="20"/>
                <w:szCs w:val="20"/>
              </w:rPr>
            </w:pPr>
            <w:r>
              <w:rPr>
                <w:rFonts w:ascii="Cambria" w:eastAsia="Cambria" w:hAnsi="Cambria" w:cs="Cambria"/>
                <w:color w:val="595959"/>
                <w:w w:val="71"/>
                <w:sz w:val="10"/>
                <w:szCs w:val="10"/>
              </w:rPr>
              <w:t>Engagement</w:t>
            </w:r>
          </w:p>
        </w:tc>
        <w:tc>
          <w:tcPr>
            <w:tcW w:w="520" w:type="dxa"/>
            <w:vAlign w:val="bottom"/>
          </w:tcPr>
          <w:p w:rsidR="007D0720" w:rsidRDefault="007E26B5">
            <w:pPr>
              <w:ind w:right="21"/>
              <w:jc w:val="right"/>
              <w:rPr>
                <w:sz w:val="20"/>
                <w:szCs w:val="20"/>
              </w:rPr>
            </w:pPr>
            <w:r>
              <w:rPr>
                <w:rFonts w:ascii="Mangal" w:eastAsia="Mangal" w:hAnsi="Mangal" w:cs="Mangal"/>
                <w:color w:val="595959"/>
                <w:sz w:val="18"/>
                <w:szCs w:val="18"/>
              </w:rPr>
              <w:t>15%</w:t>
            </w:r>
          </w:p>
        </w:tc>
        <w:tc>
          <w:tcPr>
            <w:tcW w:w="2060" w:type="dxa"/>
            <w:vAlign w:val="bottom"/>
          </w:tcPr>
          <w:p w:rsidR="007D0720" w:rsidRDefault="007D0720">
            <w:pPr>
              <w:rPr>
                <w:sz w:val="24"/>
                <w:szCs w:val="24"/>
              </w:rPr>
            </w:pPr>
          </w:p>
        </w:tc>
        <w:tc>
          <w:tcPr>
            <w:tcW w:w="1100" w:type="dxa"/>
            <w:vAlign w:val="bottom"/>
          </w:tcPr>
          <w:p w:rsidR="007D0720" w:rsidRDefault="007D0720">
            <w:pPr>
              <w:rPr>
                <w:sz w:val="24"/>
                <w:szCs w:val="24"/>
              </w:rPr>
            </w:pPr>
          </w:p>
        </w:tc>
        <w:tc>
          <w:tcPr>
            <w:tcW w:w="500" w:type="dxa"/>
            <w:vAlign w:val="bottom"/>
          </w:tcPr>
          <w:p w:rsidR="007D0720" w:rsidRDefault="007E26B5">
            <w:pPr>
              <w:ind w:left="80"/>
              <w:rPr>
                <w:sz w:val="20"/>
                <w:szCs w:val="20"/>
              </w:rPr>
            </w:pPr>
            <w:r>
              <w:rPr>
                <w:rFonts w:ascii="Cambria" w:eastAsia="Cambria" w:hAnsi="Cambria" w:cs="Cambria"/>
                <w:color w:val="595959"/>
                <w:sz w:val="18"/>
                <w:szCs w:val="18"/>
              </w:rPr>
              <w:t>1500</w:t>
            </w:r>
          </w:p>
        </w:tc>
        <w:tc>
          <w:tcPr>
            <w:tcW w:w="240" w:type="dxa"/>
            <w:vMerge w:val="restart"/>
            <w:textDirection w:val="btLr"/>
            <w:vAlign w:val="bottom"/>
          </w:tcPr>
          <w:p w:rsidR="007D0720" w:rsidRDefault="007E26B5">
            <w:pPr>
              <w:ind w:left="6"/>
              <w:rPr>
                <w:sz w:val="20"/>
                <w:szCs w:val="20"/>
              </w:rPr>
            </w:pPr>
            <w:r>
              <w:rPr>
                <w:rFonts w:ascii="Cambria" w:eastAsia="Cambria" w:hAnsi="Cambria" w:cs="Cambria"/>
                <w:color w:val="595959"/>
                <w:w w:val="74"/>
                <w:sz w:val="20"/>
                <w:szCs w:val="20"/>
              </w:rPr>
              <w:t>Count</w:t>
            </w:r>
          </w:p>
        </w:tc>
        <w:tc>
          <w:tcPr>
            <w:tcW w:w="0" w:type="dxa"/>
            <w:vAlign w:val="bottom"/>
          </w:tcPr>
          <w:p w:rsidR="007D0720" w:rsidRDefault="007D0720">
            <w:pPr>
              <w:rPr>
                <w:sz w:val="1"/>
                <w:szCs w:val="1"/>
              </w:rPr>
            </w:pPr>
          </w:p>
        </w:tc>
      </w:tr>
      <w:tr w:rsidR="007D0720">
        <w:tc>
          <w:tcPr>
            <w:tcW w:w="260" w:type="dxa"/>
            <w:vMerge/>
            <w:vAlign w:val="bottom"/>
          </w:tcPr>
          <w:p w:rsidR="007D0720" w:rsidRDefault="007D0720">
            <w:pPr>
              <w:spacing w:line="20" w:lineRule="exact"/>
              <w:rPr>
                <w:sz w:val="1"/>
                <w:szCs w:val="1"/>
              </w:rPr>
            </w:pPr>
          </w:p>
        </w:tc>
        <w:tc>
          <w:tcPr>
            <w:tcW w:w="520" w:type="dxa"/>
            <w:vAlign w:val="bottom"/>
          </w:tcPr>
          <w:p w:rsidR="007D0720" w:rsidRDefault="007E26B5">
            <w:pPr>
              <w:spacing w:line="1" w:lineRule="exact"/>
              <w:ind w:right="21"/>
              <w:jc w:val="right"/>
              <w:rPr>
                <w:sz w:val="20"/>
                <w:szCs w:val="20"/>
              </w:rPr>
            </w:pPr>
            <w:r>
              <w:rPr>
                <w:rFonts w:ascii="Mangal" w:eastAsia="Mangal" w:hAnsi="Mangal" w:cs="Mangal"/>
                <w:color w:val="595959"/>
                <w:sz w:val="1"/>
                <w:szCs w:val="1"/>
              </w:rPr>
              <w:t>5%</w:t>
            </w:r>
          </w:p>
        </w:tc>
        <w:tc>
          <w:tcPr>
            <w:tcW w:w="2060" w:type="dxa"/>
            <w:vAlign w:val="bottom"/>
          </w:tcPr>
          <w:p w:rsidR="007D0720" w:rsidRDefault="007D0720">
            <w:pPr>
              <w:spacing w:line="20" w:lineRule="exact"/>
              <w:rPr>
                <w:sz w:val="1"/>
                <w:szCs w:val="1"/>
              </w:rPr>
            </w:pPr>
          </w:p>
        </w:tc>
        <w:tc>
          <w:tcPr>
            <w:tcW w:w="1100" w:type="dxa"/>
            <w:vAlign w:val="bottom"/>
          </w:tcPr>
          <w:p w:rsidR="007D0720" w:rsidRDefault="007D0720">
            <w:pPr>
              <w:spacing w:line="20" w:lineRule="exact"/>
              <w:rPr>
                <w:sz w:val="1"/>
                <w:szCs w:val="1"/>
              </w:rPr>
            </w:pPr>
          </w:p>
        </w:tc>
        <w:tc>
          <w:tcPr>
            <w:tcW w:w="500" w:type="dxa"/>
            <w:vAlign w:val="bottom"/>
          </w:tcPr>
          <w:p w:rsidR="007D0720" w:rsidRDefault="007E26B5">
            <w:pPr>
              <w:spacing w:line="1" w:lineRule="exact"/>
              <w:ind w:left="80"/>
              <w:rPr>
                <w:sz w:val="20"/>
                <w:szCs w:val="20"/>
              </w:rPr>
            </w:pPr>
            <w:r>
              <w:rPr>
                <w:rFonts w:ascii="Cambria" w:eastAsia="Cambria" w:hAnsi="Cambria" w:cs="Cambria"/>
                <w:color w:val="595959"/>
                <w:sz w:val="1"/>
                <w:szCs w:val="1"/>
              </w:rPr>
              <w:t>500</w:t>
            </w:r>
          </w:p>
        </w:tc>
        <w:tc>
          <w:tcPr>
            <w:tcW w:w="240" w:type="dxa"/>
            <w:vMerge/>
            <w:vAlign w:val="bottom"/>
          </w:tcPr>
          <w:p w:rsidR="007D0720" w:rsidRDefault="007D0720">
            <w:pPr>
              <w:spacing w:line="20" w:lineRule="exact"/>
              <w:rPr>
                <w:sz w:val="1"/>
                <w:szCs w:val="1"/>
              </w:rPr>
            </w:pPr>
          </w:p>
        </w:tc>
        <w:tc>
          <w:tcPr>
            <w:tcW w:w="0" w:type="dxa"/>
            <w:vAlign w:val="bottom"/>
          </w:tcPr>
          <w:p w:rsidR="007D0720" w:rsidRDefault="007D0720">
            <w:pPr>
              <w:spacing w:line="20" w:lineRule="exact"/>
              <w:rPr>
                <w:sz w:val="1"/>
                <w:szCs w:val="1"/>
              </w:rPr>
            </w:pPr>
          </w:p>
        </w:tc>
      </w:tr>
      <w:tr w:rsidR="007D0720">
        <w:trPr>
          <w:trHeight w:val="391"/>
        </w:trPr>
        <w:tc>
          <w:tcPr>
            <w:tcW w:w="260" w:type="dxa"/>
            <w:vAlign w:val="bottom"/>
          </w:tcPr>
          <w:p w:rsidR="007D0720" w:rsidRDefault="007D0720">
            <w:pPr>
              <w:rPr>
                <w:sz w:val="24"/>
                <w:szCs w:val="24"/>
              </w:rPr>
            </w:pPr>
          </w:p>
        </w:tc>
        <w:tc>
          <w:tcPr>
            <w:tcW w:w="520" w:type="dxa"/>
            <w:vAlign w:val="bottom"/>
          </w:tcPr>
          <w:p w:rsidR="007D0720" w:rsidRDefault="007E26B5">
            <w:pPr>
              <w:ind w:right="21"/>
              <w:jc w:val="right"/>
              <w:rPr>
                <w:sz w:val="20"/>
                <w:szCs w:val="20"/>
              </w:rPr>
            </w:pPr>
            <w:r>
              <w:rPr>
                <w:rFonts w:ascii="Mangal" w:eastAsia="Mangal" w:hAnsi="Mangal" w:cs="Mangal"/>
                <w:color w:val="595959"/>
                <w:sz w:val="18"/>
                <w:szCs w:val="18"/>
              </w:rPr>
              <w:t>10%</w:t>
            </w:r>
          </w:p>
        </w:tc>
        <w:tc>
          <w:tcPr>
            <w:tcW w:w="2060" w:type="dxa"/>
            <w:vAlign w:val="bottom"/>
          </w:tcPr>
          <w:p w:rsidR="007D0720" w:rsidRDefault="007D0720">
            <w:pPr>
              <w:rPr>
                <w:sz w:val="24"/>
                <w:szCs w:val="24"/>
              </w:rPr>
            </w:pPr>
          </w:p>
        </w:tc>
        <w:tc>
          <w:tcPr>
            <w:tcW w:w="1100" w:type="dxa"/>
            <w:vAlign w:val="bottom"/>
          </w:tcPr>
          <w:p w:rsidR="007D0720" w:rsidRDefault="007D0720">
            <w:pPr>
              <w:rPr>
                <w:sz w:val="24"/>
                <w:szCs w:val="24"/>
              </w:rPr>
            </w:pPr>
          </w:p>
        </w:tc>
        <w:tc>
          <w:tcPr>
            <w:tcW w:w="500" w:type="dxa"/>
            <w:vAlign w:val="bottom"/>
          </w:tcPr>
          <w:p w:rsidR="007D0720" w:rsidRDefault="007E26B5">
            <w:pPr>
              <w:ind w:left="80"/>
              <w:rPr>
                <w:sz w:val="20"/>
                <w:szCs w:val="20"/>
              </w:rPr>
            </w:pPr>
            <w:r>
              <w:rPr>
                <w:rFonts w:ascii="Cambria" w:eastAsia="Cambria" w:hAnsi="Cambria" w:cs="Cambria"/>
                <w:color w:val="595959"/>
                <w:sz w:val="18"/>
                <w:szCs w:val="18"/>
              </w:rPr>
              <w:t>1000</w:t>
            </w:r>
          </w:p>
        </w:tc>
        <w:tc>
          <w:tcPr>
            <w:tcW w:w="240" w:type="dxa"/>
            <w:vAlign w:val="bottom"/>
          </w:tcPr>
          <w:p w:rsidR="007D0720" w:rsidRDefault="007D0720">
            <w:pPr>
              <w:rPr>
                <w:sz w:val="24"/>
                <w:szCs w:val="24"/>
              </w:rPr>
            </w:pPr>
          </w:p>
        </w:tc>
        <w:tc>
          <w:tcPr>
            <w:tcW w:w="0" w:type="dxa"/>
            <w:vAlign w:val="bottom"/>
          </w:tcPr>
          <w:p w:rsidR="007D0720" w:rsidRDefault="007D0720">
            <w:pPr>
              <w:rPr>
                <w:sz w:val="1"/>
                <w:szCs w:val="1"/>
              </w:rPr>
            </w:pPr>
          </w:p>
        </w:tc>
      </w:tr>
      <w:tr w:rsidR="007D0720">
        <w:trPr>
          <w:trHeight w:val="1024"/>
        </w:trPr>
        <w:tc>
          <w:tcPr>
            <w:tcW w:w="260" w:type="dxa"/>
            <w:vAlign w:val="bottom"/>
          </w:tcPr>
          <w:p w:rsidR="007D0720" w:rsidRDefault="007D0720">
            <w:pPr>
              <w:rPr>
                <w:sz w:val="24"/>
                <w:szCs w:val="24"/>
              </w:rPr>
            </w:pPr>
          </w:p>
        </w:tc>
        <w:tc>
          <w:tcPr>
            <w:tcW w:w="520" w:type="dxa"/>
            <w:vAlign w:val="bottom"/>
          </w:tcPr>
          <w:p w:rsidR="007D0720" w:rsidRDefault="007E26B5">
            <w:pPr>
              <w:ind w:right="21"/>
              <w:jc w:val="right"/>
              <w:rPr>
                <w:sz w:val="20"/>
                <w:szCs w:val="20"/>
              </w:rPr>
            </w:pPr>
            <w:r>
              <w:rPr>
                <w:rFonts w:ascii="Mangal" w:eastAsia="Mangal" w:hAnsi="Mangal" w:cs="Mangal"/>
                <w:color w:val="595959"/>
                <w:sz w:val="18"/>
                <w:szCs w:val="18"/>
              </w:rPr>
              <w:t>0%</w:t>
            </w:r>
          </w:p>
        </w:tc>
        <w:tc>
          <w:tcPr>
            <w:tcW w:w="2060" w:type="dxa"/>
            <w:textDirection w:val="btLr"/>
            <w:vAlign w:val="bottom"/>
          </w:tcPr>
          <w:p w:rsidR="007D0720" w:rsidRDefault="007E26B5">
            <w:pPr>
              <w:ind w:left="2025"/>
              <w:rPr>
                <w:sz w:val="20"/>
                <w:szCs w:val="20"/>
              </w:rPr>
            </w:pPr>
            <w:r>
              <w:rPr>
                <w:rFonts w:ascii="Cambria" w:eastAsia="Cambria" w:hAnsi="Cambria" w:cs="Cambria"/>
                <w:color w:val="595959"/>
                <w:w w:val="78"/>
                <w:sz w:val="3"/>
                <w:szCs w:val="3"/>
              </w:rPr>
              <w:t>None1900193019401950196019701980</w:t>
            </w:r>
          </w:p>
        </w:tc>
        <w:tc>
          <w:tcPr>
            <w:tcW w:w="1100" w:type="dxa"/>
            <w:textDirection w:val="btLr"/>
            <w:vAlign w:val="bottom"/>
          </w:tcPr>
          <w:p w:rsidR="007D0720" w:rsidRDefault="007E26B5">
            <w:pPr>
              <w:rPr>
                <w:sz w:val="20"/>
                <w:szCs w:val="20"/>
              </w:rPr>
            </w:pPr>
            <w:r>
              <w:rPr>
                <w:rFonts w:ascii="Cambria" w:eastAsia="Cambria" w:hAnsi="Cambria" w:cs="Cambria"/>
                <w:color w:val="595959"/>
                <w:w w:val="75"/>
                <w:sz w:val="6"/>
                <w:szCs w:val="6"/>
              </w:rPr>
              <w:t>1990200020102020</w:t>
            </w:r>
          </w:p>
        </w:tc>
        <w:tc>
          <w:tcPr>
            <w:tcW w:w="500" w:type="dxa"/>
            <w:vAlign w:val="bottom"/>
          </w:tcPr>
          <w:p w:rsidR="007D0720" w:rsidRDefault="007E26B5">
            <w:pPr>
              <w:ind w:left="80"/>
              <w:rPr>
                <w:sz w:val="20"/>
                <w:szCs w:val="20"/>
              </w:rPr>
            </w:pPr>
            <w:r>
              <w:rPr>
                <w:rFonts w:ascii="Cambria" w:eastAsia="Cambria" w:hAnsi="Cambria" w:cs="Cambria"/>
                <w:color w:val="595959"/>
                <w:sz w:val="18"/>
                <w:szCs w:val="18"/>
              </w:rPr>
              <w:t>0</w:t>
            </w:r>
          </w:p>
        </w:tc>
        <w:tc>
          <w:tcPr>
            <w:tcW w:w="240" w:type="dxa"/>
            <w:vAlign w:val="bottom"/>
          </w:tcPr>
          <w:p w:rsidR="007D0720" w:rsidRDefault="007D0720">
            <w:pPr>
              <w:rPr>
                <w:sz w:val="24"/>
                <w:szCs w:val="24"/>
              </w:rPr>
            </w:pPr>
          </w:p>
        </w:tc>
        <w:tc>
          <w:tcPr>
            <w:tcW w:w="0" w:type="dxa"/>
            <w:vAlign w:val="bottom"/>
          </w:tcPr>
          <w:p w:rsidR="007D0720" w:rsidRDefault="007D0720">
            <w:pPr>
              <w:rPr>
                <w:sz w:val="1"/>
                <w:szCs w:val="1"/>
              </w:rPr>
            </w:pPr>
          </w:p>
        </w:tc>
      </w:tr>
      <w:tr w:rsidR="007D0720">
        <w:trPr>
          <w:trHeight w:val="835"/>
        </w:trPr>
        <w:tc>
          <w:tcPr>
            <w:tcW w:w="260" w:type="dxa"/>
            <w:vAlign w:val="bottom"/>
          </w:tcPr>
          <w:p w:rsidR="007D0720" w:rsidRDefault="007D0720">
            <w:pPr>
              <w:rPr>
                <w:sz w:val="24"/>
                <w:szCs w:val="24"/>
              </w:rPr>
            </w:pPr>
          </w:p>
        </w:tc>
        <w:tc>
          <w:tcPr>
            <w:tcW w:w="520" w:type="dxa"/>
            <w:vAlign w:val="bottom"/>
          </w:tcPr>
          <w:p w:rsidR="007D0720" w:rsidRDefault="007D0720">
            <w:pPr>
              <w:rPr>
                <w:sz w:val="24"/>
                <w:szCs w:val="24"/>
              </w:rPr>
            </w:pPr>
          </w:p>
        </w:tc>
        <w:tc>
          <w:tcPr>
            <w:tcW w:w="2060" w:type="dxa"/>
            <w:vAlign w:val="bottom"/>
          </w:tcPr>
          <w:p w:rsidR="007D0720" w:rsidRDefault="007E26B5">
            <w:pPr>
              <w:ind w:left="560"/>
              <w:rPr>
                <w:sz w:val="20"/>
                <w:szCs w:val="20"/>
              </w:rPr>
            </w:pPr>
            <w:r>
              <w:rPr>
                <w:rFonts w:ascii="Cambria" w:eastAsia="Cambria" w:hAnsi="Cambria" w:cs="Cambria"/>
                <w:color w:val="595959"/>
                <w:sz w:val="18"/>
                <w:szCs w:val="18"/>
              </w:rPr>
              <w:t>Engagement Score</w:t>
            </w:r>
          </w:p>
        </w:tc>
        <w:tc>
          <w:tcPr>
            <w:tcW w:w="1100" w:type="dxa"/>
            <w:vAlign w:val="bottom"/>
          </w:tcPr>
          <w:p w:rsidR="007D0720" w:rsidRDefault="007E26B5">
            <w:pPr>
              <w:jc w:val="right"/>
              <w:rPr>
                <w:sz w:val="20"/>
                <w:szCs w:val="20"/>
              </w:rPr>
            </w:pPr>
            <w:r>
              <w:rPr>
                <w:rFonts w:ascii="Cambria" w:eastAsia="Cambria" w:hAnsi="Cambria" w:cs="Cambria"/>
                <w:color w:val="595959"/>
                <w:sz w:val="18"/>
                <w:szCs w:val="18"/>
              </w:rPr>
              <w:t>Count</w:t>
            </w:r>
          </w:p>
        </w:tc>
        <w:tc>
          <w:tcPr>
            <w:tcW w:w="500" w:type="dxa"/>
            <w:vAlign w:val="bottom"/>
          </w:tcPr>
          <w:p w:rsidR="007D0720" w:rsidRDefault="007D0720">
            <w:pPr>
              <w:rPr>
                <w:sz w:val="24"/>
                <w:szCs w:val="24"/>
              </w:rPr>
            </w:pPr>
          </w:p>
        </w:tc>
        <w:tc>
          <w:tcPr>
            <w:tcW w:w="240" w:type="dxa"/>
            <w:vAlign w:val="bottom"/>
          </w:tcPr>
          <w:p w:rsidR="007D0720" w:rsidRDefault="007D0720">
            <w:pPr>
              <w:rPr>
                <w:sz w:val="24"/>
                <w:szCs w:val="24"/>
              </w:rPr>
            </w:pPr>
          </w:p>
        </w:tc>
        <w:tc>
          <w:tcPr>
            <w:tcW w:w="0" w:type="dxa"/>
            <w:vAlign w:val="bottom"/>
          </w:tcPr>
          <w:p w:rsidR="007D0720" w:rsidRDefault="007D0720">
            <w:pPr>
              <w:rPr>
                <w:sz w:val="1"/>
                <w:szCs w:val="1"/>
              </w:rPr>
            </w:pPr>
          </w:p>
        </w:tc>
      </w:tr>
    </w:tbl>
    <w:p w:rsidR="007D0720" w:rsidRDefault="007E26B5">
      <w:pPr>
        <w:spacing w:line="238" w:lineRule="auto"/>
        <w:ind w:left="120" w:right="140"/>
        <w:jc w:val="both"/>
        <w:rPr>
          <w:sz w:val="20"/>
          <w:szCs w:val="20"/>
        </w:rPr>
      </w:pPr>
      <w:r>
        <w:rPr>
          <w:rFonts w:eastAsia="Times New Roman"/>
          <w:b/>
          <w:bCs/>
          <w:sz w:val="18"/>
          <w:szCs w:val="18"/>
        </w:rPr>
        <w:t>Figure</w:t>
      </w:r>
      <w:r>
        <w:rPr>
          <w:rFonts w:eastAsia="Times New Roman"/>
          <w:b/>
          <w:bCs/>
          <w:sz w:val="18"/>
          <w:szCs w:val="18"/>
        </w:rPr>
        <w:t xml:space="preserve"> 18. Bar Chart for Learner Engagement Score by Birth Decade, super imposed with Learn Count by Birth Decade.</w:t>
      </w:r>
    </w:p>
    <w:p w:rsidR="007D0720" w:rsidRDefault="007D0720">
      <w:pPr>
        <w:spacing w:line="90" w:lineRule="exact"/>
        <w:rPr>
          <w:sz w:val="20"/>
          <w:szCs w:val="20"/>
        </w:rPr>
      </w:pPr>
    </w:p>
    <w:p w:rsidR="007D0720" w:rsidRDefault="007E26B5">
      <w:pPr>
        <w:spacing w:line="245" w:lineRule="auto"/>
        <w:ind w:left="120" w:right="140"/>
        <w:jc w:val="both"/>
        <w:rPr>
          <w:sz w:val="20"/>
          <w:szCs w:val="20"/>
        </w:rPr>
      </w:pPr>
      <w:r>
        <w:rPr>
          <w:rFonts w:eastAsia="Times New Roman"/>
          <w:sz w:val="20"/>
          <w:szCs w:val="20"/>
        </w:rPr>
        <w:t xml:space="preserve">To further analyze the relationship between learner birth year and learner engagement, a linear regression analysis was performed. A scatter plot </w:t>
      </w:r>
      <w:r>
        <w:rPr>
          <w:rFonts w:eastAsia="Times New Roman"/>
          <w:sz w:val="20"/>
          <w:szCs w:val="20"/>
        </w:rPr>
        <w:t>was made plotting learner birth year against learner engagement score. A regression analysis was also applied to plot the trend line. In Figure 19 the trend line clearly shows a negative correlation between learner engagement and learner age.</w:t>
      </w:r>
    </w:p>
    <w:p w:rsidR="007D0720" w:rsidRDefault="007E26B5">
      <w:pPr>
        <w:spacing w:line="20" w:lineRule="exact"/>
        <w:rPr>
          <w:sz w:val="20"/>
          <w:szCs w:val="20"/>
        </w:rPr>
      </w:pPr>
      <w:r>
        <w:rPr>
          <w:noProof/>
          <w:sz w:val="20"/>
          <w:szCs w:val="20"/>
        </w:rPr>
        <w:drawing>
          <wp:anchor distT="0" distB="0" distL="114300" distR="114300" simplePos="0" relativeHeight="251659264" behindDoc="1" locked="0" layoutInCell="0" allowOverlap="1">
            <wp:simplePos x="0" y="0"/>
            <wp:positionH relativeFrom="column">
              <wp:posOffset>72390</wp:posOffset>
            </wp:positionH>
            <wp:positionV relativeFrom="paragraph">
              <wp:posOffset>66040</wp:posOffset>
            </wp:positionV>
            <wp:extent cx="3056890" cy="19659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blip>
                    <a:srcRect/>
                    <a:stretch>
                      <a:fillRect/>
                    </a:stretch>
                  </pic:blipFill>
                  <pic:spPr bwMode="auto">
                    <a:xfrm>
                      <a:off x="0" y="0"/>
                      <a:ext cx="3056890" cy="196596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87" w:lineRule="exact"/>
        <w:rPr>
          <w:sz w:val="20"/>
          <w:szCs w:val="20"/>
        </w:rPr>
      </w:pPr>
    </w:p>
    <w:p w:rsidR="007D0720" w:rsidRDefault="007E26B5">
      <w:pPr>
        <w:spacing w:line="271" w:lineRule="auto"/>
        <w:ind w:left="120" w:right="140"/>
        <w:jc w:val="both"/>
        <w:rPr>
          <w:sz w:val="20"/>
          <w:szCs w:val="20"/>
        </w:rPr>
      </w:pPr>
      <w:r>
        <w:rPr>
          <w:rFonts w:eastAsia="Times New Roman"/>
          <w:b/>
          <w:bCs/>
          <w:sz w:val="18"/>
          <w:szCs w:val="18"/>
        </w:rPr>
        <w:t>Figure 19. Scatter Plot for Learner Engagement Score and Birth Decade, with regression analysis trend line.</w:t>
      </w:r>
    </w:p>
    <w:p w:rsidR="007D0720" w:rsidRDefault="007D0720">
      <w:pPr>
        <w:spacing w:line="63" w:lineRule="exact"/>
        <w:rPr>
          <w:sz w:val="20"/>
          <w:szCs w:val="20"/>
        </w:rPr>
      </w:pPr>
    </w:p>
    <w:p w:rsidR="007D0720" w:rsidRDefault="007E26B5">
      <w:pPr>
        <w:spacing w:line="254" w:lineRule="auto"/>
        <w:ind w:left="120" w:right="140"/>
        <w:jc w:val="both"/>
        <w:rPr>
          <w:sz w:val="20"/>
          <w:szCs w:val="20"/>
        </w:rPr>
      </w:pPr>
      <w:r>
        <w:rPr>
          <w:rFonts w:eastAsia="Times New Roman"/>
          <w:sz w:val="20"/>
          <w:szCs w:val="20"/>
        </w:rPr>
        <w:t>A Correlation Analysis between Learner Birth Year and Learner Engagement Score was performed, the results of which are shown in Table 1.</w:t>
      </w:r>
    </w:p>
    <w:p w:rsidR="007D0720" w:rsidRDefault="007E26B5">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1905</wp:posOffset>
            </wp:positionH>
            <wp:positionV relativeFrom="paragraph">
              <wp:posOffset>60960</wp:posOffset>
            </wp:positionV>
            <wp:extent cx="3206750" cy="1206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blip>
                    <a:srcRect/>
                    <a:stretch>
                      <a:fillRect/>
                    </a:stretch>
                  </pic:blipFill>
                  <pic:spPr bwMode="auto">
                    <a:xfrm>
                      <a:off x="0" y="0"/>
                      <a:ext cx="3206750" cy="12065"/>
                    </a:xfrm>
                    <a:prstGeom prst="rect">
                      <a:avLst/>
                    </a:prstGeom>
                    <a:noFill/>
                  </pic:spPr>
                </pic:pic>
              </a:graphicData>
            </a:graphic>
          </wp:anchor>
        </w:drawing>
      </w:r>
    </w:p>
    <w:p w:rsidR="007D0720" w:rsidRDefault="007D0720">
      <w:pPr>
        <w:spacing w:line="23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40"/>
        <w:gridCol w:w="1380"/>
        <w:gridCol w:w="1940"/>
      </w:tblGrid>
      <w:tr w:rsidR="007D0720">
        <w:trPr>
          <w:trHeight w:val="261"/>
        </w:trPr>
        <w:tc>
          <w:tcPr>
            <w:tcW w:w="1740" w:type="dxa"/>
            <w:vAlign w:val="bottom"/>
          </w:tcPr>
          <w:p w:rsidR="007D0720" w:rsidRDefault="007D0720"/>
        </w:tc>
        <w:tc>
          <w:tcPr>
            <w:tcW w:w="1380" w:type="dxa"/>
            <w:vAlign w:val="bottom"/>
          </w:tcPr>
          <w:p w:rsidR="007D0720" w:rsidRDefault="007E26B5">
            <w:pPr>
              <w:ind w:left="120"/>
              <w:rPr>
                <w:sz w:val="20"/>
                <w:szCs w:val="20"/>
              </w:rPr>
            </w:pPr>
            <w:r>
              <w:rPr>
                <w:rFonts w:eastAsia="Times New Roman"/>
                <w:i/>
                <w:iCs/>
                <w:sz w:val="20"/>
                <w:szCs w:val="20"/>
              </w:rPr>
              <w:t>Birth Year</w:t>
            </w:r>
          </w:p>
        </w:tc>
        <w:tc>
          <w:tcPr>
            <w:tcW w:w="1940" w:type="dxa"/>
            <w:vAlign w:val="bottom"/>
          </w:tcPr>
          <w:p w:rsidR="007D0720" w:rsidRDefault="007E26B5">
            <w:pPr>
              <w:ind w:left="140"/>
              <w:rPr>
                <w:sz w:val="20"/>
                <w:szCs w:val="20"/>
              </w:rPr>
            </w:pPr>
            <w:r>
              <w:rPr>
                <w:rFonts w:eastAsia="Times New Roman"/>
                <w:i/>
                <w:iCs/>
                <w:sz w:val="20"/>
                <w:szCs w:val="20"/>
              </w:rPr>
              <w:t>Engagement Score</w:t>
            </w:r>
          </w:p>
        </w:tc>
      </w:tr>
      <w:tr w:rsidR="007D0720">
        <w:trPr>
          <w:trHeight w:val="108"/>
        </w:trPr>
        <w:tc>
          <w:tcPr>
            <w:tcW w:w="1740" w:type="dxa"/>
            <w:tcBorders>
              <w:bottom w:val="single" w:sz="8" w:space="0" w:color="auto"/>
            </w:tcBorders>
            <w:vAlign w:val="bottom"/>
          </w:tcPr>
          <w:p w:rsidR="007D0720" w:rsidRDefault="007D0720">
            <w:pPr>
              <w:rPr>
                <w:sz w:val="9"/>
                <w:szCs w:val="9"/>
              </w:rPr>
            </w:pPr>
          </w:p>
        </w:tc>
        <w:tc>
          <w:tcPr>
            <w:tcW w:w="1380" w:type="dxa"/>
            <w:tcBorders>
              <w:bottom w:val="single" w:sz="8" w:space="0" w:color="auto"/>
            </w:tcBorders>
            <w:vAlign w:val="bottom"/>
          </w:tcPr>
          <w:p w:rsidR="007D0720" w:rsidRDefault="007D0720">
            <w:pPr>
              <w:rPr>
                <w:sz w:val="9"/>
                <w:szCs w:val="9"/>
              </w:rPr>
            </w:pPr>
          </w:p>
        </w:tc>
        <w:tc>
          <w:tcPr>
            <w:tcW w:w="1940" w:type="dxa"/>
            <w:tcBorders>
              <w:bottom w:val="single" w:sz="8" w:space="0" w:color="auto"/>
            </w:tcBorders>
            <w:vAlign w:val="bottom"/>
          </w:tcPr>
          <w:p w:rsidR="007D0720" w:rsidRDefault="007D0720">
            <w:pPr>
              <w:rPr>
                <w:sz w:val="9"/>
                <w:szCs w:val="9"/>
              </w:rPr>
            </w:pPr>
          </w:p>
        </w:tc>
      </w:tr>
      <w:tr w:rsidR="007D0720">
        <w:trPr>
          <w:trHeight w:val="247"/>
        </w:trPr>
        <w:tc>
          <w:tcPr>
            <w:tcW w:w="1740" w:type="dxa"/>
            <w:vAlign w:val="bottom"/>
          </w:tcPr>
          <w:p w:rsidR="007D0720" w:rsidRDefault="007E26B5">
            <w:pPr>
              <w:ind w:left="120"/>
              <w:rPr>
                <w:sz w:val="20"/>
                <w:szCs w:val="20"/>
              </w:rPr>
            </w:pPr>
            <w:r>
              <w:rPr>
                <w:rFonts w:eastAsia="Times New Roman"/>
                <w:sz w:val="20"/>
                <w:szCs w:val="20"/>
              </w:rPr>
              <w:t>Birth Year</w:t>
            </w:r>
          </w:p>
        </w:tc>
        <w:tc>
          <w:tcPr>
            <w:tcW w:w="1380" w:type="dxa"/>
            <w:vAlign w:val="bottom"/>
          </w:tcPr>
          <w:p w:rsidR="007D0720" w:rsidRDefault="007E26B5">
            <w:pPr>
              <w:ind w:left="120"/>
              <w:rPr>
                <w:sz w:val="20"/>
                <w:szCs w:val="20"/>
              </w:rPr>
            </w:pPr>
            <w:r>
              <w:rPr>
                <w:rFonts w:eastAsia="Times New Roman"/>
                <w:sz w:val="20"/>
                <w:szCs w:val="20"/>
              </w:rPr>
              <w:t>1</w:t>
            </w:r>
          </w:p>
        </w:tc>
        <w:tc>
          <w:tcPr>
            <w:tcW w:w="1940" w:type="dxa"/>
            <w:vAlign w:val="bottom"/>
          </w:tcPr>
          <w:p w:rsidR="007D0720" w:rsidRDefault="007D0720">
            <w:pPr>
              <w:rPr>
                <w:sz w:val="21"/>
                <w:szCs w:val="21"/>
              </w:rPr>
            </w:pPr>
          </w:p>
        </w:tc>
      </w:tr>
      <w:tr w:rsidR="007D0720">
        <w:trPr>
          <w:trHeight w:val="336"/>
        </w:trPr>
        <w:tc>
          <w:tcPr>
            <w:tcW w:w="1740" w:type="dxa"/>
            <w:vAlign w:val="bottom"/>
          </w:tcPr>
          <w:p w:rsidR="007D0720" w:rsidRDefault="007E26B5">
            <w:pPr>
              <w:ind w:left="120"/>
              <w:rPr>
                <w:sz w:val="20"/>
                <w:szCs w:val="20"/>
              </w:rPr>
            </w:pPr>
            <w:r>
              <w:rPr>
                <w:rFonts w:eastAsia="Times New Roman"/>
                <w:sz w:val="20"/>
                <w:szCs w:val="20"/>
              </w:rPr>
              <w:t>Engagement Score</w:t>
            </w:r>
          </w:p>
        </w:tc>
        <w:tc>
          <w:tcPr>
            <w:tcW w:w="1380" w:type="dxa"/>
            <w:vAlign w:val="bottom"/>
          </w:tcPr>
          <w:p w:rsidR="007D0720" w:rsidRDefault="007E26B5">
            <w:pPr>
              <w:ind w:left="120"/>
              <w:rPr>
                <w:sz w:val="20"/>
                <w:szCs w:val="20"/>
              </w:rPr>
            </w:pPr>
            <w:r>
              <w:rPr>
                <w:rFonts w:eastAsia="Times New Roman"/>
                <w:sz w:val="20"/>
                <w:szCs w:val="20"/>
              </w:rPr>
              <w:t>-0.120259825</w:t>
            </w:r>
          </w:p>
        </w:tc>
        <w:tc>
          <w:tcPr>
            <w:tcW w:w="1940" w:type="dxa"/>
            <w:vAlign w:val="bottom"/>
          </w:tcPr>
          <w:p w:rsidR="007D0720" w:rsidRDefault="007E26B5">
            <w:pPr>
              <w:ind w:left="140"/>
              <w:rPr>
                <w:sz w:val="20"/>
                <w:szCs w:val="20"/>
              </w:rPr>
            </w:pPr>
            <w:r>
              <w:rPr>
                <w:rFonts w:eastAsia="Times New Roman"/>
                <w:sz w:val="20"/>
                <w:szCs w:val="20"/>
              </w:rPr>
              <w:t>1</w:t>
            </w:r>
          </w:p>
        </w:tc>
      </w:tr>
    </w:tbl>
    <w:p w:rsidR="007D0720" w:rsidRDefault="007E26B5">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-6350</wp:posOffset>
            </wp:positionH>
            <wp:positionV relativeFrom="paragraph">
              <wp:posOffset>68580</wp:posOffset>
            </wp:positionV>
            <wp:extent cx="3215640" cy="120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blip>
                    <a:srcRect/>
                    <a:stretch>
                      <a:fillRect/>
                    </a:stretch>
                  </pic:blipFill>
                  <pic:spPr bwMode="auto">
                    <a:xfrm>
                      <a:off x="0" y="0"/>
                      <a:ext cx="3215640" cy="12065"/>
                    </a:xfrm>
                    <a:prstGeom prst="rect">
                      <a:avLst/>
                    </a:prstGeom>
                    <a:noFill/>
                  </pic:spPr>
                </pic:pic>
              </a:graphicData>
            </a:graphic>
          </wp:anchor>
        </w:drawing>
      </w:r>
    </w:p>
    <w:p w:rsidR="007D0720" w:rsidRDefault="007D0720">
      <w:pPr>
        <w:spacing w:line="114" w:lineRule="exact"/>
        <w:rPr>
          <w:sz w:val="20"/>
          <w:szCs w:val="20"/>
        </w:rPr>
      </w:pPr>
    </w:p>
    <w:p w:rsidR="007D0720" w:rsidRDefault="007D0720">
      <w:pPr>
        <w:sectPr w:rsidR="007D0720">
          <w:pgSz w:w="12240" w:h="15840"/>
          <w:pgMar w:top="823" w:right="940" w:bottom="1083" w:left="1078" w:header="0" w:footer="0" w:gutter="0"/>
          <w:cols w:num="2" w:space="720" w:equalWidth="0">
            <w:col w:w="4822" w:space="320"/>
            <w:col w:w="5080"/>
          </w:cols>
        </w:sectPr>
      </w:pPr>
    </w:p>
    <w:p w:rsidR="007D0720" w:rsidRDefault="007E26B5">
      <w:pPr>
        <w:tabs>
          <w:tab w:val="left" w:pos="5782"/>
          <w:tab w:val="left" w:pos="6042"/>
          <w:tab w:val="left" w:pos="7062"/>
          <w:tab w:val="left" w:pos="7822"/>
          <w:tab w:val="left" w:pos="8162"/>
          <w:tab w:val="left" w:pos="8742"/>
          <w:tab w:val="left" w:pos="9282"/>
          <w:tab w:val="left" w:pos="9762"/>
        </w:tabs>
        <w:ind w:left="5262"/>
        <w:rPr>
          <w:sz w:val="20"/>
          <w:szCs w:val="20"/>
        </w:rPr>
      </w:pPr>
      <w:r>
        <w:rPr>
          <w:rFonts w:eastAsia="Times New Roman"/>
          <w:b/>
          <w:bCs/>
          <w:sz w:val="18"/>
          <w:szCs w:val="18"/>
        </w:rPr>
        <w:lastRenderedPageBreak/>
        <w:t>Table</w:t>
      </w:r>
      <w:r>
        <w:rPr>
          <w:rFonts w:eastAsia="Times New Roman"/>
          <w:b/>
          <w:bCs/>
          <w:sz w:val="18"/>
          <w:szCs w:val="18"/>
        </w:rPr>
        <w:tab/>
        <w:t>1.</w:t>
      </w:r>
      <w:r>
        <w:rPr>
          <w:rFonts w:eastAsia="Times New Roman"/>
          <w:b/>
          <w:bCs/>
          <w:sz w:val="18"/>
          <w:szCs w:val="18"/>
        </w:rPr>
        <w:tab/>
        <w:t>Correlation</w:t>
      </w:r>
      <w:r>
        <w:rPr>
          <w:rFonts w:eastAsia="Times New Roman"/>
          <w:b/>
          <w:bCs/>
          <w:sz w:val="18"/>
          <w:szCs w:val="18"/>
        </w:rPr>
        <w:tab/>
        <w:t>Analysis</w:t>
      </w:r>
      <w:r>
        <w:rPr>
          <w:rFonts w:eastAsia="Times New Roman"/>
          <w:b/>
          <w:bCs/>
          <w:sz w:val="18"/>
          <w:szCs w:val="18"/>
        </w:rPr>
        <w:tab/>
        <w:t>for</w:t>
      </w:r>
      <w:r>
        <w:rPr>
          <w:rFonts w:eastAsia="Times New Roman"/>
          <w:b/>
          <w:bCs/>
          <w:sz w:val="18"/>
          <w:szCs w:val="18"/>
        </w:rPr>
        <w:tab/>
        <w:t>Learn</w:t>
      </w:r>
      <w:r>
        <w:rPr>
          <w:rFonts w:eastAsia="Times New Roman"/>
          <w:b/>
          <w:bCs/>
          <w:sz w:val="18"/>
          <w:szCs w:val="18"/>
        </w:rPr>
        <w:tab/>
        <w:t>Birth</w:t>
      </w:r>
      <w:r>
        <w:rPr>
          <w:rFonts w:eastAsia="Times New Roman"/>
          <w:b/>
          <w:bCs/>
          <w:sz w:val="18"/>
          <w:szCs w:val="18"/>
        </w:rPr>
        <w:tab/>
        <w:t>Year</w:t>
      </w:r>
      <w:r>
        <w:rPr>
          <w:rFonts w:eastAsia="Times New Roman"/>
          <w:b/>
          <w:bCs/>
          <w:sz w:val="18"/>
          <w:szCs w:val="18"/>
        </w:rPr>
        <w:tab/>
        <w:t>and</w:t>
      </w:r>
    </w:p>
    <w:p w:rsidR="007D0720" w:rsidRDefault="007D0720">
      <w:pPr>
        <w:spacing w:line="27" w:lineRule="exact"/>
        <w:rPr>
          <w:sz w:val="20"/>
          <w:szCs w:val="20"/>
        </w:rPr>
      </w:pPr>
    </w:p>
    <w:p w:rsidR="007D0720" w:rsidRDefault="007E26B5">
      <w:pPr>
        <w:ind w:left="5262"/>
        <w:rPr>
          <w:sz w:val="20"/>
          <w:szCs w:val="20"/>
        </w:rPr>
      </w:pPr>
      <w:r>
        <w:rPr>
          <w:rFonts w:eastAsia="Times New Roman"/>
          <w:b/>
          <w:bCs/>
          <w:sz w:val="18"/>
          <w:szCs w:val="18"/>
        </w:rPr>
        <w:t>Learner Engagement Score.</w:t>
      </w:r>
    </w:p>
    <w:p w:rsidR="007D0720" w:rsidRDefault="007D0720">
      <w:pPr>
        <w:sectPr w:rsidR="007D0720">
          <w:type w:val="continuous"/>
          <w:pgSz w:w="12240" w:h="15840"/>
          <w:pgMar w:top="823" w:right="940" w:bottom="1083" w:left="1078" w:header="0" w:footer="0" w:gutter="0"/>
          <w:cols w:space="720" w:equalWidth="0">
            <w:col w:w="10222"/>
          </w:cols>
        </w:sectPr>
      </w:pPr>
    </w:p>
    <w:p w:rsidR="007D0720" w:rsidRDefault="007E26B5">
      <w:pPr>
        <w:rPr>
          <w:sz w:val="20"/>
          <w:szCs w:val="20"/>
        </w:rPr>
      </w:pPr>
      <w:bookmarkStart w:id="7" w:name="page8"/>
      <w:bookmarkEnd w:id="7"/>
      <w:r>
        <w:rPr>
          <w:rFonts w:ascii="Arial" w:eastAsia="Arial" w:hAnsi="Arial" w:cs="Arial"/>
          <w:i/>
          <w:iCs/>
          <w:sz w:val="18"/>
          <w:szCs w:val="18"/>
        </w:rPr>
        <w:lastRenderedPageBreak/>
        <w:t>Observations: Level of Education</w:t>
      </w:r>
    </w:p>
    <w:p w:rsidR="007D0720" w:rsidRDefault="007E26B5">
      <w:pPr>
        <w:spacing w:line="20" w:lineRule="exact"/>
        <w:rPr>
          <w:sz w:val="20"/>
          <w:szCs w:val="20"/>
        </w:rPr>
      </w:pPr>
      <w:r>
        <w:rPr>
          <w:noProof/>
          <w:sz w:val="20"/>
          <w:szCs w:val="20"/>
        </w:rPr>
        <w:drawing>
          <wp:anchor distT="0" distB="0" distL="114300" distR="114300" simplePos="0" relativeHeight="251662336" behindDoc="1" locked="0" layoutInCell="0" allowOverlap="1">
            <wp:simplePos x="0" y="0"/>
            <wp:positionH relativeFrom="column">
              <wp:posOffset>3336290</wp:posOffset>
            </wp:positionH>
            <wp:positionV relativeFrom="paragraph">
              <wp:posOffset>-125095</wp:posOffset>
            </wp:positionV>
            <wp:extent cx="3313430" cy="31483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blip>
                    <a:srcRect/>
                    <a:stretch>
                      <a:fillRect/>
                    </a:stretch>
                  </pic:blipFill>
                  <pic:spPr bwMode="auto">
                    <a:xfrm>
                      <a:off x="0" y="0"/>
                      <a:ext cx="3313430" cy="3148330"/>
                    </a:xfrm>
                    <a:prstGeom prst="rect">
                      <a:avLst/>
                    </a:prstGeom>
                    <a:noFill/>
                  </pic:spPr>
                </pic:pic>
              </a:graphicData>
            </a:graphic>
          </wp:anchor>
        </w:drawing>
      </w:r>
    </w:p>
    <w:p w:rsidR="007D0720" w:rsidRDefault="007D0720">
      <w:pPr>
        <w:spacing w:line="94" w:lineRule="exact"/>
        <w:rPr>
          <w:sz w:val="20"/>
          <w:szCs w:val="20"/>
        </w:rPr>
      </w:pPr>
    </w:p>
    <w:p w:rsidR="007D0720" w:rsidRDefault="007E26B5">
      <w:pPr>
        <w:spacing w:line="249" w:lineRule="auto"/>
        <w:ind w:right="5260"/>
        <w:jc w:val="both"/>
        <w:rPr>
          <w:sz w:val="20"/>
          <w:szCs w:val="20"/>
        </w:rPr>
      </w:pPr>
      <w:r>
        <w:rPr>
          <w:rFonts w:eastAsia="Times New Roman"/>
          <w:sz w:val="20"/>
          <w:szCs w:val="20"/>
        </w:rPr>
        <w:t>The level</w:t>
      </w:r>
      <w:r>
        <w:rPr>
          <w:rFonts w:eastAsia="Times New Roman"/>
          <w:sz w:val="20"/>
          <w:szCs w:val="20"/>
        </w:rPr>
        <w:t xml:space="preserve"> of education seems to have a correlation to the learner engagement rates. Learners with Doctorate degrees have the highest engagement. Learners with Master’s &amp; Bachelor’s degrees have the next highest engagement.</w:t>
      </w:r>
    </w:p>
    <w:p w:rsidR="007D0720" w:rsidRDefault="007E26B5">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-635</wp:posOffset>
            </wp:positionH>
            <wp:positionV relativeFrom="paragraph">
              <wp:posOffset>64770</wp:posOffset>
            </wp:positionV>
            <wp:extent cx="3060065" cy="299593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blip>
                    <a:srcRect/>
                    <a:stretch>
                      <a:fillRect/>
                    </a:stretch>
                  </pic:blipFill>
                  <pic:spPr bwMode="auto">
                    <a:xfrm>
                      <a:off x="0" y="0"/>
                      <a:ext cx="3060065" cy="2995930"/>
                    </a:xfrm>
                    <a:prstGeom prst="rect">
                      <a:avLst/>
                    </a:prstGeom>
                    <a:noFill/>
                  </pic:spPr>
                </pic:pic>
              </a:graphicData>
            </a:graphic>
          </wp:anchor>
        </w:drawing>
      </w:r>
    </w:p>
    <w:p w:rsidR="007D0720" w:rsidRDefault="007D0720">
      <w:pPr>
        <w:sectPr w:rsidR="007D0720">
          <w:pgSz w:w="12240" w:h="15840"/>
          <w:pgMar w:top="1226" w:right="1080" w:bottom="1440" w:left="1080" w:header="0" w:footer="0" w:gutter="0"/>
          <w:cols w:space="720" w:equalWidth="0">
            <w:col w:w="10080"/>
          </w:cols>
        </w:sect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27" w:lineRule="exact"/>
        <w:rPr>
          <w:sz w:val="20"/>
          <w:szCs w:val="20"/>
        </w:rPr>
      </w:pPr>
    </w:p>
    <w:p w:rsidR="007D0720" w:rsidRDefault="007E26B5">
      <w:pPr>
        <w:spacing w:line="255" w:lineRule="auto"/>
        <w:jc w:val="both"/>
        <w:rPr>
          <w:sz w:val="20"/>
          <w:szCs w:val="20"/>
        </w:rPr>
      </w:pPr>
      <w:r>
        <w:rPr>
          <w:rFonts w:eastAsia="Times New Roman"/>
          <w:b/>
          <w:bCs/>
          <w:sz w:val="18"/>
          <w:szCs w:val="18"/>
        </w:rPr>
        <w:t>Figure 20a. Point Scatter Chart for Learner Engagement Score by Learner Education Level, sorted by highest mean Engagement Score.</w:t>
      </w:r>
    </w:p>
    <w:p w:rsidR="007D0720" w:rsidRDefault="007E26B5">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-635</wp:posOffset>
            </wp:positionH>
            <wp:positionV relativeFrom="paragraph">
              <wp:posOffset>58420</wp:posOffset>
            </wp:positionV>
            <wp:extent cx="3063240" cy="299593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blip>
                    <a:srcRect/>
                    <a:stretch>
                      <a:fillRect/>
                    </a:stretch>
                  </pic:blipFill>
                  <pic:spPr bwMode="auto">
                    <a:xfrm>
                      <a:off x="0" y="0"/>
                      <a:ext cx="3063240" cy="299593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03" w:lineRule="exact"/>
        <w:rPr>
          <w:sz w:val="20"/>
          <w:szCs w:val="20"/>
        </w:rPr>
      </w:pPr>
    </w:p>
    <w:p w:rsidR="007D0720" w:rsidRDefault="007E26B5">
      <w:pPr>
        <w:spacing w:line="255" w:lineRule="auto"/>
        <w:jc w:val="both"/>
        <w:rPr>
          <w:sz w:val="20"/>
          <w:szCs w:val="20"/>
        </w:rPr>
      </w:pPr>
      <w:r>
        <w:rPr>
          <w:rFonts w:eastAsia="Times New Roman"/>
          <w:b/>
          <w:bCs/>
          <w:sz w:val="18"/>
          <w:szCs w:val="18"/>
        </w:rPr>
        <w:t xml:space="preserve">Figure 20b. Violin Chart for Learner Engagement Score by Learner Education Level, sorted by highest </w:t>
      </w:r>
      <w:r>
        <w:rPr>
          <w:rFonts w:eastAsia="Times New Roman"/>
          <w:b/>
          <w:bCs/>
          <w:sz w:val="18"/>
          <w:szCs w:val="18"/>
        </w:rPr>
        <w:t>mean Engagement Score.</w:t>
      </w:r>
    </w:p>
    <w:p w:rsidR="007D0720" w:rsidRDefault="007E26B5">
      <w:pPr>
        <w:spacing w:line="20" w:lineRule="exact"/>
        <w:rPr>
          <w:sz w:val="20"/>
          <w:szCs w:val="20"/>
        </w:rPr>
      </w:pPr>
      <w:r>
        <w:rPr>
          <w:sz w:val="20"/>
          <w:szCs w:val="20"/>
        </w:rPr>
        <w:br w:type="column"/>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79" w:lineRule="exact"/>
        <w:rPr>
          <w:sz w:val="20"/>
          <w:szCs w:val="20"/>
        </w:rPr>
      </w:pPr>
    </w:p>
    <w:p w:rsidR="007D0720" w:rsidRDefault="007E26B5">
      <w:pPr>
        <w:spacing w:line="271" w:lineRule="auto"/>
        <w:ind w:left="6"/>
        <w:jc w:val="both"/>
        <w:rPr>
          <w:sz w:val="20"/>
          <w:szCs w:val="20"/>
        </w:rPr>
      </w:pPr>
      <w:r>
        <w:rPr>
          <w:rFonts w:eastAsia="Times New Roman"/>
          <w:b/>
          <w:bCs/>
          <w:sz w:val="18"/>
          <w:szCs w:val="18"/>
        </w:rPr>
        <w:t>Figure 20c. Box and Whisker Plat for Learner Engagement Score by Learner Education Level.</w:t>
      </w:r>
    </w:p>
    <w:p w:rsidR="007D0720" w:rsidRDefault="007D0720">
      <w:pPr>
        <w:spacing w:line="200" w:lineRule="exact"/>
        <w:rPr>
          <w:sz w:val="20"/>
          <w:szCs w:val="20"/>
        </w:rPr>
      </w:pPr>
    </w:p>
    <w:p w:rsidR="007D0720" w:rsidRDefault="007D0720">
      <w:pPr>
        <w:spacing w:line="214" w:lineRule="exact"/>
        <w:rPr>
          <w:sz w:val="20"/>
          <w:szCs w:val="20"/>
        </w:rPr>
      </w:pPr>
    </w:p>
    <w:p w:rsidR="007D0720" w:rsidRDefault="007E26B5">
      <w:pPr>
        <w:spacing w:line="243" w:lineRule="auto"/>
        <w:ind w:left="6"/>
        <w:jc w:val="both"/>
        <w:rPr>
          <w:sz w:val="20"/>
          <w:szCs w:val="20"/>
        </w:rPr>
      </w:pPr>
      <w:r>
        <w:rPr>
          <w:rFonts w:eastAsia="Times New Roman"/>
          <w:sz w:val="20"/>
          <w:szCs w:val="20"/>
        </w:rPr>
        <w:t>Figures 20a, 20b &amp; 20c show distribution of learner engagement categorized by Learner’s previous education level. Figures</w:t>
      </w:r>
      <w:r>
        <w:rPr>
          <w:rFonts w:eastAsia="Times New Roman"/>
          <w:sz w:val="20"/>
          <w:szCs w:val="20"/>
        </w:rPr>
        <w:t xml:space="preserve"> are sorted in order of decreasing average engagement. Figure 20c shows that the highest number of engaged learners already possess Bachelor’s Degrees, Master’s Degrees and High School Degrees. However, the highest average engagement score is of learners w</w:t>
      </w:r>
      <w:r>
        <w:rPr>
          <w:rFonts w:eastAsia="Times New Roman"/>
          <w:sz w:val="20"/>
          <w:szCs w:val="20"/>
        </w:rPr>
        <w:t>ith Doctorate Degrees. Another interesting observation is that the median engagement score was completely flat for different levels of education, even though mean engagement scores declined as the education levels decreased.</w:t>
      </w:r>
    </w:p>
    <w:p w:rsidR="007D0720" w:rsidRDefault="007D0720">
      <w:pPr>
        <w:spacing w:line="200" w:lineRule="exact"/>
        <w:rPr>
          <w:sz w:val="20"/>
          <w:szCs w:val="20"/>
        </w:rPr>
      </w:pPr>
    </w:p>
    <w:p w:rsidR="007D0720" w:rsidRDefault="007D0720">
      <w:pPr>
        <w:spacing w:line="242" w:lineRule="exact"/>
        <w:rPr>
          <w:sz w:val="20"/>
          <w:szCs w:val="20"/>
        </w:rPr>
      </w:pPr>
    </w:p>
    <w:p w:rsidR="007D0720" w:rsidRDefault="007E26B5">
      <w:pPr>
        <w:ind w:left="6"/>
        <w:rPr>
          <w:sz w:val="20"/>
          <w:szCs w:val="20"/>
        </w:rPr>
      </w:pPr>
      <w:r>
        <w:rPr>
          <w:rFonts w:ascii="Arial" w:eastAsia="Arial" w:hAnsi="Arial" w:cs="Arial"/>
          <w:i/>
          <w:iCs/>
          <w:sz w:val="18"/>
          <w:szCs w:val="18"/>
        </w:rPr>
        <w:t>Observations: Country</w:t>
      </w:r>
    </w:p>
    <w:p w:rsidR="007D0720" w:rsidRDefault="007D0720">
      <w:pPr>
        <w:spacing w:line="114" w:lineRule="exact"/>
        <w:rPr>
          <w:sz w:val="20"/>
          <w:szCs w:val="20"/>
        </w:rPr>
      </w:pPr>
    </w:p>
    <w:p w:rsidR="007D0720" w:rsidRDefault="007E26B5">
      <w:pPr>
        <w:spacing w:line="245" w:lineRule="auto"/>
        <w:ind w:left="6"/>
        <w:jc w:val="both"/>
        <w:rPr>
          <w:sz w:val="20"/>
          <w:szCs w:val="20"/>
        </w:rPr>
      </w:pPr>
      <w:r>
        <w:rPr>
          <w:rFonts w:eastAsia="Times New Roman"/>
          <w:sz w:val="20"/>
          <w:szCs w:val="20"/>
        </w:rPr>
        <w:t xml:space="preserve">In </w:t>
      </w:r>
      <w:r>
        <w:rPr>
          <w:rFonts w:eastAsia="Times New Roman"/>
          <w:sz w:val="20"/>
          <w:szCs w:val="20"/>
        </w:rPr>
        <w:t>order to analyze the learner engagement data from 162 different countries, I analyzed the data from 3 different vantage points:</w:t>
      </w:r>
    </w:p>
    <w:p w:rsidR="007D0720" w:rsidRDefault="007D0720">
      <w:pPr>
        <w:spacing w:line="1" w:lineRule="exact"/>
        <w:rPr>
          <w:sz w:val="20"/>
          <w:szCs w:val="20"/>
        </w:rPr>
      </w:pPr>
    </w:p>
    <w:p w:rsidR="007D0720" w:rsidRDefault="007E26B5">
      <w:pPr>
        <w:numPr>
          <w:ilvl w:val="0"/>
          <w:numId w:val="16"/>
        </w:numPr>
        <w:tabs>
          <w:tab w:val="left" w:pos="366"/>
        </w:tabs>
        <w:ind w:left="366" w:hanging="366"/>
        <w:rPr>
          <w:rFonts w:ascii="Symbol" w:eastAsia="Symbol" w:hAnsi="Symbol" w:cs="Symbol"/>
          <w:sz w:val="20"/>
          <w:szCs w:val="20"/>
        </w:rPr>
      </w:pPr>
      <w:r>
        <w:rPr>
          <w:rFonts w:eastAsia="Times New Roman"/>
          <w:sz w:val="20"/>
          <w:szCs w:val="20"/>
        </w:rPr>
        <w:t>Top 10 Average Engagement Countries</w:t>
      </w:r>
    </w:p>
    <w:p w:rsidR="007D0720" w:rsidRDefault="007D0720">
      <w:pPr>
        <w:spacing w:line="12" w:lineRule="exact"/>
        <w:rPr>
          <w:rFonts w:ascii="Symbol" w:eastAsia="Symbol" w:hAnsi="Symbol" w:cs="Symbol"/>
          <w:sz w:val="20"/>
          <w:szCs w:val="20"/>
        </w:rPr>
      </w:pPr>
    </w:p>
    <w:p w:rsidR="007D0720" w:rsidRDefault="007E26B5">
      <w:pPr>
        <w:numPr>
          <w:ilvl w:val="0"/>
          <w:numId w:val="16"/>
        </w:numPr>
        <w:tabs>
          <w:tab w:val="left" w:pos="366"/>
        </w:tabs>
        <w:ind w:left="366" w:hanging="366"/>
        <w:rPr>
          <w:rFonts w:ascii="Symbol" w:eastAsia="Symbol" w:hAnsi="Symbol" w:cs="Symbol"/>
          <w:sz w:val="20"/>
          <w:szCs w:val="20"/>
        </w:rPr>
      </w:pPr>
      <w:r>
        <w:rPr>
          <w:rFonts w:eastAsia="Times New Roman"/>
          <w:sz w:val="20"/>
          <w:szCs w:val="20"/>
        </w:rPr>
        <w:t>Lowest 10 Average Engagement Countries</w:t>
      </w:r>
    </w:p>
    <w:p w:rsidR="007D0720" w:rsidRDefault="007E26B5">
      <w:pPr>
        <w:numPr>
          <w:ilvl w:val="0"/>
          <w:numId w:val="16"/>
        </w:numPr>
        <w:tabs>
          <w:tab w:val="left" w:pos="366"/>
        </w:tabs>
        <w:ind w:left="366" w:hanging="366"/>
        <w:rPr>
          <w:rFonts w:ascii="Symbol" w:eastAsia="Symbol" w:hAnsi="Symbol" w:cs="Symbol"/>
          <w:sz w:val="20"/>
          <w:szCs w:val="20"/>
        </w:rPr>
      </w:pPr>
      <w:r>
        <w:rPr>
          <w:rFonts w:eastAsia="Times New Roman"/>
          <w:sz w:val="20"/>
          <w:szCs w:val="20"/>
        </w:rPr>
        <w:t>Top 10 Total Enrollment Countries</w:t>
      </w:r>
    </w:p>
    <w:p w:rsidR="007D0720" w:rsidRDefault="007D0720">
      <w:pPr>
        <w:spacing w:line="323" w:lineRule="exact"/>
        <w:rPr>
          <w:sz w:val="20"/>
          <w:szCs w:val="20"/>
        </w:rPr>
      </w:pPr>
    </w:p>
    <w:p w:rsidR="007D0720" w:rsidRDefault="007E26B5">
      <w:pPr>
        <w:spacing w:line="245" w:lineRule="auto"/>
        <w:ind w:left="6"/>
        <w:jc w:val="both"/>
        <w:rPr>
          <w:sz w:val="20"/>
          <w:szCs w:val="20"/>
        </w:rPr>
      </w:pPr>
      <w:r>
        <w:rPr>
          <w:rFonts w:eastAsia="Times New Roman"/>
          <w:sz w:val="20"/>
          <w:szCs w:val="20"/>
        </w:rPr>
        <w:t xml:space="preserve">Figure 8 shows </w:t>
      </w:r>
      <w:r>
        <w:rPr>
          <w:rFonts w:eastAsia="Times New Roman"/>
          <w:sz w:val="20"/>
          <w:szCs w:val="20"/>
        </w:rPr>
        <w:t>the Top 10 Countries with the highest average learner engagement, along with the number of engaged learners from those specific countries. Most of the top 10 most engaged countries are in Europe, but a couple are in Asia (Taiwan &amp; Bangladesh), and 1 in Sou</w:t>
      </w:r>
      <w:r>
        <w:rPr>
          <w:rFonts w:eastAsia="Times New Roman"/>
          <w:sz w:val="20"/>
          <w:szCs w:val="20"/>
        </w:rPr>
        <w:t>th America (Chile).</w:t>
      </w:r>
    </w:p>
    <w:p w:rsidR="007D0720" w:rsidRDefault="007D0720">
      <w:pPr>
        <w:sectPr w:rsidR="007D0720">
          <w:type w:val="continuous"/>
          <w:pgSz w:w="12240" w:h="15840"/>
          <w:pgMar w:top="1226" w:right="1080" w:bottom="1440" w:left="1080" w:header="0" w:footer="0" w:gutter="0"/>
          <w:cols w:num="2" w:space="720" w:equalWidth="0">
            <w:col w:w="4820" w:space="434"/>
            <w:col w:w="4826"/>
          </w:cols>
        </w:sectPr>
      </w:pPr>
    </w:p>
    <w:p w:rsidR="007D0720" w:rsidRDefault="007E26B5">
      <w:pPr>
        <w:spacing w:line="246" w:lineRule="auto"/>
        <w:ind w:right="5260"/>
        <w:jc w:val="both"/>
        <w:rPr>
          <w:sz w:val="20"/>
          <w:szCs w:val="20"/>
        </w:rPr>
      </w:pPr>
      <w:bookmarkStart w:id="8" w:name="page9"/>
      <w:bookmarkEnd w:id="8"/>
      <w:r>
        <w:rPr>
          <w:rFonts w:eastAsia="Times New Roman"/>
          <w:sz w:val="20"/>
          <w:szCs w:val="20"/>
        </w:rPr>
        <w:lastRenderedPageBreak/>
        <w:t>Figures 21a, 21b &amp; 21c show different plots for the top 10 Countries with the highest average engagement. The plots show the engagement score distribution for different countries in decreasing order, however, th</w:t>
      </w:r>
      <w:r>
        <w:rPr>
          <w:rFonts w:eastAsia="Times New Roman"/>
          <w:sz w:val="20"/>
          <w:szCs w:val="20"/>
        </w:rPr>
        <w:t>ere are no obvious patterns in median and quartile variations for those countries.</w:t>
      </w:r>
    </w:p>
    <w:p w:rsidR="007D0720" w:rsidRDefault="007E26B5">
      <w:pPr>
        <w:spacing w:line="20" w:lineRule="exact"/>
        <w:rPr>
          <w:sz w:val="20"/>
          <w:szCs w:val="20"/>
        </w:rPr>
      </w:pPr>
      <w:r>
        <w:rPr>
          <w:noProof/>
          <w:sz w:val="20"/>
          <w:szCs w:val="20"/>
        </w:rPr>
        <w:drawing>
          <wp:anchor distT="0" distB="0" distL="114300" distR="114300" simplePos="0" relativeHeight="251665408" behindDoc="1" locked="0" layoutInCell="0" allowOverlap="1">
            <wp:simplePos x="0" y="0"/>
            <wp:positionH relativeFrom="column">
              <wp:posOffset>-635</wp:posOffset>
            </wp:positionH>
            <wp:positionV relativeFrom="paragraph">
              <wp:posOffset>-888365</wp:posOffset>
            </wp:positionV>
            <wp:extent cx="6397625" cy="39319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blip>
                    <a:srcRect/>
                    <a:stretch>
                      <a:fillRect/>
                    </a:stretch>
                  </pic:blipFill>
                  <pic:spPr bwMode="auto">
                    <a:xfrm>
                      <a:off x="0" y="0"/>
                      <a:ext cx="6397625" cy="3931920"/>
                    </a:xfrm>
                    <a:prstGeom prst="rect">
                      <a:avLst/>
                    </a:prstGeom>
                    <a:noFill/>
                  </pic:spPr>
                </pic:pic>
              </a:graphicData>
            </a:graphic>
          </wp:anchor>
        </w:drawing>
      </w:r>
    </w:p>
    <w:p w:rsidR="007D0720" w:rsidRDefault="007D0720">
      <w:pPr>
        <w:sectPr w:rsidR="007D0720">
          <w:pgSz w:w="12240" w:h="15840"/>
          <w:pgMar w:top="1220" w:right="1080" w:bottom="1440" w:left="1080" w:header="0" w:footer="0" w:gutter="0"/>
          <w:cols w:space="720" w:equalWidth="0">
            <w:col w:w="10080"/>
          </w:cols>
        </w:sect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99" w:lineRule="exact"/>
        <w:rPr>
          <w:sz w:val="20"/>
          <w:szCs w:val="20"/>
        </w:rPr>
      </w:pPr>
    </w:p>
    <w:p w:rsidR="007D0720" w:rsidRDefault="007E26B5">
      <w:pPr>
        <w:spacing w:line="271" w:lineRule="auto"/>
        <w:jc w:val="both"/>
        <w:rPr>
          <w:sz w:val="20"/>
          <w:szCs w:val="20"/>
        </w:rPr>
      </w:pPr>
      <w:r>
        <w:rPr>
          <w:rFonts w:eastAsia="Times New Roman"/>
          <w:b/>
          <w:bCs/>
          <w:sz w:val="18"/>
          <w:szCs w:val="18"/>
        </w:rPr>
        <w:t>Figure 21a. Scatter Plot for Learner Engagement Score by Country, for Countries with Top 10 highest mean engagement.</w:t>
      </w:r>
    </w:p>
    <w:p w:rsidR="007D0720" w:rsidRDefault="007E26B5">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-635</wp:posOffset>
            </wp:positionH>
            <wp:positionV relativeFrom="paragraph">
              <wp:posOffset>49530</wp:posOffset>
            </wp:positionV>
            <wp:extent cx="3060065" cy="28130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blip>
                    <a:srcRect/>
                    <a:stretch>
                      <a:fillRect/>
                    </a:stretch>
                  </pic:blipFill>
                  <pic:spPr bwMode="auto">
                    <a:xfrm>
                      <a:off x="0" y="0"/>
                      <a:ext cx="3060065" cy="281305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5" w:lineRule="exact"/>
        <w:rPr>
          <w:sz w:val="20"/>
          <w:szCs w:val="20"/>
        </w:rPr>
      </w:pPr>
    </w:p>
    <w:p w:rsidR="007D0720" w:rsidRDefault="007E26B5">
      <w:pPr>
        <w:spacing w:line="255" w:lineRule="auto"/>
        <w:jc w:val="both"/>
        <w:rPr>
          <w:sz w:val="20"/>
          <w:szCs w:val="20"/>
        </w:rPr>
      </w:pPr>
      <w:r>
        <w:rPr>
          <w:rFonts w:eastAsia="Times New Roman"/>
          <w:b/>
          <w:bCs/>
          <w:sz w:val="18"/>
          <w:szCs w:val="18"/>
        </w:rPr>
        <w:t>Figure 21b. Box and whisker Plot for Learner Engagement Score by Country, for Countries with Top 10 highest mean engagement.</w:t>
      </w:r>
    </w:p>
    <w:p w:rsidR="007D0720" w:rsidRDefault="007E26B5">
      <w:pPr>
        <w:spacing w:line="20" w:lineRule="exact"/>
        <w:rPr>
          <w:sz w:val="20"/>
          <w:szCs w:val="20"/>
        </w:rPr>
      </w:pPr>
      <w:r>
        <w:rPr>
          <w:sz w:val="20"/>
          <w:szCs w:val="20"/>
        </w:rPr>
        <w:br w:type="column"/>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46" w:lineRule="exact"/>
        <w:rPr>
          <w:sz w:val="20"/>
          <w:szCs w:val="20"/>
        </w:rPr>
      </w:pPr>
    </w:p>
    <w:p w:rsidR="007D0720" w:rsidRDefault="007E26B5">
      <w:pPr>
        <w:spacing w:line="271" w:lineRule="auto"/>
        <w:jc w:val="both"/>
        <w:rPr>
          <w:sz w:val="20"/>
          <w:szCs w:val="20"/>
        </w:rPr>
      </w:pPr>
      <w:r>
        <w:rPr>
          <w:rFonts w:eastAsia="Times New Roman"/>
          <w:b/>
          <w:bCs/>
          <w:sz w:val="18"/>
          <w:szCs w:val="18"/>
        </w:rPr>
        <w:t xml:space="preserve">Figure 21c. Violin Plot for Learner Engagement Score by Country, for Countries with Top 10 highest mean </w:t>
      </w:r>
      <w:r>
        <w:rPr>
          <w:rFonts w:eastAsia="Times New Roman"/>
          <w:b/>
          <w:bCs/>
          <w:sz w:val="18"/>
          <w:szCs w:val="18"/>
        </w:rPr>
        <w:t>engagement.</w:t>
      </w:r>
    </w:p>
    <w:p w:rsidR="007D0720" w:rsidRDefault="007D0720">
      <w:pPr>
        <w:spacing w:line="68" w:lineRule="exact"/>
        <w:rPr>
          <w:sz w:val="20"/>
          <w:szCs w:val="20"/>
        </w:rPr>
      </w:pPr>
    </w:p>
    <w:p w:rsidR="007D0720" w:rsidRDefault="007E26B5">
      <w:pPr>
        <w:spacing w:line="248" w:lineRule="auto"/>
        <w:jc w:val="both"/>
        <w:rPr>
          <w:sz w:val="20"/>
          <w:szCs w:val="20"/>
        </w:rPr>
      </w:pPr>
      <w:r>
        <w:rPr>
          <w:rFonts w:eastAsia="Times New Roman"/>
          <w:sz w:val="20"/>
          <w:szCs w:val="20"/>
        </w:rPr>
        <w:t>Figures 22a, 22b &amp; 22c show the bottom 10 countries with the Lowest average learner engagement. The plots show the engagement score distribution for different countries in decreasing order.</w:t>
      </w:r>
    </w:p>
    <w:p w:rsidR="007D0720" w:rsidRDefault="007E26B5">
      <w:pPr>
        <w:spacing w:line="20" w:lineRule="exact"/>
        <w:rPr>
          <w:sz w:val="20"/>
          <w:szCs w:val="20"/>
        </w:rPr>
      </w:pPr>
      <w:r>
        <w:rPr>
          <w:noProof/>
          <w:sz w:val="20"/>
          <w:szCs w:val="20"/>
        </w:rPr>
        <w:drawing>
          <wp:anchor distT="0" distB="0" distL="114300" distR="114300" simplePos="0" relativeHeight="251667456" behindDoc="1" locked="0" layoutInCell="0" allowOverlap="1">
            <wp:simplePos x="0" y="0"/>
            <wp:positionH relativeFrom="column">
              <wp:posOffset>-3175</wp:posOffset>
            </wp:positionH>
            <wp:positionV relativeFrom="paragraph">
              <wp:posOffset>64135</wp:posOffset>
            </wp:positionV>
            <wp:extent cx="3060065" cy="280098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clrChange>
                        <a:clrFrom>
                          <a:srgbClr val="000000"/>
                        </a:clrFrom>
                        <a:clrTo>
                          <a:srgbClr val="000000">
                            <a:alpha val="0"/>
                          </a:srgbClr>
                        </a:clrTo>
                      </a:clrChange>
                      <a:extLst/>
                    </a:blip>
                    <a:srcRect/>
                    <a:stretch>
                      <a:fillRect/>
                    </a:stretch>
                  </pic:blipFill>
                  <pic:spPr bwMode="auto">
                    <a:xfrm>
                      <a:off x="0" y="0"/>
                      <a:ext cx="3060065" cy="2800985"/>
                    </a:xfrm>
                    <a:prstGeom prst="rect">
                      <a:avLst/>
                    </a:prstGeom>
                    <a:noFill/>
                  </pic:spPr>
                </pic:pic>
              </a:graphicData>
            </a:graphic>
          </wp:anchor>
        </w:drawing>
      </w:r>
      <w:r>
        <w:rPr>
          <w:noProof/>
          <w:sz w:val="20"/>
          <w:szCs w:val="20"/>
        </w:rPr>
        <w:drawing>
          <wp:anchor distT="0" distB="0" distL="114300" distR="114300" simplePos="0" relativeHeight="251668480" behindDoc="1" locked="0" layoutInCell="0" allowOverlap="1">
            <wp:simplePos x="0" y="0"/>
            <wp:positionH relativeFrom="column">
              <wp:posOffset>-3175</wp:posOffset>
            </wp:positionH>
            <wp:positionV relativeFrom="paragraph">
              <wp:posOffset>64135</wp:posOffset>
            </wp:positionV>
            <wp:extent cx="3060065" cy="280098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clrChange>
                        <a:clrFrom>
                          <a:srgbClr val="FFFFFF"/>
                        </a:clrFrom>
                        <a:clrTo>
                          <a:srgbClr val="FFFFFF">
                            <a:alpha val="0"/>
                          </a:srgbClr>
                        </a:clrTo>
                      </a:clrChange>
                      <a:extLst/>
                    </a:blip>
                    <a:srcRect/>
                    <a:stretch>
                      <a:fillRect/>
                    </a:stretch>
                  </pic:blipFill>
                  <pic:spPr bwMode="auto">
                    <a:xfrm>
                      <a:off x="0" y="0"/>
                      <a:ext cx="3060065" cy="2800985"/>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99" w:lineRule="exact"/>
        <w:rPr>
          <w:sz w:val="20"/>
          <w:szCs w:val="20"/>
        </w:rPr>
      </w:pPr>
    </w:p>
    <w:p w:rsidR="007D0720" w:rsidRDefault="007E26B5">
      <w:pPr>
        <w:spacing w:line="255" w:lineRule="auto"/>
        <w:jc w:val="both"/>
        <w:rPr>
          <w:sz w:val="20"/>
          <w:szCs w:val="20"/>
        </w:rPr>
      </w:pPr>
      <w:r>
        <w:rPr>
          <w:rFonts w:eastAsia="Times New Roman"/>
          <w:b/>
          <w:bCs/>
          <w:sz w:val="18"/>
          <w:szCs w:val="18"/>
        </w:rPr>
        <w:t>Figure 22a. Scatter Plot for</w:t>
      </w:r>
      <w:r>
        <w:rPr>
          <w:rFonts w:eastAsia="Times New Roman"/>
          <w:b/>
          <w:bCs/>
          <w:sz w:val="18"/>
          <w:szCs w:val="18"/>
        </w:rPr>
        <w:t xml:space="preserve"> Learner Engagement Score by Country, for Countries with Bottom 10 lowest mean engagement.</w:t>
      </w:r>
    </w:p>
    <w:p w:rsidR="007D0720" w:rsidRDefault="007D0720">
      <w:pPr>
        <w:sectPr w:rsidR="007D0720">
          <w:type w:val="continuous"/>
          <w:pgSz w:w="12240" w:h="15840"/>
          <w:pgMar w:top="1220" w:right="1080" w:bottom="1440" w:left="1080" w:header="0" w:footer="0" w:gutter="0"/>
          <w:cols w:num="2" w:space="720" w:equalWidth="0">
            <w:col w:w="4820" w:space="440"/>
            <w:col w:w="4820"/>
          </w:cols>
        </w:sectPr>
      </w:pPr>
    </w:p>
    <w:p w:rsidR="007D0720" w:rsidRDefault="007E26B5">
      <w:pPr>
        <w:spacing w:line="200" w:lineRule="exact"/>
        <w:rPr>
          <w:sz w:val="20"/>
          <w:szCs w:val="20"/>
        </w:rPr>
      </w:pPr>
      <w:bookmarkStart w:id="9" w:name="page10"/>
      <w:bookmarkEnd w:id="9"/>
      <w:r>
        <w:rPr>
          <w:noProof/>
          <w:sz w:val="20"/>
          <w:szCs w:val="20"/>
        </w:rPr>
        <w:lastRenderedPageBreak/>
        <w:drawing>
          <wp:anchor distT="0" distB="0" distL="114300" distR="114300" simplePos="0" relativeHeight="251669504" behindDoc="1" locked="0" layoutInCell="0" allowOverlap="1">
            <wp:simplePos x="0" y="0"/>
            <wp:positionH relativeFrom="page">
              <wp:posOffset>684530</wp:posOffset>
            </wp:positionH>
            <wp:positionV relativeFrom="page">
              <wp:posOffset>784860</wp:posOffset>
            </wp:positionV>
            <wp:extent cx="3060065" cy="28498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3060065" cy="284988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91" w:lineRule="exact"/>
        <w:rPr>
          <w:sz w:val="20"/>
          <w:szCs w:val="20"/>
        </w:rPr>
      </w:pPr>
    </w:p>
    <w:p w:rsidR="007D0720" w:rsidRDefault="007E26B5">
      <w:pPr>
        <w:spacing w:line="255" w:lineRule="auto"/>
        <w:jc w:val="both"/>
        <w:rPr>
          <w:sz w:val="20"/>
          <w:szCs w:val="20"/>
        </w:rPr>
      </w:pPr>
      <w:r>
        <w:rPr>
          <w:rFonts w:eastAsia="Times New Roman"/>
          <w:b/>
          <w:bCs/>
          <w:sz w:val="18"/>
          <w:szCs w:val="18"/>
        </w:rPr>
        <w:t>Figure 22b. Box and whisker Plot for Learner Engagement Score by Country, for Countries with Bottom 10 lowest mean eng</w:t>
      </w:r>
      <w:r>
        <w:rPr>
          <w:rFonts w:eastAsia="Times New Roman"/>
          <w:b/>
          <w:bCs/>
          <w:sz w:val="18"/>
          <w:szCs w:val="18"/>
        </w:rPr>
        <w:t>agement.</w:t>
      </w:r>
    </w:p>
    <w:p w:rsidR="007D0720" w:rsidRDefault="007E26B5">
      <w:pPr>
        <w:spacing w:line="20" w:lineRule="exact"/>
        <w:rPr>
          <w:sz w:val="20"/>
          <w:szCs w:val="20"/>
        </w:rPr>
      </w:pPr>
      <w:r>
        <w:rPr>
          <w:noProof/>
          <w:sz w:val="20"/>
          <w:szCs w:val="20"/>
        </w:rPr>
        <w:drawing>
          <wp:anchor distT="0" distB="0" distL="114300" distR="114300" simplePos="0" relativeHeight="251670528" behindDoc="1" locked="0" layoutInCell="0" allowOverlap="1">
            <wp:simplePos x="0" y="0"/>
            <wp:positionH relativeFrom="column">
              <wp:posOffset>-635</wp:posOffset>
            </wp:positionH>
            <wp:positionV relativeFrom="paragraph">
              <wp:posOffset>58420</wp:posOffset>
            </wp:positionV>
            <wp:extent cx="3060065" cy="279781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blip>
                    <a:srcRect/>
                    <a:stretch>
                      <a:fillRect/>
                    </a:stretch>
                  </pic:blipFill>
                  <pic:spPr bwMode="auto">
                    <a:xfrm>
                      <a:off x="0" y="0"/>
                      <a:ext cx="3060065" cy="279781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86" w:lineRule="exact"/>
        <w:rPr>
          <w:sz w:val="20"/>
          <w:szCs w:val="20"/>
        </w:rPr>
      </w:pPr>
    </w:p>
    <w:p w:rsidR="007D0720" w:rsidRDefault="007E26B5">
      <w:pPr>
        <w:spacing w:line="258" w:lineRule="auto"/>
        <w:jc w:val="both"/>
        <w:rPr>
          <w:sz w:val="20"/>
          <w:szCs w:val="20"/>
        </w:rPr>
      </w:pPr>
      <w:r>
        <w:rPr>
          <w:rFonts w:eastAsia="Times New Roman"/>
          <w:b/>
          <w:bCs/>
          <w:sz w:val="18"/>
          <w:szCs w:val="18"/>
        </w:rPr>
        <w:t>Figure 22c. Violin Plot for Learner Engagement Score by Country, for Countries with Bottom 10 lowest mean engagement.</w:t>
      </w:r>
    </w:p>
    <w:p w:rsidR="007D0720" w:rsidRDefault="007D0720">
      <w:pPr>
        <w:spacing w:line="200" w:lineRule="exact"/>
        <w:rPr>
          <w:sz w:val="20"/>
          <w:szCs w:val="20"/>
        </w:rPr>
      </w:pPr>
    </w:p>
    <w:p w:rsidR="007D0720" w:rsidRDefault="007D0720">
      <w:pPr>
        <w:spacing w:line="225" w:lineRule="exact"/>
        <w:rPr>
          <w:sz w:val="20"/>
          <w:szCs w:val="20"/>
        </w:rPr>
      </w:pPr>
    </w:p>
    <w:p w:rsidR="007D0720" w:rsidRDefault="007E26B5">
      <w:pPr>
        <w:spacing w:line="245" w:lineRule="auto"/>
        <w:jc w:val="both"/>
        <w:rPr>
          <w:sz w:val="20"/>
          <w:szCs w:val="20"/>
        </w:rPr>
      </w:pPr>
      <w:r>
        <w:rPr>
          <w:rFonts w:eastAsia="Times New Roman"/>
          <w:sz w:val="20"/>
          <w:szCs w:val="20"/>
        </w:rPr>
        <w:t xml:space="preserve">Figures 23a, 23b &amp; 23c show Learner Engagement for Countries with highest total enrollment. The plots </w:t>
      </w:r>
      <w:r>
        <w:rPr>
          <w:rFonts w:eastAsia="Times New Roman"/>
          <w:sz w:val="20"/>
          <w:szCs w:val="20"/>
        </w:rPr>
        <w:t>show the engagement score distribution for different countries in decreasing order. Figure 23b plot shows that the median engagement score is consistent for countries with high numbers of engaged enrolled learners.</w:t>
      </w:r>
    </w:p>
    <w:p w:rsidR="007D0720" w:rsidRDefault="007E26B5">
      <w:pPr>
        <w:spacing w:line="20" w:lineRule="exact"/>
        <w:rPr>
          <w:sz w:val="20"/>
          <w:szCs w:val="20"/>
        </w:rPr>
      </w:pPr>
      <w:r>
        <w:rPr>
          <w:sz w:val="20"/>
          <w:szCs w:val="20"/>
        </w:rPr>
        <w:br w:type="column"/>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57" w:lineRule="exact"/>
        <w:rPr>
          <w:sz w:val="20"/>
          <w:szCs w:val="20"/>
        </w:rPr>
      </w:pPr>
    </w:p>
    <w:p w:rsidR="007D0720" w:rsidRDefault="007E26B5">
      <w:pPr>
        <w:spacing w:line="271" w:lineRule="auto"/>
        <w:rPr>
          <w:sz w:val="20"/>
          <w:szCs w:val="20"/>
        </w:rPr>
      </w:pPr>
      <w:r>
        <w:rPr>
          <w:rFonts w:eastAsia="Times New Roman"/>
          <w:b/>
          <w:bCs/>
          <w:sz w:val="18"/>
          <w:szCs w:val="18"/>
        </w:rPr>
        <w:t xml:space="preserve">Figure 23a. </w:t>
      </w:r>
      <w:r>
        <w:rPr>
          <w:rFonts w:eastAsia="Times New Roman"/>
          <w:b/>
          <w:bCs/>
          <w:sz w:val="18"/>
          <w:szCs w:val="18"/>
        </w:rPr>
        <w:t>Scatter Plot for Learner Engagement Score by Country, for Countries with highest enrollment.</w:t>
      </w:r>
    </w:p>
    <w:p w:rsidR="007D0720" w:rsidRDefault="007E26B5">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-3175</wp:posOffset>
            </wp:positionH>
            <wp:positionV relativeFrom="paragraph">
              <wp:posOffset>-3268980</wp:posOffset>
            </wp:positionV>
            <wp:extent cx="3060065" cy="29044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blip>
                    <a:srcRect/>
                    <a:stretch>
                      <a:fillRect/>
                    </a:stretch>
                  </pic:blipFill>
                  <pic:spPr bwMode="auto">
                    <a:xfrm>
                      <a:off x="0" y="0"/>
                      <a:ext cx="3060065" cy="2904490"/>
                    </a:xfrm>
                    <a:prstGeom prst="rect">
                      <a:avLst/>
                    </a:prstGeom>
                    <a:noFill/>
                  </pic:spPr>
                </pic:pic>
              </a:graphicData>
            </a:graphic>
          </wp:anchor>
        </w:drawing>
      </w:r>
      <w:r>
        <w:rPr>
          <w:noProof/>
          <w:sz w:val="20"/>
          <w:szCs w:val="20"/>
        </w:rPr>
        <w:drawing>
          <wp:anchor distT="0" distB="0" distL="114300" distR="114300" simplePos="0" relativeHeight="251672576" behindDoc="1" locked="0" layoutInCell="0" allowOverlap="1">
            <wp:simplePos x="0" y="0"/>
            <wp:positionH relativeFrom="column">
              <wp:posOffset>-3175</wp:posOffset>
            </wp:positionH>
            <wp:positionV relativeFrom="paragraph">
              <wp:posOffset>272415</wp:posOffset>
            </wp:positionV>
            <wp:extent cx="3285490" cy="317881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blip>
                    <a:srcRect/>
                    <a:stretch>
                      <a:fillRect/>
                    </a:stretch>
                  </pic:blipFill>
                  <pic:spPr bwMode="auto">
                    <a:xfrm>
                      <a:off x="0" y="0"/>
                      <a:ext cx="3285490" cy="317881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322" w:lineRule="exact"/>
        <w:rPr>
          <w:sz w:val="20"/>
          <w:szCs w:val="20"/>
        </w:rPr>
      </w:pPr>
    </w:p>
    <w:p w:rsidR="007D0720" w:rsidRDefault="007E26B5">
      <w:pPr>
        <w:spacing w:line="271" w:lineRule="auto"/>
        <w:rPr>
          <w:sz w:val="20"/>
          <w:szCs w:val="20"/>
        </w:rPr>
      </w:pPr>
      <w:r>
        <w:rPr>
          <w:rFonts w:eastAsia="Times New Roman"/>
          <w:b/>
          <w:bCs/>
          <w:sz w:val="18"/>
          <w:szCs w:val="18"/>
        </w:rPr>
        <w:t>Figure 23b. Box and whisker Plot for Learner Engagement Score by Country, for Countries with highest enrollment.</w:t>
      </w:r>
    </w:p>
    <w:p w:rsidR="007D0720" w:rsidRDefault="007D0720">
      <w:pPr>
        <w:sectPr w:rsidR="007D0720">
          <w:pgSz w:w="12240" w:h="15840"/>
          <w:pgMar w:top="1440" w:right="1080" w:bottom="1440" w:left="1080" w:header="0" w:footer="0" w:gutter="0"/>
          <w:cols w:num="2" w:space="720" w:equalWidth="0">
            <w:col w:w="4820" w:space="440"/>
            <w:col w:w="4820"/>
          </w:cols>
        </w:sectPr>
      </w:pPr>
    </w:p>
    <w:p w:rsidR="007D0720" w:rsidRDefault="007E26B5">
      <w:pPr>
        <w:spacing w:line="200" w:lineRule="exact"/>
        <w:rPr>
          <w:sz w:val="20"/>
          <w:szCs w:val="20"/>
        </w:rPr>
      </w:pPr>
      <w:bookmarkStart w:id="10" w:name="page11"/>
      <w:bookmarkEnd w:id="10"/>
      <w:r>
        <w:rPr>
          <w:noProof/>
          <w:sz w:val="20"/>
          <w:szCs w:val="20"/>
        </w:rPr>
        <w:lastRenderedPageBreak/>
        <w:drawing>
          <wp:anchor distT="0" distB="0" distL="114300" distR="114300" simplePos="0" relativeHeight="251673600" behindDoc="1" locked="0" layoutInCell="0" allowOverlap="1">
            <wp:simplePos x="0" y="0"/>
            <wp:positionH relativeFrom="page">
              <wp:posOffset>684530</wp:posOffset>
            </wp:positionH>
            <wp:positionV relativeFrom="page">
              <wp:posOffset>784860</wp:posOffset>
            </wp:positionV>
            <wp:extent cx="3060065" cy="290449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clrChange>
                        <a:clrFrom>
                          <a:srgbClr val="FFFFFF"/>
                        </a:clrFrom>
                        <a:clrTo>
                          <a:srgbClr val="FFFFFF">
                            <a:alpha val="0"/>
                          </a:srgbClr>
                        </a:clrTo>
                      </a:clrChange>
                      <a:extLst/>
                    </a:blip>
                    <a:srcRect/>
                    <a:stretch>
                      <a:fillRect/>
                    </a:stretch>
                  </pic:blipFill>
                  <pic:spPr bwMode="auto">
                    <a:xfrm>
                      <a:off x="0" y="0"/>
                      <a:ext cx="3060065" cy="2904490"/>
                    </a:xfrm>
                    <a:prstGeom prst="rect">
                      <a:avLst/>
                    </a:prstGeom>
                    <a:noFill/>
                  </pic:spPr>
                </pic:pic>
              </a:graphicData>
            </a:graphic>
          </wp:anchor>
        </w:drawing>
      </w: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00" w:lineRule="exact"/>
        <w:rPr>
          <w:sz w:val="20"/>
          <w:szCs w:val="20"/>
        </w:rPr>
      </w:pPr>
    </w:p>
    <w:p w:rsidR="007D0720" w:rsidRDefault="007D0720">
      <w:pPr>
        <w:spacing w:line="296" w:lineRule="exact"/>
        <w:rPr>
          <w:sz w:val="20"/>
          <w:szCs w:val="20"/>
        </w:rPr>
      </w:pPr>
    </w:p>
    <w:p w:rsidR="007D0720" w:rsidRDefault="007E26B5">
      <w:pPr>
        <w:spacing w:line="271" w:lineRule="auto"/>
        <w:ind w:left="2"/>
        <w:jc w:val="both"/>
        <w:rPr>
          <w:sz w:val="20"/>
          <w:szCs w:val="20"/>
        </w:rPr>
      </w:pPr>
      <w:r>
        <w:rPr>
          <w:rFonts w:eastAsia="Times New Roman"/>
          <w:b/>
          <w:bCs/>
          <w:sz w:val="18"/>
          <w:szCs w:val="18"/>
        </w:rPr>
        <w:t>Figure 23c. Violin Plot for Learner Engagement Score by Country, for Countries with highest enrollment.</w:t>
      </w:r>
    </w:p>
    <w:p w:rsidR="007D0720" w:rsidRDefault="007D0720">
      <w:pPr>
        <w:spacing w:line="200" w:lineRule="exact"/>
        <w:rPr>
          <w:sz w:val="20"/>
          <w:szCs w:val="20"/>
        </w:rPr>
      </w:pPr>
    </w:p>
    <w:p w:rsidR="007D0720" w:rsidRDefault="007D0720">
      <w:pPr>
        <w:spacing w:line="214" w:lineRule="exact"/>
        <w:rPr>
          <w:sz w:val="20"/>
          <w:szCs w:val="20"/>
        </w:rPr>
      </w:pPr>
    </w:p>
    <w:p w:rsidR="007D0720" w:rsidRDefault="007E26B5">
      <w:pPr>
        <w:spacing w:line="254" w:lineRule="auto"/>
        <w:ind w:left="2"/>
        <w:jc w:val="both"/>
        <w:rPr>
          <w:sz w:val="20"/>
          <w:szCs w:val="20"/>
        </w:rPr>
      </w:pPr>
      <w:r>
        <w:rPr>
          <w:rFonts w:eastAsia="Times New Roman"/>
          <w:sz w:val="20"/>
          <w:szCs w:val="20"/>
        </w:rPr>
        <w:t>Analyzing the learner data by country, there was no evidence of any substantial correlation with the learner engagement.</w:t>
      </w:r>
    </w:p>
    <w:p w:rsidR="007D0720" w:rsidRDefault="007D0720">
      <w:pPr>
        <w:spacing w:line="87" w:lineRule="exact"/>
        <w:rPr>
          <w:sz w:val="20"/>
          <w:szCs w:val="20"/>
        </w:rPr>
      </w:pPr>
    </w:p>
    <w:p w:rsidR="007D0720" w:rsidRDefault="007E26B5">
      <w:pPr>
        <w:ind w:left="2"/>
        <w:rPr>
          <w:sz w:val="20"/>
          <w:szCs w:val="20"/>
        </w:rPr>
      </w:pPr>
      <w:r>
        <w:rPr>
          <w:rFonts w:ascii="Arial" w:eastAsia="Arial" w:hAnsi="Arial" w:cs="Arial"/>
          <w:i/>
          <w:iCs/>
          <w:sz w:val="18"/>
          <w:szCs w:val="18"/>
        </w:rPr>
        <w:t>Conclusion</w:t>
      </w:r>
    </w:p>
    <w:p w:rsidR="007D0720" w:rsidRDefault="007D0720">
      <w:pPr>
        <w:spacing w:line="114" w:lineRule="exact"/>
        <w:rPr>
          <w:sz w:val="20"/>
          <w:szCs w:val="20"/>
        </w:rPr>
      </w:pPr>
    </w:p>
    <w:p w:rsidR="007D0720" w:rsidRDefault="007E26B5">
      <w:pPr>
        <w:spacing w:line="245" w:lineRule="auto"/>
        <w:ind w:left="2"/>
        <w:jc w:val="both"/>
        <w:rPr>
          <w:sz w:val="20"/>
          <w:szCs w:val="20"/>
        </w:rPr>
      </w:pPr>
      <w:r>
        <w:rPr>
          <w:rFonts w:eastAsia="Times New Roman"/>
          <w:sz w:val="20"/>
          <w:szCs w:val="20"/>
        </w:rPr>
        <w:t>In studying the Learner Engagement Analysis, the following inferences could be made about Learner Profile Attributes:</w:t>
      </w:r>
    </w:p>
    <w:p w:rsidR="007D0720" w:rsidRDefault="007D0720">
      <w:pPr>
        <w:spacing w:line="1" w:lineRule="exact"/>
        <w:rPr>
          <w:sz w:val="20"/>
          <w:szCs w:val="20"/>
        </w:rPr>
      </w:pPr>
    </w:p>
    <w:p w:rsidR="007D0720" w:rsidRDefault="007E26B5">
      <w:pPr>
        <w:numPr>
          <w:ilvl w:val="0"/>
          <w:numId w:val="17"/>
        </w:numPr>
        <w:tabs>
          <w:tab w:val="left" w:pos="362"/>
        </w:tabs>
        <w:spacing w:line="246" w:lineRule="auto"/>
        <w:ind w:left="362" w:hanging="362"/>
        <w:rPr>
          <w:rFonts w:ascii="Symbol" w:eastAsia="Symbol" w:hAnsi="Symbol" w:cs="Symbol"/>
          <w:sz w:val="20"/>
          <w:szCs w:val="20"/>
        </w:rPr>
      </w:pPr>
      <w:r>
        <w:rPr>
          <w:rFonts w:eastAsia="Times New Roman"/>
          <w:sz w:val="20"/>
          <w:szCs w:val="20"/>
        </w:rPr>
        <w:t>Gender: Learner Engagement is NOT dependent on Learner Gender</w:t>
      </w:r>
    </w:p>
    <w:p w:rsidR="007D0720" w:rsidRDefault="007E26B5">
      <w:pPr>
        <w:numPr>
          <w:ilvl w:val="0"/>
          <w:numId w:val="17"/>
        </w:numPr>
        <w:tabs>
          <w:tab w:val="left" w:pos="362"/>
        </w:tabs>
        <w:spacing w:line="239" w:lineRule="auto"/>
        <w:ind w:left="362" w:hanging="362"/>
        <w:jc w:val="both"/>
        <w:rPr>
          <w:rFonts w:ascii="Symbol" w:eastAsia="Symbol" w:hAnsi="Symbol" w:cs="Symbol"/>
          <w:sz w:val="20"/>
          <w:szCs w:val="20"/>
        </w:rPr>
      </w:pPr>
      <w:r>
        <w:rPr>
          <w:rFonts w:eastAsia="Times New Roman"/>
          <w:sz w:val="20"/>
          <w:szCs w:val="20"/>
        </w:rPr>
        <w:t>Year of birth: Learner Engagement is negatively correlated to a</w:t>
      </w:r>
      <w:r>
        <w:rPr>
          <w:rFonts w:eastAsia="Times New Roman"/>
          <w:sz w:val="20"/>
          <w:szCs w:val="20"/>
        </w:rPr>
        <w:t xml:space="preserve"> Learner’s Birth year. That is, Learner Engagement goes down, for more recently born or younger Learners.</w:t>
      </w:r>
    </w:p>
    <w:p w:rsidR="007D0720" w:rsidRDefault="007E26B5">
      <w:pPr>
        <w:numPr>
          <w:ilvl w:val="0"/>
          <w:numId w:val="17"/>
        </w:numPr>
        <w:tabs>
          <w:tab w:val="left" w:pos="362"/>
        </w:tabs>
        <w:ind w:left="362" w:hanging="362"/>
        <w:jc w:val="both"/>
        <w:rPr>
          <w:rFonts w:ascii="Symbol" w:eastAsia="Symbol" w:hAnsi="Symbol" w:cs="Symbol"/>
          <w:sz w:val="20"/>
          <w:szCs w:val="20"/>
        </w:rPr>
      </w:pPr>
      <w:r>
        <w:rPr>
          <w:rFonts w:eastAsia="Times New Roman"/>
          <w:sz w:val="20"/>
          <w:szCs w:val="20"/>
        </w:rPr>
        <w:t>Level of Education: Learner Engagement is positively correlated to Learner’s Level of Education. That is, Learner Engagement goes up as the Level of E</w:t>
      </w:r>
      <w:r>
        <w:rPr>
          <w:rFonts w:eastAsia="Times New Roman"/>
          <w:sz w:val="20"/>
          <w:szCs w:val="20"/>
        </w:rPr>
        <w:t>ducation increases.</w:t>
      </w:r>
    </w:p>
    <w:p w:rsidR="007D0720" w:rsidRDefault="007D0720">
      <w:pPr>
        <w:spacing w:line="1" w:lineRule="exact"/>
        <w:rPr>
          <w:rFonts w:ascii="Symbol" w:eastAsia="Symbol" w:hAnsi="Symbol" w:cs="Symbol"/>
          <w:sz w:val="20"/>
          <w:szCs w:val="20"/>
        </w:rPr>
      </w:pPr>
    </w:p>
    <w:p w:rsidR="007D0720" w:rsidRDefault="007E26B5">
      <w:pPr>
        <w:numPr>
          <w:ilvl w:val="0"/>
          <w:numId w:val="17"/>
        </w:numPr>
        <w:tabs>
          <w:tab w:val="left" w:pos="362"/>
        </w:tabs>
        <w:ind w:left="362" w:hanging="362"/>
        <w:rPr>
          <w:rFonts w:ascii="Symbol" w:eastAsia="Symbol" w:hAnsi="Symbol" w:cs="Symbol"/>
          <w:sz w:val="20"/>
          <w:szCs w:val="20"/>
        </w:rPr>
      </w:pPr>
      <w:r>
        <w:rPr>
          <w:rFonts w:eastAsia="Times New Roman"/>
          <w:sz w:val="20"/>
          <w:szCs w:val="20"/>
        </w:rPr>
        <w:t>Country: There is no obvious correlation between Learner Engagement and Learner’s Country.</w:t>
      </w:r>
    </w:p>
    <w:p w:rsidR="007D0720" w:rsidRDefault="007D0720">
      <w:pPr>
        <w:spacing w:line="320" w:lineRule="exact"/>
        <w:rPr>
          <w:sz w:val="20"/>
          <w:szCs w:val="20"/>
        </w:rPr>
      </w:pPr>
    </w:p>
    <w:p w:rsidR="007D0720" w:rsidRDefault="007E26B5">
      <w:pPr>
        <w:ind w:left="2"/>
        <w:rPr>
          <w:sz w:val="20"/>
          <w:szCs w:val="20"/>
        </w:rPr>
      </w:pPr>
      <w:r>
        <w:rPr>
          <w:rFonts w:ascii="Arial" w:eastAsia="Arial" w:hAnsi="Arial" w:cs="Arial"/>
          <w:b/>
          <w:bCs/>
          <w:sz w:val="18"/>
          <w:szCs w:val="18"/>
        </w:rPr>
        <w:t>CONCLUSION</w:t>
      </w:r>
    </w:p>
    <w:p w:rsidR="007D0720" w:rsidRDefault="007D0720">
      <w:pPr>
        <w:spacing w:line="34" w:lineRule="exact"/>
        <w:rPr>
          <w:sz w:val="20"/>
          <w:szCs w:val="20"/>
        </w:rPr>
      </w:pPr>
    </w:p>
    <w:p w:rsidR="007D0720" w:rsidRDefault="007E26B5">
      <w:pPr>
        <w:spacing w:line="239" w:lineRule="auto"/>
        <w:ind w:left="2"/>
        <w:jc w:val="both"/>
        <w:rPr>
          <w:sz w:val="20"/>
          <w:szCs w:val="20"/>
        </w:rPr>
      </w:pPr>
      <w:r>
        <w:rPr>
          <w:rFonts w:eastAsia="Times New Roman"/>
          <w:sz w:val="20"/>
          <w:szCs w:val="20"/>
        </w:rPr>
        <w:t xml:space="preserve">edX Video Content Insights provides descriptive analytics which could be used by course authors and instructors to improve the </w:t>
      </w:r>
      <w:r>
        <w:rPr>
          <w:rFonts w:eastAsia="Times New Roman"/>
          <w:sz w:val="20"/>
          <w:szCs w:val="20"/>
        </w:rPr>
        <w:t xml:space="preserve">content for better learner engagement. Assignment Content Analysis provided great insight into which assignments kept the learners engaged and which ones caused sharp drops in engagement. Learner Engagement Score &amp; Profile Analyses highlighted the Profile </w:t>
      </w:r>
      <w:r>
        <w:rPr>
          <w:rFonts w:eastAsia="Times New Roman"/>
          <w:sz w:val="20"/>
          <w:szCs w:val="20"/>
        </w:rPr>
        <w:t>attributes that could be related to engagement. All of these analytics can provide course authors instructors</w:t>
      </w:r>
    </w:p>
    <w:p w:rsidR="007D0720" w:rsidRDefault="007E26B5">
      <w:pPr>
        <w:spacing w:line="20" w:lineRule="exact"/>
        <w:rPr>
          <w:sz w:val="20"/>
          <w:szCs w:val="20"/>
        </w:rPr>
      </w:pPr>
      <w:r>
        <w:rPr>
          <w:sz w:val="20"/>
          <w:szCs w:val="20"/>
        </w:rPr>
        <w:br w:type="column"/>
      </w:r>
    </w:p>
    <w:p w:rsidR="007D0720" w:rsidRDefault="007E26B5">
      <w:pPr>
        <w:spacing w:line="268" w:lineRule="auto"/>
        <w:ind w:left="6"/>
        <w:jc w:val="both"/>
        <w:rPr>
          <w:sz w:val="20"/>
          <w:szCs w:val="20"/>
        </w:rPr>
      </w:pPr>
      <w:r>
        <w:rPr>
          <w:rFonts w:eastAsia="Times New Roman"/>
          <w:sz w:val="20"/>
          <w:szCs w:val="20"/>
        </w:rPr>
        <w:t>valuable insight into aspects of course and learner profiles that could be affecting the engagement.</w:t>
      </w:r>
    </w:p>
    <w:p w:rsidR="007D0720" w:rsidRDefault="007D0720">
      <w:pPr>
        <w:spacing w:line="200" w:lineRule="exact"/>
        <w:rPr>
          <w:sz w:val="20"/>
          <w:szCs w:val="20"/>
        </w:rPr>
      </w:pPr>
    </w:p>
    <w:p w:rsidR="007D0720" w:rsidRDefault="007D0720">
      <w:pPr>
        <w:spacing w:line="213" w:lineRule="exact"/>
        <w:rPr>
          <w:sz w:val="20"/>
          <w:szCs w:val="20"/>
        </w:rPr>
      </w:pPr>
    </w:p>
    <w:p w:rsidR="007D0720" w:rsidRDefault="007E26B5">
      <w:pPr>
        <w:ind w:left="6"/>
        <w:rPr>
          <w:sz w:val="20"/>
          <w:szCs w:val="20"/>
        </w:rPr>
      </w:pPr>
      <w:r>
        <w:rPr>
          <w:rFonts w:ascii="Arial" w:eastAsia="Arial" w:hAnsi="Arial" w:cs="Arial"/>
          <w:b/>
          <w:bCs/>
          <w:sz w:val="18"/>
          <w:szCs w:val="18"/>
        </w:rPr>
        <w:t>NEXT STEPS</w:t>
      </w:r>
    </w:p>
    <w:p w:rsidR="007D0720" w:rsidRDefault="007D0720">
      <w:pPr>
        <w:spacing w:line="34" w:lineRule="exact"/>
        <w:rPr>
          <w:sz w:val="20"/>
          <w:szCs w:val="20"/>
        </w:rPr>
      </w:pPr>
    </w:p>
    <w:p w:rsidR="007D0720" w:rsidRDefault="007E26B5">
      <w:pPr>
        <w:spacing w:line="239" w:lineRule="auto"/>
        <w:ind w:left="6"/>
        <w:jc w:val="both"/>
        <w:rPr>
          <w:sz w:val="20"/>
          <w:szCs w:val="20"/>
        </w:rPr>
      </w:pPr>
      <w:r>
        <w:rPr>
          <w:rFonts w:eastAsia="Times New Roman"/>
          <w:sz w:val="20"/>
          <w:szCs w:val="20"/>
        </w:rPr>
        <w:t>The next step would be to pla</w:t>
      </w:r>
      <w:r>
        <w:rPr>
          <w:rFonts w:eastAsia="Times New Roman"/>
          <w:sz w:val="20"/>
          <w:szCs w:val="20"/>
        </w:rPr>
        <w:t xml:space="preserve">n and organize user testing with these analytics and actionable insights. These analytics may require some enhancement for users to get the maximum value to improve learner engagement. Once the design of these analytics is understood easily, the next step </w:t>
      </w:r>
      <w:r>
        <w:rPr>
          <w:rFonts w:eastAsia="Times New Roman"/>
          <w:sz w:val="20"/>
          <w:szCs w:val="20"/>
        </w:rPr>
        <w:t>would be to enhance the edX Analytics Pipeline to aggregate this engagement data into a result store, so that it could be visualized using Insight API and UI.</w:t>
      </w:r>
    </w:p>
    <w:p w:rsidR="007D0720" w:rsidRDefault="007D0720">
      <w:pPr>
        <w:spacing w:line="200" w:lineRule="exact"/>
        <w:rPr>
          <w:sz w:val="20"/>
          <w:szCs w:val="20"/>
        </w:rPr>
      </w:pPr>
    </w:p>
    <w:p w:rsidR="007D0720" w:rsidRDefault="007D0720">
      <w:pPr>
        <w:spacing w:line="242" w:lineRule="exact"/>
        <w:rPr>
          <w:sz w:val="20"/>
          <w:szCs w:val="20"/>
        </w:rPr>
      </w:pPr>
    </w:p>
    <w:p w:rsidR="007D0720" w:rsidRDefault="007E26B5">
      <w:pPr>
        <w:ind w:left="6"/>
        <w:rPr>
          <w:sz w:val="20"/>
          <w:szCs w:val="20"/>
        </w:rPr>
      </w:pPr>
      <w:r>
        <w:rPr>
          <w:rFonts w:ascii="Arial" w:eastAsia="Arial" w:hAnsi="Arial" w:cs="Arial"/>
          <w:b/>
          <w:bCs/>
          <w:sz w:val="18"/>
          <w:szCs w:val="18"/>
        </w:rPr>
        <w:t>ACKNOWLEDGMENTS</w:t>
      </w:r>
    </w:p>
    <w:p w:rsidR="007D0720" w:rsidRDefault="007D0720">
      <w:pPr>
        <w:spacing w:line="34" w:lineRule="exact"/>
        <w:rPr>
          <w:sz w:val="20"/>
          <w:szCs w:val="20"/>
        </w:rPr>
      </w:pPr>
    </w:p>
    <w:p w:rsidR="007D0720" w:rsidRDefault="007E26B5">
      <w:pPr>
        <w:spacing w:line="239" w:lineRule="auto"/>
        <w:ind w:left="6"/>
        <w:jc w:val="both"/>
        <w:rPr>
          <w:sz w:val="20"/>
          <w:szCs w:val="20"/>
        </w:rPr>
      </w:pPr>
      <w:r>
        <w:rPr>
          <w:rFonts w:eastAsia="Times New Roman"/>
          <w:sz w:val="20"/>
          <w:szCs w:val="20"/>
        </w:rPr>
        <w:t>I am really grateful to my mentor Ken Brooks, who provided valuable pointers f</w:t>
      </w:r>
      <w:r>
        <w:rPr>
          <w:rFonts w:eastAsia="Times New Roman"/>
          <w:sz w:val="20"/>
          <w:szCs w:val="20"/>
        </w:rPr>
        <w:t>or providing better data visualization for different analysis. My previous mentor Habib Khan was also very helpful in enabling me to get familiar with Education Technology field.</w:t>
      </w:r>
    </w:p>
    <w:p w:rsidR="007D0720" w:rsidRDefault="007D0720">
      <w:pPr>
        <w:spacing w:line="200" w:lineRule="exact"/>
        <w:rPr>
          <w:sz w:val="20"/>
          <w:szCs w:val="20"/>
        </w:rPr>
      </w:pPr>
    </w:p>
    <w:p w:rsidR="007D0720" w:rsidRDefault="007D0720">
      <w:pPr>
        <w:spacing w:line="243" w:lineRule="exact"/>
        <w:rPr>
          <w:sz w:val="20"/>
          <w:szCs w:val="20"/>
        </w:rPr>
      </w:pPr>
    </w:p>
    <w:p w:rsidR="007D0720" w:rsidRDefault="007E26B5">
      <w:pPr>
        <w:ind w:left="6"/>
        <w:rPr>
          <w:sz w:val="20"/>
          <w:szCs w:val="20"/>
        </w:rPr>
      </w:pPr>
      <w:r>
        <w:rPr>
          <w:rFonts w:ascii="Arial" w:eastAsia="Arial" w:hAnsi="Arial" w:cs="Arial"/>
          <w:b/>
          <w:bCs/>
          <w:sz w:val="18"/>
          <w:szCs w:val="18"/>
        </w:rPr>
        <w:t>REFERENCES</w:t>
      </w:r>
    </w:p>
    <w:p w:rsidR="007D0720" w:rsidRDefault="007D0720">
      <w:pPr>
        <w:spacing w:line="34" w:lineRule="exact"/>
        <w:rPr>
          <w:sz w:val="20"/>
          <w:szCs w:val="20"/>
        </w:rPr>
      </w:pPr>
    </w:p>
    <w:p w:rsidR="007D0720" w:rsidRDefault="007E26B5">
      <w:pPr>
        <w:numPr>
          <w:ilvl w:val="0"/>
          <w:numId w:val="18"/>
        </w:numPr>
        <w:tabs>
          <w:tab w:val="left" w:pos="366"/>
        </w:tabs>
        <w:spacing w:line="254" w:lineRule="auto"/>
        <w:ind w:left="366" w:right="80" w:hanging="366"/>
        <w:rPr>
          <w:rFonts w:eastAsia="Times New Roman"/>
          <w:sz w:val="19"/>
          <w:szCs w:val="19"/>
        </w:rPr>
      </w:pPr>
      <w:r>
        <w:rPr>
          <w:rFonts w:eastAsia="Times New Roman"/>
          <w:sz w:val="19"/>
          <w:szCs w:val="19"/>
        </w:rPr>
        <w:t xml:space="preserve">Donald Norris, Linda Baer, and Michael Offerman (September, </w:t>
      </w:r>
      <w:r>
        <w:rPr>
          <w:rFonts w:eastAsia="Times New Roman"/>
          <w:sz w:val="19"/>
          <w:szCs w:val="19"/>
        </w:rPr>
        <w:t>2009). A National Agenda for Action Analytics. Retrieved May 27, 2017, from http://lindabaer.efoliomn.com/uploads/settinganational agendaforactionanalytics101509.pdf</w:t>
      </w:r>
    </w:p>
    <w:p w:rsidR="007D0720" w:rsidRDefault="007D0720">
      <w:pPr>
        <w:spacing w:line="42" w:lineRule="exact"/>
        <w:rPr>
          <w:rFonts w:eastAsia="Times New Roman"/>
          <w:sz w:val="19"/>
          <w:szCs w:val="19"/>
        </w:rPr>
      </w:pPr>
    </w:p>
    <w:p w:rsidR="007D0720" w:rsidRDefault="007E26B5">
      <w:pPr>
        <w:numPr>
          <w:ilvl w:val="0"/>
          <w:numId w:val="18"/>
        </w:numPr>
        <w:tabs>
          <w:tab w:val="left" w:pos="366"/>
        </w:tabs>
        <w:spacing w:line="246" w:lineRule="auto"/>
        <w:ind w:left="366" w:right="20" w:hanging="366"/>
        <w:rPr>
          <w:rFonts w:eastAsia="Times New Roman"/>
          <w:sz w:val="20"/>
          <w:szCs w:val="20"/>
        </w:rPr>
      </w:pPr>
      <w:r>
        <w:rPr>
          <w:rFonts w:eastAsia="Times New Roman"/>
          <w:sz w:val="20"/>
          <w:szCs w:val="20"/>
        </w:rPr>
        <w:t xml:space="preserve">Ganesan Ravishanker (February 2011). Doing Academic Analytics Right: Intelligent Answers </w:t>
      </w:r>
      <w:r>
        <w:rPr>
          <w:rFonts w:eastAsia="Times New Roman"/>
          <w:sz w:val="20"/>
          <w:szCs w:val="20"/>
        </w:rPr>
        <w:t>to Simple Questions. Retrieved May 27, 2017, from https://library.educause.edu/resources/2011/2/doing-academic-analytics-right-intelligent-answers-to-simple-questions</w:t>
      </w:r>
    </w:p>
    <w:p w:rsidR="007D0720" w:rsidRDefault="007D0720">
      <w:pPr>
        <w:spacing w:line="44" w:lineRule="exact"/>
        <w:rPr>
          <w:rFonts w:eastAsia="Times New Roman"/>
          <w:sz w:val="20"/>
          <w:szCs w:val="20"/>
        </w:rPr>
      </w:pPr>
    </w:p>
    <w:p w:rsidR="007D0720" w:rsidRDefault="007E26B5">
      <w:pPr>
        <w:numPr>
          <w:ilvl w:val="0"/>
          <w:numId w:val="18"/>
        </w:numPr>
        <w:tabs>
          <w:tab w:val="left" w:pos="366"/>
        </w:tabs>
        <w:spacing w:line="261" w:lineRule="auto"/>
        <w:ind w:left="366" w:right="60" w:hanging="366"/>
        <w:rPr>
          <w:rFonts w:eastAsia="Times New Roman"/>
          <w:sz w:val="19"/>
          <w:szCs w:val="19"/>
        </w:rPr>
      </w:pPr>
      <w:r>
        <w:rPr>
          <w:rFonts w:eastAsia="Times New Roman"/>
          <w:sz w:val="19"/>
          <w:szCs w:val="19"/>
        </w:rPr>
        <w:t>Angela van Barneveld, Kimberly E. Arnold, and John P. Campbell (January 2012). Analytics</w:t>
      </w:r>
      <w:r>
        <w:rPr>
          <w:rFonts w:eastAsia="Times New Roman"/>
          <w:sz w:val="19"/>
          <w:szCs w:val="19"/>
        </w:rPr>
        <w:t xml:space="preserve"> in Higher Education: Establishing a Common Language. Retrieved May 27, 2017, from https://library.educause.edu/~/media/files/library/2012/ 1/eli3026-pdf.pdf</w:t>
      </w:r>
    </w:p>
    <w:p w:rsidR="007D0720" w:rsidRDefault="007D0720">
      <w:pPr>
        <w:spacing w:line="33" w:lineRule="exact"/>
        <w:rPr>
          <w:rFonts w:eastAsia="Times New Roman"/>
          <w:sz w:val="19"/>
          <w:szCs w:val="19"/>
        </w:rPr>
      </w:pPr>
    </w:p>
    <w:p w:rsidR="007D0720" w:rsidRDefault="007E26B5">
      <w:pPr>
        <w:numPr>
          <w:ilvl w:val="0"/>
          <w:numId w:val="18"/>
        </w:numPr>
        <w:tabs>
          <w:tab w:val="left" w:pos="366"/>
        </w:tabs>
        <w:spacing w:line="267" w:lineRule="auto"/>
        <w:ind w:left="366" w:right="740" w:hanging="366"/>
        <w:rPr>
          <w:rFonts w:eastAsia="Times New Roman"/>
          <w:sz w:val="19"/>
          <w:szCs w:val="19"/>
        </w:rPr>
      </w:pPr>
      <w:r>
        <w:rPr>
          <w:rFonts w:eastAsia="Times New Roman"/>
          <w:sz w:val="19"/>
          <w:szCs w:val="19"/>
        </w:rPr>
        <w:t xml:space="preserve">Mohamed Ally (2004). FOUNDATIONS OF EDUCATIONAL THEORY FOR ONLINE LEARNING. Retrieved May 27, </w:t>
      </w:r>
      <w:r>
        <w:rPr>
          <w:rFonts w:eastAsia="Times New Roman"/>
          <w:sz w:val="19"/>
          <w:szCs w:val="19"/>
        </w:rPr>
        <w:t>2017, from http://cde.athabascau.ca/online_book/ch1.html</w:t>
      </w:r>
    </w:p>
    <w:p w:rsidR="007D0720" w:rsidRDefault="007D0720">
      <w:pPr>
        <w:spacing w:line="30" w:lineRule="exact"/>
        <w:rPr>
          <w:rFonts w:eastAsia="Times New Roman"/>
          <w:sz w:val="19"/>
          <w:szCs w:val="19"/>
        </w:rPr>
      </w:pPr>
    </w:p>
    <w:p w:rsidR="007D0720" w:rsidRDefault="007E26B5">
      <w:pPr>
        <w:numPr>
          <w:ilvl w:val="0"/>
          <w:numId w:val="18"/>
        </w:numPr>
        <w:tabs>
          <w:tab w:val="left" w:pos="366"/>
        </w:tabs>
        <w:spacing w:line="248" w:lineRule="auto"/>
        <w:ind w:left="366" w:right="160" w:hanging="366"/>
        <w:rPr>
          <w:rFonts w:eastAsia="Times New Roman"/>
          <w:sz w:val="20"/>
          <w:szCs w:val="20"/>
        </w:rPr>
      </w:pPr>
      <w:r>
        <w:rPr>
          <w:rFonts w:eastAsia="Times New Roman"/>
          <w:sz w:val="20"/>
          <w:szCs w:val="20"/>
        </w:rPr>
        <w:t>David Joyner (Feb, 2017). Introduction to Computing using Python Retrieved June 3, 2017, from https://www.edx.org/course/introduction-computing-using-python-gtx-cs1301x</w:t>
      </w:r>
    </w:p>
    <w:p w:rsidR="007D0720" w:rsidRDefault="007D0720">
      <w:pPr>
        <w:spacing w:line="47" w:lineRule="exact"/>
        <w:rPr>
          <w:rFonts w:eastAsia="Times New Roman"/>
          <w:sz w:val="20"/>
          <w:szCs w:val="20"/>
        </w:rPr>
      </w:pPr>
    </w:p>
    <w:p w:rsidR="007D0720" w:rsidRDefault="007E26B5">
      <w:pPr>
        <w:numPr>
          <w:ilvl w:val="0"/>
          <w:numId w:val="18"/>
        </w:numPr>
        <w:tabs>
          <w:tab w:val="left" w:pos="366"/>
        </w:tabs>
        <w:spacing w:line="247" w:lineRule="auto"/>
        <w:ind w:left="366" w:right="120" w:hanging="366"/>
        <w:rPr>
          <w:rFonts w:eastAsia="Times New Roman"/>
          <w:sz w:val="20"/>
          <w:szCs w:val="20"/>
        </w:rPr>
      </w:pPr>
      <w:r>
        <w:rPr>
          <w:rFonts w:eastAsia="Times New Roman"/>
          <w:sz w:val="20"/>
          <w:szCs w:val="20"/>
        </w:rPr>
        <w:t>Pedro A. Willging &amp; Scott D.</w:t>
      </w:r>
      <w:r>
        <w:rPr>
          <w:rFonts w:eastAsia="Times New Roman"/>
          <w:sz w:val="20"/>
          <w:szCs w:val="20"/>
        </w:rPr>
        <w:t xml:space="preserve"> Johnson (OCTOBER 2009). FACTORS THAT INFLUENCE STUDENTS’ DECISION TO DROPOUT OF ONLINE COURSES. Retrieved May 27, 2017, from http://files.eric.ed.gov/fulltext/EJ862360.pdf</w:t>
      </w:r>
    </w:p>
    <w:p w:rsidR="007D0720" w:rsidRDefault="007D0720">
      <w:pPr>
        <w:sectPr w:rsidR="007D0720">
          <w:pgSz w:w="12240" w:h="15840"/>
          <w:pgMar w:top="1220" w:right="1080" w:bottom="1440" w:left="1078" w:header="0" w:footer="0" w:gutter="0"/>
          <w:cols w:num="2" w:space="720" w:equalWidth="0">
            <w:col w:w="4822" w:space="434"/>
            <w:col w:w="4826"/>
          </w:cols>
        </w:sectPr>
      </w:pPr>
    </w:p>
    <w:p w:rsidR="007D0720" w:rsidRDefault="007E26B5">
      <w:pPr>
        <w:numPr>
          <w:ilvl w:val="0"/>
          <w:numId w:val="19"/>
        </w:numPr>
        <w:tabs>
          <w:tab w:val="left" w:pos="362"/>
        </w:tabs>
        <w:spacing w:line="249" w:lineRule="auto"/>
        <w:ind w:left="362" w:right="5580" w:hanging="362"/>
        <w:rPr>
          <w:rFonts w:eastAsia="Times New Roman"/>
          <w:sz w:val="20"/>
          <w:szCs w:val="20"/>
        </w:rPr>
      </w:pPr>
      <w:bookmarkStart w:id="11" w:name="page12"/>
      <w:bookmarkEnd w:id="11"/>
      <w:r>
        <w:rPr>
          <w:rFonts w:eastAsia="Times New Roman"/>
          <w:sz w:val="20"/>
          <w:szCs w:val="20"/>
        </w:rPr>
        <w:lastRenderedPageBreak/>
        <w:t>edX Insights documentation. Overview of EdX Insights. Retrie</w:t>
      </w:r>
      <w:r>
        <w:rPr>
          <w:rFonts w:eastAsia="Times New Roman"/>
          <w:sz w:val="20"/>
          <w:szCs w:val="20"/>
        </w:rPr>
        <w:t>ved May 27, 2017, from http://edx.readthedocs.io/projects/edx-insights/en/latest/Overview.html</w:t>
      </w:r>
    </w:p>
    <w:p w:rsidR="007D0720" w:rsidRDefault="007D0720">
      <w:pPr>
        <w:spacing w:line="43" w:lineRule="exact"/>
        <w:rPr>
          <w:rFonts w:eastAsia="Times New Roman"/>
          <w:sz w:val="20"/>
          <w:szCs w:val="20"/>
        </w:rPr>
      </w:pPr>
    </w:p>
    <w:p w:rsidR="007D0720" w:rsidRDefault="007E26B5">
      <w:pPr>
        <w:numPr>
          <w:ilvl w:val="0"/>
          <w:numId w:val="19"/>
        </w:numPr>
        <w:tabs>
          <w:tab w:val="left" w:pos="362"/>
        </w:tabs>
        <w:spacing w:line="267" w:lineRule="auto"/>
        <w:ind w:left="362" w:right="4980" w:hanging="362"/>
        <w:rPr>
          <w:rFonts w:eastAsia="Times New Roman"/>
          <w:sz w:val="19"/>
          <w:szCs w:val="19"/>
        </w:rPr>
      </w:pPr>
      <w:r>
        <w:rPr>
          <w:rFonts w:eastAsia="Times New Roman"/>
          <w:sz w:val="19"/>
          <w:szCs w:val="19"/>
        </w:rPr>
        <w:t>Lorraine M. Angelino, Frankie Keels Williams &amp; Deborah Natvig (Jul 2007). Strategies to Engage Online Students and Reduce Attrition Rates. Retrieved June 7, 201</w:t>
      </w:r>
      <w:r>
        <w:rPr>
          <w:rFonts w:eastAsia="Times New Roman"/>
          <w:sz w:val="19"/>
          <w:szCs w:val="19"/>
        </w:rPr>
        <w:t xml:space="preserve">7, from </w:t>
      </w:r>
      <w:r>
        <w:rPr>
          <w:rFonts w:eastAsia="Times New Roman"/>
          <w:color w:val="4173AF"/>
          <w:sz w:val="19"/>
          <w:szCs w:val="19"/>
        </w:rPr>
        <w:t>https://eric.ed.gov/?id=EJ907749</w:t>
      </w:r>
    </w:p>
    <w:p w:rsidR="007D0720" w:rsidRDefault="007D0720">
      <w:pPr>
        <w:spacing w:line="30" w:lineRule="exact"/>
        <w:rPr>
          <w:rFonts w:eastAsia="Times New Roman"/>
          <w:sz w:val="19"/>
          <w:szCs w:val="19"/>
        </w:rPr>
      </w:pPr>
    </w:p>
    <w:p w:rsidR="007D0720" w:rsidRDefault="007E26B5">
      <w:pPr>
        <w:numPr>
          <w:ilvl w:val="0"/>
          <w:numId w:val="19"/>
        </w:numPr>
        <w:tabs>
          <w:tab w:val="left" w:pos="362"/>
        </w:tabs>
        <w:spacing w:line="260" w:lineRule="auto"/>
        <w:ind w:left="362" w:right="4940" w:hanging="362"/>
        <w:rPr>
          <w:rFonts w:eastAsia="Times New Roman"/>
          <w:sz w:val="19"/>
          <w:szCs w:val="19"/>
        </w:rPr>
      </w:pPr>
      <w:r>
        <w:rPr>
          <w:rFonts w:eastAsia="Times New Roman"/>
          <w:sz w:val="19"/>
          <w:szCs w:val="19"/>
        </w:rPr>
        <w:t xml:space="preserve">Rob Abel &amp; Vince Kellen (2015). Simplifying Learning Analytics via the Caliper Analytics Framework. Retrieved July 1, 2017, from </w:t>
      </w:r>
      <w:r>
        <w:rPr>
          <w:rFonts w:eastAsia="Times New Roman"/>
          <w:color w:val="4173AF"/>
          <w:sz w:val="19"/>
          <w:szCs w:val="19"/>
        </w:rPr>
        <w:t>http://www.educause.edu/sites/default/files/library/pres entations/E15OL/OL01/OL01_Si</w:t>
      </w:r>
      <w:r>
        <w:rPr>
          <w:rFonts w:eastAsia="Times New Roman"/>
          <w:color w:val="4173AF"/>
          <w:sz w:val="19"/>
          <w:szCs w:val="19"/>
        </w:rPr>
        <w:t>mplifying%2BLearni ng%2BAnalytics.pdf</w:t>
      </w:r>
    </w:p>
    <w:p w:rsidR="007D0720" w:rsidRDefault="007D0720">
      <w:pPr>
        <w:spacing w:line="39" w:lineRule="exact"/>
        <w:rPr>
          <w:rFonts w:eastAsia="Times New Roman"/>
          <w:sz w:val="19"/>
          <w:szCs w:val="19"/>
        </w:rPr>
      </w:pPr>
    </w:p>
    <w:p w:rsidR="007D0720" w:rsidRDefault="007E26B5">
      <w:pPr>
        <w:numPr>
          <w:ilvl w:val="0"/>
          <w:numId w:val="19"/>
        </w:numPr>
        <w:tabs>
          <w:tab w:val="left" w:pos="362"/>
        </w:tabs>
        <w:spacing w:line="249" w:lineRule="auto"/>
        <w:ind w:left="362" w:right="5340" w:hanging="362"/>
        <w:rPr>
          <w:rFonts w:eastAsia="Times New Roman"/>
          <w:sz w:val="20"/>
          <w:szCs w:val="20"/>
        </w:rPr>
      </w:pPr>
      <w:r>
        <w:rPr>
          <w:rFonts w:eastAsia="Times New Roman"/>
          <w:sz w:val="20"/>
          <w:szCs w:val="20"/>
        </w:rPr>
        <w:t xml:space="preserve">Vivek Murali (October 2014). Diving into Data Analytics Tools in K-12. Retrieved May 27, 2017, from </w:t>
      </w:r>
      <w:r>
        <w:rPr>
          <w:rFonts w:eastAsia="Times New Roman"/>
          <w:color w:val="4173AF"/>
          <w:sz w:val="20"/>
          <w:szCs w:val="20"/>
        </w:rPr>
        <w:t>https://www.edsurge.com/news/2014-10-06-diving-into-data-analytics-tools-in-k-12</w:t>
      </w:r>
    </w:p>
    <w:p w:rsidR="007D0720" w:rsidRDefault="007D0720">
      <w:pPr>
        <w:spacing w:line="43" w:lineRule="exact"/>
        <w:rPr>
          <w:rFonts w:eastAsia="Times New Roman"/>
          <w:sz w:val="20"/>
          <w:szCs w:val="20"/>
        </w:rPr>
      </w:pPr>
    </w:p>
    <w:p w:rsidR="007D0720" w:rsidRDefault="007E26B5">
      <w:pPr>
        <w:numPr>
          <w:ilvl w:val="0"/>
          <w:numId w:val="19"/>
        </w:numPr>
        <w:tabs>
          <w:tab w:val="left" w:pos="362"/>
        </w:tabs>
        <w:spacing w:line="274" w:lineRule="auto"/>
        <w:ind w:left="362" w:right="4980" w:hanging="362"/>
        <w:rPr>
          <w:rFonts w:eastAsia="Times New Roman"/>
          <w:sz w:val="19"/>
          <w:szCs w:val="19"/>
        </w:rPr>
      </w:pPr>
      <w:r>
        <w:rPr>
          <w:rFonts w:eastAsia="Times New Roman"/>
          <w:sz w:val="19"/>
          <w:szCs w:val="19"/>
        </w:rPr>
        <w:t xml:space="preserve">George Siemens and Phil Long </w:t>
      </w:r>
      <w:r>
        <w:rPr>
          <w:rFonts w:eastAsia="Times New Roman"/>
          <w:sz w:val="19"/>
          <w:szCs w:val="19"/>
        </w:rPr>
        <w:t>(2011). Penetrating the Fog: Analytics in Learning and Education. Retrieved June 3, 2017, from https://eric.ed.gov/?id=EJ950794</w:t>
      </w:r>
    </w:p>
    <w:sectPr w:rsidR="007D0720">
      <w:pgSz w:w="12240" w:h="15840"/>
      <w:pgMar w:top="1220" w:right="1440" w:bottom="1440" w:left="1078" w:header="0" w:footer="0" w:gutter="0"/>
      <w:cols w:space="720" w:equalWidth="0">
        <w:col w:w="972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74D"/>
    <w:multiLevelType w:val="hybridMultilevel"/>
    <w:tmpl w:val="6044718C"/>
    <w:lvl w:ilvl="0" w:tplc="75F60260">
      <w:start w:val="1"/>
      <w:numFmt w:val="bullet"/>
      <w:lvlText w:val="•"/>
      <w:lvlJc w:val="left"/>
    </w:lvl>
    <w:lvl w:ilvl="1" w:tplc="92BA4FBE">
      <w:numFmt w:val="decimal"/>
      <w:lvlText w:val=""/>
      <w:lvlJc w:val="left"/>
    </w:lvl>
    <w:lvl w:ilvl="2" w:tplc="9E521FC2">
      <w:numFmt w:val="decimal"/>
      <w:lvlText w:val=""/>
      <w:lvlJc w:val="left"/>
    </w:lvl>
    <w:lvl w:ilvl="3" w:tplc="B3401940">
      <w:numFmt w:val="decimal"/>
      <w:lvlText w:val=""/>
      <w:lvlJc w:val="left"/>
    </w:lvl>
    <w:lvl w:ilvl="4" w:tplc="F25C3BFE">
      <w:numFmt w:val="decimal"/>
      <w:lvlText w:val=""/>
      <w:lvlJc w:val="left"/>
    </w:lvl>
    <w:lvl w:ilvl="5" w:tplc="EA8EC774">
      <w:numFmt w:val="decimal"/>
      <w:lvlText w:val=""/>
      <w:lvlJc w:val="left"/>
    </w:lvl>
    <w:lvl w:ilvl="6" w:tplc="3B569C92">
      <w:numFmt w:val="decimal"/>
      <w:lvlText w:val=""/>
      <w:lvlJc w:val="left"/>
    </w:lvl>
    <w:lvl w:ilvl="7" w:tplc="29866FAA">
      <w:numFmt w:val="decimal"/>
      <w:lvlText w:val=""/>
      <w:lvlJc w:val="left"/>
    </w:lvl>
    <w:lvl w:ilvl="8" w:tplc="634CD246">
      <w:numFmt w:val="decimal"/>
      <w:lvlText w:val=""/>
      <w:lvlJc w:val="left"/>
    </w:lvl>
  </w:abstractNum>
  <w:abstractNum w:abstractNumId="1">
    <w:nsid w:val="00001238"/>
    <w:multiLevelType w:val="hybridMultilevel"/>
    <w:tmpl w:val="000C2FBC"/>
    <w:lvl w:ilvl="0" w:tplc="A2A88D0C">
      <w:start w:val="7"/>
      <w:numFmt w:val="decimal"/>
      <w:lvlText w:val="%1."/>
      <w:lvlJc w:val="left"/>
    </w:lvl>
    <w:lvl w:ilvl="1" w:tplc="6DF2362E">
      <w:numFmt w:val="decimal"/>
      <w:lvlText w:val=""/>
      <w:lvlJc w:val="left"/>
    </w:lvl>
    <w:lvl w:ilvl="2" w:tplc="0A84DEF4">
      <w:numFmt w:val="decimal"/>
      <w:lvlText w:val=""/>
      <w:lvlJc w:val="left"/>
    </w:lvl>
    <w:lvl w:ilvl="3" w:tplc="C2303DC8">
      <w:numFmt w:val="decimal"/>
      <w:lvlText w:val=""/>
      <w:lvlJc w:val="left"/>
    </w:lvl>
    <w:lvl w:ilvl="4" w:tplc="7A7A1D88">
      <w:numFmt w:val="decimal"/>
      <w:lvlText w:val=""/>
      <w:lvlJc w:val="left"/>
    </w:lvl>
    <w:lvl w:ilvl="5" w:tplc="2E525A96">
      <w:numFmt w:val="decimal"/>
      <w:lvlText w:val=""/>
      <w:lvlJc w:val="left"/>
    </w:lvl>
    <w:lvl w:ilvl="6" w:tplc="90D250B2">
      <w:numFmt w:val="decimal"/>
      <w:lvlText w:val=""/>
      <w:lvlJc w:val="left"/>
    </w:lvl>
    <w:lvl w:ilvl="7" w:tplc="4CAE0A1A">
      <w:numFmt w:val="decimal"/>
      <w:lvlText w:val=""/>
      <w:lvlJc w:val="left"/>
    </w:lvl>
    <w:lvl w:ilvl="8" w:tplc="CB5C3882">
      <w:numFmt w:val="decimal"/>
      <w:lvlText w:val=""/>
      <w:lvlJc w:val="left"/>
    </w:lvl>
  </w:abstractNum>
  <w:abstractNum w:abstractNumId="2">
    <w:nsid w:val="00001547"/>
    <w:multiLevelType w:val="hybridMultilevel"/>
    <w:tmpl w:val="AABC8958"/>
    <w:lvl w:ilvl="0" w:tplc="9940B01C">
      <w:start w:val="1"/>
      <w:numFmt w:val="bullet"/>
      <w:lvlText w:val="•"/>
      <w:lvlJc w:val="left"/>
    </w:lvl>
    <w:lvl w:ilvl="1" w:tplc="BA361F42">
      <w:numFmt w:val="decimal"/>
      <w:lvlText w:val=""/>
      <w:lvlJc w:val="left"/>
    </w:lvl>
    <w:lvl w:ilvl="2" w:tplc="A858D972">
      <w:numFmt w:val="decimal"/>
      <w:lvlText w:val=""/>
      <w:lvlJc w:val="left"/>
    </w:lvl>
    <w:lvl w:ilvl="3" w:tplc="99FC059C">
      <w:numFmt w:val="decimal"/>
      <w:lvlText w:val=""/>
      <w:lvlJc w:val="left"/>
    </w:lvl>
    <w:lvl w:ilvl="4" w:tplc="90EEA048">
      <w:numFmt w:val="decimal"/>
      <w:lvlText w:val=""/>
      <w:lvlJc w:val="left"/>
    </w:lvl>
    <w:lvl w:ilvl="5" w:tplc="54861EDE">
      <w:numFmt w:val="decimal"/>
      <w:lvlText w:val=""/>
      <w:lvlJc w:val="left"/>
    </w:lvl>
    <w:lvl w:ilvl="6" w:tplc="7FA2E250">
      <w:numFmt w:val="decimal"/>
      <w:lvlText w:val=""/>
      <w:lvlJc w:val="left"/>
    </w:lvl>
    <w:lvl w:ilvl="7" w:tplc="C10A34B2">
      <w:numFmt w:val="decimal"/>
      <w:lvlText w:val=""/>
      <w:lvlJc w:val="left"/>
    </w:lvl>
    <w:lvl w:ilvl="8" w:tplc="E90CFACC">
      <w:numFmt w:val="decimal"/>
      <w:lvlText w:val=""/>
      <w:lvlJc w:val="left"/>
    </w:lvl>
  </w:abstractNum>
  <w:abstractNum w:abstractNumId="3">
    <w:nsid w:val="000026A6"/>
    <w:multiLevelType w:val="hybridMultilevel"/>
    <w:tmpl w:val="462A43D0"/>
    <w:lvl w:ilvl="0" w:tplc="E8B61C42">
      <w:start w:val="1"/>
      <w:numFmt w:val="decimal"/>
      <w:lvlText w:val="%1."/>
      <w:lvlJc w:val="left"/>
    </w:lvl>
    <w:lvl w:ilvl="1" w:tplc="6D4A284E">
      <w:numFmt w:val="decimal"/>
      <w:lvlText w:val=""/>
      <w:lvlJc w:val="left"/>
    </w:lvl>
    <w:lvl w:ilvl="2" w:tplc="AFACF302">
      <w:numFmt w:val="decimal"/>
      <w:lvlText w:val=""/>
      <w:lvlJc w:val="left"/>
    </w:lvl>
    <w:lvl w:ilvl="3" w:tplc="41EA1F2E">
      <w:numFmt w:val="decimal"/>
      <w:lvlText w:val=""/>
      <w:lvlJc w:val="left"/>
    </w:lvl>
    <w:lvl w:ilvl="4" w:tplc="AB50A7FE">
      <w:numFmt w:val="decimal"/>
      <w:lvlText w:val=""/>
      <w:lvlJc w:val="left"/>
    </w:lvl>
    <w:lvl w:ilvl="5" w:tplc="38FEC236">
      <w:numFmt w:val="decimal"/>
      <w:lvlText w:val=""/>
      <w:lvlJc w:val="left"/>
    </w:lvl>
    <w:lvl w:ilvl="6" w:tplc="39749358">
      <w:numFmt w:val="decimal"/>
      <w:lvlText w:val=""/>
      <w:lvlJc w:val="left"/>
    </w:lvl>
    <w:lvl w:ilvl="7" w:tplc="FCB44FF4">
      <w:numFmt w:val="decimal"/>
      <w:lvlText w:val=""/>
      <w:lvlJc w:val="left"/>
    </w:lvl>
    <w:lvl w:ilvl="8" w:tplc="D9FE5D44">
      <w:numFmt w:val="decimal"/>
      <w:lvlText w:val=""/>
      <w:lvlJc w:val="left"/>
    </w:lvl>
  </w:abstractNum>
  <w:abstractNum w:abstractNumId="4">
    <w:nsid w:val="00002D12"/>
    <w:multiLevelType w:val="hybridMultilevel"/>
    <w:tmpl w:val="1A882BC4"/>
    <w:lvl w:ilvl="0" w:tplc="70CCD910">
      <w:start w:val="1"/>
      <w:numFmt w:val="bullet"/>
      <w:lvlText w:val="•"/>
      <w:lvlJc w:val="left"/>
    </w:lvl>
    <w:lvl w:ilvl="1" w:tplc="CB3A2612">
      <w:numFmt w:val="decimal"/>
      <w:lvlText w:val=""/>
      <w:lvlJc w:val="left"/>
    </w:lvl>
    <w:lvl w:ilvl="2" w:tplc="0B669FAA">
      <w:numFmt w:val="decimal"/>
      <w:lvlText w:val=""/>
      <w:lvlJc w:val="left"/>
    </w:lvl>
    <w:lvl w:ilvl="3" w:tplc="CBE83180">
      <w:numFmt w:val="decimal"/>
      <w:lvlText w:val=""/>
      <w:lvlJc w:val="left"/>
    </w:lvl>
    <w:lvl w:ilvl="4" w:tplc="4F9A5DB4">
      <w:numFmt w:val="decimal"/>
      <w:lvlText w:val=""/>
      <w:lvlJc w:val="left"/>
    </w:lvl>
    <w:lvl w:ilvl="5" w:tplc="316091A2">
      <w:numFmt w:val="decimal"/>
      <w:lvlText w:val=""/>
      <w:lvlJc w:val="left"/>
    </w:lvl>
    <w:lvl w:ilvl="6" w:tplc="9F9EFB32">
      <w:numFmt w:val="decimal"/>
      <w:lvlText w:val=""/>
      <w:lvlJc w:val="left"/>
    </w:lvl>
    <w:lvl w:ilvl="7" w:tplc="38F6B208">
      <w:numFmt w:val="decimal"/>
      <w:lvlText w:val=""/>
      <w:lvlJc w:val="left"/>
    </w:lvl>
    <w:lvl w:ilvl="8" w:tplc="5C7C9896">
      <w:numFmt w:val="decimal"/>
      <w:lvlText w:val=""/>
      <w:lvlJc w:val="left"/>
    </w:lvl>
  </w:abstractNum>
  <w:abstractNum w:abstractNumId="5">
    <w:nsid w:val="000039B3"/>
    <w:multiLevelType w:val="hybridMultilevel"/>
    <w:tmpl w:val="8076BCC6"/>
    <w:lvl w:ilvl="0" w:tplc="944CCEEE">
      <w:start w:val="1"/>
      <w:numFmt w:val="bullet"/>
      <w:lvlText w:val="•"/>
      <w:lvlJc w:val="left"/>
    </w:lvl>
    <w:lvl w:ilvl="1" w:tplc="2C7E240C">
      <w:numFmt w:val="decimal"/>
      <w:lvlText w:val=""/>
      <w:lvlJc w:val="left"/>
    </w:lvl>
    <w:lvl w:ilvl="2" w:tplc="57A6D4C6">
      <w:numFmt w:val="decimal"/>
      <w:lvlText w:val=""/>
      <w:lvlJc w:val="left"/>
    </w:lvl>
    <w:lvl w:ilvl="3" w:tplc="4E8A64E4">
      <w:numFmt w:val="decimal"/>
      <w:lvlText w:val=""/>
      <w:lvlJc w:val="left"/>
    </w:lvl>
    <w:lvl w:ilvl="4" w:tplc="02B660B2">
      <w:numFmt w:val="decimal"/>
      <w:lvlText w:val=""/>
      <w:lvlJc w:val="left"/>
    </w:lvl>
    <w:lvl w:ilvl="5" w:tplc="E14A5BA8">
      <w:numFmt w:val="decimal"/>
      <w:lvlText w:val=""/>
      <w:lvlJc w:val="left"/>
    </w:lvl>
    <w:lvl w:ilvl="6" w:tplc="B3DC8308">
      <w:numFmt w:val="decimal"/>
      <w:lvlText w:val=""/>
      <w:lvlJc w:val="left"/>
    </w:lvl>
    <w:lvl w:ilvl="7" w:tplc="3E1ACA08">
      <w:numFmt w:val="decimal"/>
      <w:lvlText w:val=""/>
      <w:lvlJc w:val="left"/>
    </w:lvl>
    <w:lvl w:ilvl="8" w:tplc="170EF0B6">
      <w:numFmt w:val="decimal"/>
      <w:lvlText w:val=""/>
      <w:lvlJc w:val="left"/>
    </w:lvl>
  </w:abstractNum>
  <w:abstractNum w:abstractNumId="6">
    <w:nsid w:val="0000428B"/>
    <w:multiLevelType w:val="hybridMultilevel"/>
    <w:tmpl w:val="646E566C"/>
    <w:lvl w:ilvl="0" w:tplc="EA4C2614">
      <w:start w:val="1"/>
      <w:numFmt w:val="bullet"/>
      <w:lvlText w:val="•"/>
      <w:lvlJc w:val="left"/>
    </w:lvl>
    <w:lvl w:ilvl="1" w:tplc="3F920FB4">
      <w:numFmt w:val="decimal"/>
      <w:lvlText w:val=""/>
      <w:lvlJc w:val="left"/>
    </w:lvl>
    <w:lvl w:ilvl="2" w:tplc="D11E109E">
      <w:numFmt w:val="decimal"/>
      <w:lvlText w:val=""/>
      <w:lvlJc w:val="left"/>
    </w:lvl>
    <w:lvl w:ilvl="3" w:tplc="BDCE2870">
      <w:numFmt w:val="decimal"/>
      <w:lvlText w:val=""/>
      <w:lvlJc w:val="left"/>
    </w:lvl>
    <w:lvl w:ilvl="4" w:tplc="DD6AAFEE">
      <w:numFmt w:val="decimal"/>
      <w:lvlText w:val=""/>
      <w:lvlJc w:val="left"/>
    </w:lvl>
    <w:lvl w:ilvl="5" w:tplc="D4985D88">
      <w:numFmt w:val="decimal"/>
      <w:lvlText w:val=""/>
      <w:lvlJc w:val="left"/>
    </w:lvl>
    <w:lvl w:ilvl="6" w:tplc="946A34A2">
      <w:numFmt w:val="decimal"/>
      <w:lvlText w:val=""/>
      <w:lvlJc w:val="left"/>
    </w:lvl>
    <w:lvl w:ilvl="7" w:tplc="A3AEB5D2">
      <w:numFmt w:val="decimal"/>
      <w:lvlText w:val=""/>
      <w:lvlJc w:val="left"/>
    </w:lvl>
    <w:lvl w:ilvl="8" w:tplc="CA26B1CA">
      <w:numFmt w:val="decimal"/>
      <w:lvlText w:val=""/>
      <w:lvlJc w:val="left"/>
    </w:lvl>
  </w:abstractNum>
  <w:abstractNum w:abstractNumId="7">
    <w:nsid w:val="00004509"/>
    <w:multiLevelType w:val="hybridMultilevel"/>
    <w:tmpl w:val="6EDEC9DE"/>
    <w:lvl w:ilvl="0" w:tplc="DCF2DFD0">
      <w:start w:val="1"/>
      <w:numFmt w:val="decimal"/>
      <w:lvlText w:val="%1."/>
      <w:lvlJc w:val="left"/>
    </w:lvl>
    <w:lvl w:ilvl="1" w:tplc="DF627582">
      <w:numFmt w:val="decimal"/>
      <w:lvlText w:val=""/>
      <w:lvlJc w:val="left"/>
    </w:lvl>
    <w:lvl w:ilvl="2" w:tplc="9314EEAE">
      <w:numFmt w:val="decimal"/>
      <w:lvlText w:val=""/>
      <w:lvlJc w:val="left"/>
    </w:lvl>
    <w:lvl w:ilvl="3" w:tplc="48428106">
      <w:numFmt w:val="decimal"/>
      <w:lvlText w:val=""/>
      <w:lvlJc w:val="left"/>
    </w:lvl>
    <w:lvl w:ilvl="4" w:tplc="30EA0522">
      <w:numFmt w:val="decimal"/>
      <w:lvlText w:val=""/>
      <w:lvlJc w:val="left"/>
    </w:lvl>
    <w:lvl w:ilvl="5" w:tplc="52DAE054">
      <w:numFmt w:val="decimal"/>
      <w:lvlText w:val=""/>
      <w:lvlJc w:val="left"/>
    </w:lvl>
    <w:lvl w:ilvl="6" w:tplc="9D82359A">
      <w:numFmt w:val="decimal"/>
      <w:lvlText w:val=""/>
      <w:lvlJc w:val="left"/>
    </w:lvl>
    <w:lvl w:ilvl="7" w:tplc="D4823A0E">
      <w:numFmt w:val="decimal"/>
      <w:lvlText w:val=""/>
      <w:lvlJc w:val="left"/>
    </w:lvl>
    <w:lvl w:ilvl="8" w:tplc="AB74048E">
      <w:numFmt w:val="decimal"/>
      <w:lvlText w:val=""/>
      <w:lvlJc w:val="left"/>
    </w:lvl>
  </w:abstractNum>
  <w:abstractNum w:abstractNumId="8">
    <w:nsid w:val="0000491C"/>
    <w:multiLevelType w:val="hybridMultilevel"/>
    <w:tmpl w:val="80547E86"/>
    <w:lvl w:ilvl="0" w:tplc="649AC01E">
      <w:start w:val="1"/>
      <w:numFmt w:val="bullet"/>
      <w:lvlText w:val="•"/>
      <w:lvlJc w:val="left"/>
    </w:lvl>
    <w:lvl w:ilvl="1" w:tplc="CCA6B4DC">
      <w:numFmt w:val="decimal"/>
      <w:lvlText w:val=""/>
      <w:lvlJc w:val="left"/>
    </w:lvl>
    <w:lvl w:ilvl="2" w:tplc="DDB86780">
      <w:numFmt w:val="decimal"/>
      <w:lvlText w:val=""/>
      <w:lvlJc w:val="left"/>
    </w:lvl>
    <w:lvl w:ilvl="3" w:tplc="F776EA26">
      <w:numFmt w:val="decimal"/>
      <w:lvlText w:val=""/>
      <w:lvlJc w:val="left"/>
    </w:lvl>
    <w:lvl w:ilvl="4" w:tplc="56881FDE">
      <w:numFmt w:val="decimal"/>
      <w:lvlText w:val=""/>
      <w:lvlJc w:val="left"/>
    </w:lvl>
    <w:lvl w:ilvl="5" w:tplc="F38E54D6">
      <w:numFmt w:val="decimal"/>
      <w:lvlText w:val=""/>
      <w:lvlJc w:val="left"/>
    </w:lvl>
    <w:lvl w:ilvl="6" w:tplc="F7367F78">
      <w:numFmt w:val="decimal"/>
      <w:lvlText w:val=""/>
      <w:lvlJc w:val="left"/>
    </w:lvl>
    <w:lvl w:ilvl="7" w:tplc="89BEA730">
      <w:numFmt w:val="decimal"/>
      <w:lvlText w:val=""/>
      <w:lvlJc w:val="left"/>
    </w:lvl>
    <w:lvl w:ilvl="8" w:tplc="823A7716">
      <w:numFmt w:val="decimal"/>
      <w:lvlText w:val=""/>
      <w:lvlJc w:val="left"/>
    </w:lvl>
  </w:abstractNum>
  <w:abstractNum w:abstractNumId="9">
    <w:nsid w:val="00004D06"/>
    <w:multiLevelType w:val="hybridMultilevel"/>
    <w:tmpl w:val="1190361A"/>
    <w:lvl w:ilvl="0" w:tplc="F2682E80">
      <w:start w:val="1"/>
      <w:numFmt w:val="bullet"/>
      <w:lvlText w:val="•"/>
      <w:lvlJc w:val="left"/>
    </w:lvl>
    <w:lvl w:ilvl="1" w:tplc="5C3CE29C">
      <w:numFmt w:val="decimal"/>
      <w:lvlText w:val=""/>
      <w:lvlJc w:val="left"/>
    </w:lvl>
    <w:lvl w:ilvl="2" w:tplc="25CC78FC">
      <w:numFmt w:val="decimal"/>
      <w:lvlText w:val=""/>
      <w:lvlJc w:val="left"/>
    </w:lvl>
    <w:lvl w:ilvl="3" w:tplc="CAC47FB6">
      <w:numFmt w:val="decimal"/>
      <w:lvlText w:val=""/>
      <w:lvlJc w:val="left"/>
    </w:lvl>
    <w:lvl w:ilvl="4" w:tplc="F8C8A456">
      <w:numFmt w:val="decimal"/>
      <w:lvlText w:val=""/>
      <w:lvlJc w:val="left"/>
    </w:lvl>
    <w:lvl w:ilvl="5" w:tplc="EC6EDEFC">
      <w:numFmt w:val="decimal"/>
      <w:lvlText w:val=""/>
      <w:lvlJc w:val="left"/>
    </w:lvl>
    <w:lvl w:ilvl="6" w:tplc="0BD8E1A2">
      <w:numFmt w:val="decimal"/>
      <w:lvlText w:val=""/>
      <w:lvlJc w:val="left"/>
    </w:lvl>
    <w:lvl w:ilvl="7" w:tplc="8A58BAA2">
      <w:numFmt w:val="decimal"/>
      <w:lvlText w:val=""/>
      <w:lvlJc w:val="left"/>
    </w:lvl>
    <w:lvl w:ilvl="8" w:tplc="8A66D668">
      <w:numFmt w:val="decimal"/>
      <w:lvlText w:val=""/>
      <w:lvlJc w:val="left"/>
    </w:lvl>
  </w:abstractNum>
  <w:abstractNum w:abstractNumId="10">
    <w:nsid w:val="00004DB7"/>
    <w:multiLevelType w:val="hybridMultilevel"/>
    <w:tmpl w:val="DD56DD30"/>
    <w:lvl w:ilvl="0" w:tplc="2E8AABC0">
      <w:start w:val="1"/>
      <w:numFmt w:val="bullet"/>
      <w:lvlText w:val="•"/>
      <w:lvlJc w:val="left"/>
    </w:lvl>
    <w:lvl w:ilvl="1" w:tplc="5D5603C6">
      <w:numFmt w:val="decimal"/>
      <w:lvlText w:val=""/>
      <w:lvlJc w:val="left"/>
    </w:lvl>
    <w:lvl w:ilvl="2" w:tplc="0D6AEE04">
      <w:numFmt w:val="decimal"/>
      <w:lvlText w:val=""/>
      <w:lvlJc w:val="left"/>
    </w:lvl>
    <w:lvl w:ilvl="3" w:tplc="A3AEE91E">
      <w:numFmt w:val="decimal"/>
      <w:lvlText w:val=""/>
      <w:lvlJc w:val="left"/>
    </w:lvl>
    <w:lvl w:ilvl="4" w:tplc="E842A9D8">
      <w:numFmt w:val="decimal"/>
      <w:lvlText w:val=""/>
      <w:lvlJc w:val="left"/>
    </w:lvl>
    <w:lvl w:ilvl="5" w:tplc="312A9110">
      <w:numFmt w:val="decimal"/>
      <w:lvlText w:val=""/>
      <w:lvlJc w:val="left"/>
    </w:lvl>
    <w:lvl w:ilvl="6" w:tplc="903A8A74">
      <w:numFmt w:val="decimal"/>
      <w:lvlText w:val=""/>
      <w:lvlJc w:val="left"/>
    </w:lvl>
    <w:lvl w:ilvl="7" w:tplc="E89438AA">
      <w:numFmt w:val="decimal"/>
      <w:lvlText w:val=""/>
      <w:lvlJc w:val="left"/>
    </w:lvl>
    <w:lvl w:ilvl="8" w:tplc="59BC04CE">
      <w:numFmt w:val="decimal"/>
      <w:lvlText w:val=""/>
      <w:lvlJc w:val="left"/>
    </w:lvl>
  </w:abstractNum>
  <w:abstractNum w:abstractNumId="11">
    <w:nsid w:val="00004DC8"/>
    <w:multiLevelType w:val="hybridMultilevel"/>
    <w:tmpl w:val="6CE6442A"/>
    <w:lvl w:ilvl="0" w:tplc="964A2354">
      <w:start w:val="1"/>
      <w:numFmt w:val="bullet"/>
      <w:lvlText w:val="•"/>
      <w:lvlJc w:val="left"/>
    </w:lvl>
    <w:lvl w:ilvl="1" w:tplc="B9707E5C">
      <w:numFmt w:val="decimal"/>
      <w:lvlText w:val=""/>
      <w:lvlJc w:val="left"/>
    </w:lvl>
    <w:lvl w:ilvl="2" w:tplc="032C0994">
      <w:numFmt w:val="decimal"/>
      <w:lvlText w:val=""/>
      <w:lvlJc w:val="left"/>
    </w:lvl>
    <w:lvl w:ilvl="3" w:tplc="F2BA6F12">
      <w:numFmt w:val="decimal"/>
      <w:lvlText w:val=""/>
      <w:lvlJc w:val="left"/>
    </w:lvl>
    <w:lvl w:ilvl="4" w:tplc="A2981792">
      <w:numFmt w:val="decimal"/>
      <w:lvlText w:val=""/>
      <w:lvlJc w:val="left"/>
    </w:lvl>
    <w:lvl w:ilvl="5" w:tplc="ABC40928">
      <w:numFmt w:val="decimal"/>
      <w:lvlText w:val=""/>
      <w:lvlJc w:val="left"/>
    </w:lvl>
    <w:lvl w:ilvl="6" w:tplc="8DC67AE4">
      <w:numFmt w:val="decimal"/>
      <w:lvlText w:val=""/>
      <w:lvlJc w:val="left"/>
    </w:lvl>
    <w:lvl w:ilvl="7" w:tplc="06960FF4">
      <w:numFmt w:val="decimal"/>
      <w:lvlText w:val=""/>
      <w:lvlJc w:val="left"/>
    </w:lvl>
    <w:lvl w:ilvl="8" w:tplc="63866508">
      <w:numFmt w:val="decimal"/>
      <w:lvlText w:val=""/>
      <w:lvlJc w:val="left"/>
    </w:lvl>
  </w:abstractNum>
  <w:abstractNum w:abstractNumId="12">
    <w:nsid w:val="000054DE"/>
    <w:multiLevelType w:val="hybridMultilevel"/>
    <w:tmpl w:val="F5EE5CE8"/>
    <w:lvl w:ilvl="0" w:tplc="85547610">
      <w:start w:val="1"/>
      <w:numFmt w:val="bullet"/>
      <w:lvlText w:val="•"/>
      <w:lvlJc w:val="left"/>
    </w:lvl>
    <w:lvl w:ilvl="1" w:tplc="B00E7ACA">
      <w:numFmt w:val="decimal"/>
      <w:lvlText w:val=""/>
      <w:lvlJc w:val="left"/>
    </w:lvl>
    <w:lvl w:ilvl="2" w:tplc="FD646B5A">
      <w:numFmt w:val="decimal"/>
      <w:lvlText w:val=""/>
      <w:lvlJc w:val="left"/>
    </w:lvl>
    <w:lvl w:ilvl="3" w:tplc="F294B79E">
      <w:numFmt w:val="decimal"/>
      <w:lvlText w:val=""/>
      <w:lvlJc w:val="left"/>
    </w:lvl>
    <w:lvl w:ilvl="4" w:tplc="D98A247A">
      <w:numFmt w:val="decimal"/>
      <w:lvlText w:val=""/>
      <w:lvlJc w:val="left"/>
    </w:lvl>
    <w:lvl w:ilvl="5" w:tplc="DF24FFFA">
      <w:numFmt w:val="decimal"/>
      <w:lvlText w:val=""/>
      <w:lvlJc w:val="left"/>
    </w:lvl>
    <w:lvl w:ilvl="6" w:tplc="A7480C36">
      <w:numFmt w:val="decimal"/>
      <w:lvlText w:val=""/>
      <w:lvlJc w:val="left"/>
    </w:lvl>
    <w:lvl w:ilvl="7" w:tplc="EB1C3D68">
      <w:numFmt w:val="decimal"/>
      <w:lvlText w:val=""/>
      <w:lvlJc w:val="left"/>
    </w:lvl>
    <w:lvl w:ilvl="8" w:tplc="4190A99E">
      <w:numFmt w:val="decimal"/>
      <w:lvlText w:val=""/>
      <w:lvlJc w:val="left"/>
    </w:lvl>
  </w:abstractNum>
  <w:abstractNum w:abstractNumId="13">
    <w:nsid w:val="00005D03"/>
    <w:multiLevelType w:val="hybridMultilevel"/>
    <w:tmpl w:val="EF288002"/>
    <w:lvl w:ilvl="0" w:tplc="5EE2895A">
      <w:start w:val="1"/>
      <w:numFmt w:val="bullet"/>
      <w:lvlText w:val="•"/>
      <w:lvlJc w:val="left"/>
    </w:lvl>
    <w:lvl w:ilvl="1" w:tplc="BF1AD108">
      <w:numFmt w:val="decimal"/>
      <w:lvlText w:val=""/>
      <w:lvlJc w:val="left"/>
    </w:lvl>
    <w:lvl w:ilvl="2" w:tplc="9710C100">
      <w:numFmt w:val="decimal"/>
      <w:lvlText w:val=""/>
      <w:lvlJc w:val="left"/>
    </w:lvl>
    <w:lvl w:ilvl="3" w:tplc="CC8EDE1E">
      <w:numFmt w:val="decimal"/>
      <w:lvlText w:val=""/>
      <w:lvlJc w:val="left"/>
    </w:lvl>
    <w:lvl w:ilvl="4" w:tplc="CE16C3F2">
      <w:numFmt w:val="decimal"/>
      <w:lvlText w:val=""/>
      <w:lvlJc w:val="left"/>
    </w:lvl>
    <w:lvl w:ilvl="5" w:tplc="A18E68D4">
      <w:numFmt w:val="decimal"/>
      <w:lvlText w:val=""/>
      <w:lvlJc w:val="left"/>
    </w:lvl>
    <w:lvl w:ilvl="6" w:tplc="E7820C80">
      <w:numFmt w:val="decimal"/>
      <w:lvlText w:val=""/>
      <w:lvlJc w:val="left"/>
    </w:lvl>
    <w:lvl w:ilvl="7" w:tplc="FC4CB9BA">
      <w:numFmt w:val="decimal"/>
      <w:lvlText w:val=""/>
      <w:lvlJc w:val="left"/>
    </w:lvl>
    <w:lvl w:ilvl="8" w:tplc="93C68D0C">
      <w:numFmt w:val="decimal"/>
      <w:lvlText w:val=""/>
      <w:lvlJc w:val="left"/>
    </w:lvl>
  </w:abstractNum>
  <w:abstractNum w:abstractNumId="14">
    <w:nsid w:val="00006443"/>
    <w:multiLevelType w:val="hybridMultilevel"/>
    <w:tmpl w:val="698A4492"/>
    <w:lvl w:ilvl="0" w:tplc="27D44ED6">
      <w:start w:val="1"/>
      <w:numFmt w:val="bullet"/>
      <w:lvlText w:val="•"/>
      <w:lvlJc w:val="left"/>
    </w:lvl>
    <w:lvl w:ilvl="1" w:tplc="01A459E8">
      <w:numFmt w:val="decimal"/>
      <w:lvlText w:val=""/>
      <w:lvlJc w:val="left"/>
    </w:lvl>
    <w:lvl w:ilvl="2" w:tplc="81EC9BF4">
      <w:numFmt w:val="decimal"/>
      <w:lvlText w:val=""/>
      <w:lvlJc w:val="left"/>
    </w:lvl>
    <w:lvl w:ilvl="3" w:tplc="8B9EBE04">
      <w:numFmt w:val="decimal"/>
      <w:lvlText w:val=""/>
      <w:lvlJc w:val="left"/>
    </w:lvl>
    <w:lvl w:ilvl="4" w:tplc="3E06D840">
      <w:numFmt w:val="decimal"/>
      <w:lvlText w:val=""/>
      <w:lvlJc w:val="left"/>
    </w:lvl>
    <w:lvl w:ilvl="5" w:tplc="CCB48FF2">
      <w:numFmt w:val="decimal"/>
      <w:lvlText w:val=""/>
      <w:lvlJc w:val="left"/>
    </w:lvl>
    <w:lvl w:ilvl="6" w:tplc="D304CE90">
      <w:numFmt w:val="decimal"/>
      <w:lvlText w:val=""/>
      <w:lvlJc w:val="left"/>
    </w:lvl>
    <w:lvl w:ilvl="7" w:tplc="20022EBE">
      <w:numFmt w:val="decimal"/>
      <w:lvlText w:val=""/>
      <w:lvlJc w:val="left"/>
    </w:lvl>
    <w:lvl w:ilvl="8" w:tplc="9FC23D84">
      <w:numFmt w:val="decimal"/>
      <w:lvlText w:val=""/>
      <w:lvlJc w:val="left"/>
    </w:lvl>
  </w:abstractNum>
  <w:abstractNum w:abstractNumId="15">
    <w:nsid w:val="000066BB"/>
    <w:multiLevelType w:val="hybridMultilevel"/>
    <w:tmpl w:val="75465E0C"/>
    <w:lvl w:ilvl="0" w:tplc="6CA45D22">
      <w:start w:val="1"/>
      <w:numFmt w:val="bullet"/>
      <w:lvlText w:val="•"/>
      <w:lvlJc w:val="left"/>
    </w:lvl>
    <w:lvl w:ilvl="1" w:tplc="3E88529C">
      <w:numFmt w:val="decimal"/>
      <w:lvlText w:val=""/>
      <w:lvlJc w:val="left"/>
    </w:lvl>
    <w:lvl w:ilvl="2" w:tplc="7CC04C62">
      <w:numFmt w:val="decimal"/>
      <w:lvlText w:val=""/>
      <w:lvlJc w:val="left"/>
    </w:lvl>
    <w:lvl w:ilvl="3" w:tplc="A0ECEBCE">
      <w:numFmt w:val="decimal"/>
      <w:lvlText w:val=""/>
      <w:lvlJc w:val="left"/>
    </w:lvl>
    <w:lvl w:ilvl="4" w:tplc="CC44FD30">
      <w:numFmt w:val="decimal"/>
      <w:lvlText w:val=""/>
      <w:lvlJc w:val="left"/>
    </w:lvl>
    <w:lvl w:ilvl="5" w:tplc="BA944368">
      <w:numFmt w:val="decimal"/>
      <w:lvlText w:val=""/>
      <w:lvlJc w:val="left"/>
    </w:lvl>
    <w:lvl w:ilvl="6" w:tplc="742C5454">
      <w:numFmt w:val="decimal"/>
      <w:lvlText w:val=""/>
      <w:lvlJc w:val="left"/>
    </w:lvl>
    <w:lvl w:ilvl="7" w:tplc="A0E62716">
      <w:numFmt w:val="decimal"/>
      <w:lvlText w:val=""/>
      <w:lvlJc w:val="left"/>
    </w:lvl>
    <w:lvl w:ilvl="8" w:tplc="DED07CBA">
      <w:numFmt w:val="decimal"/>
      <w:lvlText w:val=""/>
      <w:lvlJc w:val="left"/>
    </w:lvl>
  </w:abstractNum>
  <w:abstractNum w:abstractNumId="16">
    <w:nsid w:val="0000701F"/>
    <w:multiLevelType w:val="hybridMultilevel"/>
    <w:tmpl w:val="726AB7F6"/>
    <w:lvl w:ilvl="0" w:tplc="E10E5D5A">
      <w:start w:val="1"/>
      <w:numFmt w:val="bullet"/>
      <w:lvlText w:val="•"/>
      <w:lvlJc w:val="left"/>
    </w:lvl>
    <w:lvl w:ilvl="1" w:tplc="A542665A">
      <w:numFmt w:val="decimal"/>
      <w:lvlText w:val=""/>
      <w:lvlJc w:val="left"/>
    </w:lvl>
    <w:lvl w:ilvl="2" w:tplc="F6AE0518">
      <w:numFmt w:val="decimal"/>
      <w:lvlText w:val=""/>
      <w:lvlJc w:val="left"/>
    </w:lvl>
    <w:lvl w:ilvl="3" w:tplc="A4B07918">
      <w:numFmt w:val="decimal"/>
      <w:lvlText w:val=""/>
      <w:lvlJc w:val="left"/>
    </w:lvl>
    <w:lvl w:ilvl="4" w:tplc="138E996C">
      <w:numFmt w:val="decimal"/>
      <w:lvlText w:val=""/>
      <w:lvlJc w:val="left"/>
    </w:lvl>
    <w:lvl w:ilvl="5" w:tplc="3732EABE">
      <w:numFmt w:val="decimal"/>
      <w:lvlText w:val=""/>
      <w:lvlJc w:val="left"/>
    </w:lvl>
    <w:lvl w:ilvl="6" w:tplc="1C3EF590">
      <w:numFmt w:val="decimal"/>
      <w:lvlText w:val=""/>
      <w:lvlJc w:val="left"/>
    </w:lvl>
    <w:lvl w:ilvl="7" w:tplc="296805BE">
      <w:numFmt w:val="decimal"/>
      <w:lvlText w:val=""/>
      <w:lvlJc w:val="left"/>
    </w:lvl>
    <w:lvl w:ilvl="8" w:tplc="9D427EDA">
      <w:numFmt w:val="decimal"/>
      <w:lvlText w:val=""/>
      <w:lvlJc w:val="left"/>
    </w:lvl>
  </w:abstractNum>
  <w:abstractNum w:abstractNumId="17">
    <w:nsid w:val="0000767D"/>
    <w:multiLevelType w:val="hybridMultilevel"/>
    <w:tmpl w:val="96326752"/>
    <w:lvl w:ilvl="0" w:tplc="2578D74E">
      <w:start w:val="1"/>
      <w:numFmt w:val="bullet"/>
      <w:lvlText w:val="•"/>
      <w:lvlJc w:val="left"/>
    </w:lvl>
    <w:lvl w:ilvl="1" w:tplc="8146F128">
      <w:numFmt w:val="decimal"/>
      <w:lvlText w:val=""/>
      <w:lvlJc w:val="left"/>
    </w:lvl>
    <w:lvl w:ilvl="2" w:tplc="3306EC4E">
      <w:numFmt w:val="decimal"/>
      <w:lvlText w:val=""/>
      <w:lvlJc w:val="left"/>
    </w:lvl>
    <w:lvl w:ilvl="3" w:tplc="157C9DBE">
      <w:numFmt w:val="decimal"/>
      <w:lvlText w:val=""/>
      <w:lvlJc w:val="left"/>
    </w:lvl>
    <w:lvl w:ilvl="4" w:tplc="34142930">
      <w:numFmt w:val="decimal"/>
      <w:lvlText w:val=""/>
      <w:lvlJc w:val="left"/>
    </w:lvl>
    <w:lvl w:ilvl="5" w:tplc="5EF8C428">
      <w:numFmt w:val="decimal"/>
      <w:lvlText w:val=""/>
      <w:lvlJc w:val="left"/>
    </w:lvl>
    <w:lvl w:ilvl="6" w:tplc="B31E3452">
      <w:numFmt w:val="decimal"/>
      <w:lvlText w:val=""/>
      <w:lvlJc w:val="left"/>
    </w:lvl>
    <w:lvl w:ilvl="7" w:tplc="81F2ADEA">
      <w:numFmt w:val="decimal"/>
      <w:lvlText w:val=""/>
      <w:lvlJc w:val="left"/>
    </w:lvl>
    <w:lvl w:ilvl="8" w:tplc="9D1268FE">
      <w:numFmt w:val="decimal"/>
      <w:lvlText w:val=""/>
      <w:lvlJc w:val="left"/>
    </w:lvl>
  </w:abstractNum>
  <w:abstractNum w:abstractNumId="18">
    <w:nsid w:val="00007A5A"/>
    <w:multiLevelType w:val="hybridMultilevel"/>
    <w:tmpl w:val="AA48FA3A"/>
    <w:lvl w:ilvl="0" w:tplc="21845036">
      <w:start w:val="1"/>
      <w:numFmt w:val="bullet"/>
      <w:lvlText w:val="•"/>
      <w:lvlJc w:val="left"/>
    </w:lvl>
    <w:lvl w:ilvl="1" w:tplc="C1C08CF6">
      <w:numFmt w:val="decimal"/>
      <w:lvlText w:val=""/>
      <w:lvlJc w:val="left"/>
    </w:lvl>
    <w:lvl w:ilvl="2" w:tplc="6126501C">
      <w:numFmt w:val="decimal"/>
      <w:lvlText w:val=""/>
      <w:lvlJc w:val="left"/>
    </w:lvl>
    <w:lvl w:ilvl="3" w:tplc="A316FDCC">
      <w:numFmt w:val="decimal"/>
      <w:lvlText w:val=""/>
      <w:lvlJc w:val="left"/>
    </w:lvl>
    <w:lvl w:ilvl="4" w:tplc="102E2A00">
      <w:numFmt w:val="decimal"/>
      <w:lvlText w:val=""/>
      <w:lvlJc w:val="left"/>
    </w:lvl>
    <w:lvl w:ilvl="5" w:tplc="9448F47E">
      <w:numFmt w:val="decimal"/>
      <w:lvlText w:val=""/>
      <w:lvlJc w:val="left"/>
    </w:lvl>
    <w:lvl w:ilvl="6" w:tplc="07A496E8">
      <w:numFmt w:val="decimal"/>
      <w:lvlText w:val=""/>
      <w:lvlJc w:val="left"/>
    </w:lvl>
    <w:lvl w:ilvl="7" w:tplc="DBC22D1E">
      <w:numFmt w:val="decimal"/>
      <w:lvlText w:val=""/>
      <w:lvlJc w:val="left"/>
    </w:lvl>
    <w:lvl w:ilvl="8" w:tplc="401CC04C">
      <w:numFmt w:val="decimal"/>
      <w:lvlText w:val=""/>
      <w:lvlJc w:val="left"/>
    </w:lvl>
  </w:abstractNum>
  <w:num w:numId="1">
    <w:abstractNumId w:val="8"/>
  </w:num>
  <w:num w:numId="2">
    <w:abstractNumId w:val="9"/>
  </w:num>
  <w:num w:numId="3">
    <w:abstractNumId w:val="10"/>
  </w:num>
  <w:num w:numId="4">
    <w:abstractNumId w:val="2"/>
  </w:num>
  <w:num w:numId="5">
    <w:abstractNumId w:val="12"/>
  </w:num>
  <w:num w:numId="6">
    <w:abstractNumId w:val="5"/>
  </w:num>
  <w:num w:numId="7">
    <w:abstractNumId w:val="4"/>
  </w:num>
  <w:num w:numId="8">
    <w:abstractNumId w:val="0"/>
  </w:num>
  <w:num w:numId="9">
    <w:abstractNumId w:val="11"/>
  </w:num>
  <w:num w:numId="10">
    <w:abstractNumId w:val="14"/>
  </w:num>
  <w:num w:numId="11">
    <w:abstractNumId w:val="15"/>
  </w:num>
  <w:num w:numId="12">
    <w:abstractNumId w:val="6"/>
  </w:num>
  <w:num w:numId="13">
    <w:abstractNumId w:val="3"/>
  </w:num>
  <w:num w:numId="14">
    <w:abstractNumId w:val="16"/>
  </w:num>
  <w:num w:numId="15">
    <w:abstractNumId w:val="13"/>
  </w:num>
  <w:num w:numId="16">
    <w:abstractNumId w:val="18"/>
  </w:num>
  <w:num w:numId="17">
    <w:abstractNumId w:val="17"/>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720"/>
    <w:rsid w:val="00277F51"/>
    <w:rsid w:val="007D0720"/>
    <w:rsid w:val="007E2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4496</Words>
  <Characters>25633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Lord Abbett &amp; Co LLC</Company>
  <LinksUpToDate>false</LinksUpToDate>
  <CharactersWithSpaces>30069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Yu, Renee</cp:lastModifiedBy>
  <cp:revision>3</cp:revision>
  <dcterms:created xsi:type="dcterms:W3CDTF">2017-11-29T14:10:00Z</dcterms:created>
  <dcterms:modified xsi:type="dcterms:W3CDTF">2017-11-29T14:12:00Z</dcterms:modified>
</cp:coreProperties>
</file>