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77"/>
        <w:gridCol w:w="4665"/>
        <w:gridCol w:w="2037"/>
        <w:gridCol w:w="2037"/>
        <w:gridCol w:w="2037"/>
      </w:tblGrid>
      <w:tr>
        <w:trPr>
          <w:trHeight w:val="76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Participant characteristics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Round 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209,410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Round 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179,906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Round 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193,944</w:t>
            </w:r>
          </w:p>
        </w:tc>
      </w:tr>
      <w:tr>
        <w:trPr>
          <w:trHeight w:val="617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(in years)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15 - 17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11,493 (6.4%)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18,615 (9.6%)</w:t>
            </w:r>
          </w:p>
        </w:tc>
      </w:tr>
      <w:tr>
        <w:trPr>
          <w:trHeight w:val="617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18 - 19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22,486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16,899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16,443 (8.5%)</w:t>
            </w:r>
          </w:p>
        </w:tc>
      </w:tr>
      <w:tr>
        <w:trPr>
          <w:trHeight w:val="617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20 - 24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48,321 (23.1%)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40,071 (22.3%)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42,393 (21.9%)</w:t>
            </w:r>
          </w:p>
        </w:tc>
      </w:tr>
      <w:tr>
        <w:trPr>
          <w:trHeight w:val="617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25 - 29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37,791 (18.0%)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29,772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31,618 (16.3%)</w:t>
            </w:r>
          </w:p>
        </w:tc>
      </w:tr>
      <w:tr>
        <w:trPr>
          <w:trHeight w:val="617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30 - 39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53,643 (25.6%)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41,151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42,243 (21.8%)</w:t>
            </w:r>
          </w:p>
        </w:tc>
      </w:tr>
      <w:tr>
        <w:trPr>
          <w:trHeight w:val="617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40 - 49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24,525 (11.7%)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20,252 (11.3%)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21,663 (11.2%)</w:t>
            </w:r>
          </w:p>
        </w:tc>
      </w:tr>
      <w:tr>
        <w:trPr>
          <w:trHeight w:val="617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22,644 (10.8%)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20,268 (11.3%)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20,969 (10.8%)</w:t>
            </w:r>
          </w:p>
        </w:tc>
      </w:tr>
      <w:tr>
        <w:trPr>
          <w:trHeight w:val="617" w:hRule="auto"/>
        </w:trPr>
        body 8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92,908 (44.4%)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72,234 (40.2%)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77,959 (40.2%)</w:t>
            </w:r>
          </w:p>
        </w:tc>
      </w:tr>
      <w:tr>
        <w:trPr>
          <w:trHeight w:val="617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116,502 (55.6%)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107,672 (59.8%)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115,985 (59.8%)</w:t>
            </w:r>
          </w:p>
        </w:tc>
      </w:tr>
      <w:tr>
        <w:trPr>
          <w:trHeight w:val="617" w:hRule="auto"/>
        </w:trPr>
        body10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HIV/ART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Tested negative by CHiP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116,838 (55.8%)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107,232 (59.6%)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133,448 (68.8%)</w:t>
            </w:r>
          </w:p>
        </w:tc>
      </w:tr>
      <w:tr>
        <w:trPr>
          <w:trHeight w:val="617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Self-reported living with HIV &amp; NOT on ART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2,996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2,493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1,758 (0.9%)</w:t>
            </w:r>
          </w:p>
        </w:tc>
      </w:tr>
      <w:tr>
        <w:trPr>
          <w:trHeight w:val="617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Self-reported living with HIV &amp; on ART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13,268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16,513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20,078 (10.4%)</w:t>
            </w:r>
          </w:p>
        </w:tc>
      </w:tr>
      <w:tr>
        <w:trPr>
          <w:trHeight w:val="617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Tested positive by CHiP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9,131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4,659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4,380 (2.3%)</w:t>
            </w:r>
          </w:p>
        </w:tc>
      </w:tr>
      <w:tr>
        <w:trPr>
          <w:trHeight w:val="617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tested/indeterminate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67,177 (32.1%)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49,009 (27.2%)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34,280 (17.7%)</w:t>
            </w:r>
          </w:p>
        </w:tc>
      </w:tr>
      <w:tr>
        <w:trPr>
          <w:trHeight w:val="617" w:hRule="auto"/>
        </w:trPr>
        body15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Household TB contact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190,183 (98.1%)</w:t>
            </w:r>
          </w:p>
        </w:tc>
      </w:tr>
      <w:tr>
        <w:trPr>
          <w:trHeight w:val="617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3,761 (1.9%)</w:t>
            </w:r>
          </w:p>
        </w:tc>
      </w:tr>
      <w:tr>
        <w:trPr>
          <w:trHeight w:val="617" w:hRule="auto"/>
        </w:trPr>
        body17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Residence and mobility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Previously resident (same zone)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135,112 (69.7%)</w:t>
            </w:r>
          </w:p>
        </w:tc>
      </w:tr>
      <w:tr>
        <w:trPr>
          <w:trHeight w:val="617" w:hRule="auto"/>
        </w:trPr>
        body18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Moved within community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34,069 (17.6%)</w:t>
            </w:r>
          </w:p>
        </w:tc>
      </w:tr>
      <w:tr>
        <w:trPr>
          <w:trHeight w:val="617" w:hRule="auto"/>
        </w:trPr>
        body19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Moved from outside community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24,763 (12.8%)</w:t>
            </w:r>
          </w:p>
        </w:tc>
      </w:tr>
    </w:tbl>
    <w:sectPr w:officer="true">
      <w:pgSz w:h="11906" w:w="16838" w:orient="landscape"/>
      <w:cols/>
      <w:type w:val="continuous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2026-10-09T16:31:23Z</dcterms:modified>
  <cp:category/>
</cp:coreProperties>
</file>