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83"/>
        <w:gridCol w:w="3615"/>
        <w:gridCol w:w="3615"/>
        <w:gridCol w:w="3738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Round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Round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Round 3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Household members listed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444,462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409,618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423,387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Below age eligibility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192,133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156,450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160,005 (37.8%)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Eligible to participate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252,329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253,168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263,382 (62.2%)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Participated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210,246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180,430 (71.3%)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196,517 (74.6%)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Already on TB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836 (0.40%)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524 (0.29%)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477 (0.24%)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Screened for TB symptoms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209,410 (99.6%)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179,906 (99.7%)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193,944 (98.7%)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Screened positive for TB symptoms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2,582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2,139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5,283 (2.7%)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Sputum collected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2,404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2,075 (97.0%)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5,144 (97.4%)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Results recorded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2,113 (87.9%)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1,969 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4,899 (95.2%)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MTB 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(80.7 per 100,000 screened)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 (92.8 per 100,000 screened)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214 (110.3 per 100,000 screened)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Started TB treatment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 (78.7%)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 (79.0%)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 (79.9%)</w:t>
            </w:r>
          </w:p>
        </w:tc>
      </w:tr>
    </w:tbl>
    <w:sectPr w:officer="true">
      <w:pgSz w:h="11906" w:w="16838" w:orient="landscape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2026-10-09T15:53:55Z</dcterms:modified>
  <cp:category/>
</cp:coreProperties>
</file>